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0C6" w:rsidRPr="00B952E5" w:rsidRDefault="005F5182" w:rsidP="00BB30C6">
      <w:pPr>
        <w:shd w:val="clear" w:color="auto" w:fill="FFFFFF"/>
        <w:spacing w:after="0" w:line="240" w:lineRule="auto"/>
        <w:jc w:val="center"/>
        <w:rPr>
          <w:rFonts w:ascii="Times New Roman" w:eastAsia="Times New Roman" w:hAnsi="Times New Roman" w:cs="Times New Roman"/>
          <w:b/>
          <w:bCs/>
          <w:sz w:val="28"/>
          <w:szCs w:val="24"/>
          <w:lang w:eastAsia="lv-LV"/>
        </w:rPr>
      </w:pPr>
      <w:bookmarkStart w:id="0" w:name="_GoBack"/>
      <w:bookmarkEnd w:id="0"/>
      <w:r>
        <w:rPr>
          <w:rFonts w:ascii="Times New Roman" w:eastAsia="Times New Roman" w:hAnsi="Times New Roman" w:cs="Times New Roman"/>
          <w:b/>
          <w:bCs/>
          <w:sz w:val="28"/>
          <w:szCs w:val="24"/>
          <w:lang w:eastAsia="lv-LV"/>
        </w:rPr>
        <w:t>Ministru kabineta n</w:t>
      </w:r>
      <w:r w:rsidR="00B314A4">
        <w:rPr>
          <w:rFonts w:ascii="Times New Roman" w:eastAsia="Times New Roman" w:hAnsi="Times New Roman" w:cs="Times New Roman"/>
          <w:b/>
          <w:bCs/>
          <w:sz w:val="28"/>
          <w:szCs w:val="24"/>
          <w:lang w:eastAsia="lv-LV"/>
        </w:rPr>
        <w:t xml:space="preserve">oteikumu </w:t>
      </w:r>
      <w:r w:rsidR="00B314A4" w:rsidRPr="005F5182">
        <w:rPr>
          <w:rFonts w:ascii="Times New Roman" w:eastAsia="Times New Roman" w:hAnsi="Times New Roman" w:cs="Times New Roman"/>
          <w:b/>
          <w:bCs/>
          <w:sz w:val="28"/>
          <w:szCs w:val="28"/>
          <w:lang w:eastAsia="lv-LV"/>
        </w:rPr>
        <w:t>projekta</w:t>
      </w:r>
      <w:r w:rsidR="00BB30C6" w:rsidRPr="005F5182">
        <w:rPr>
          <w:rFonts w:ascii="Times New Roman" w:eastAsia="Times New Roman" w:hAnsi="Times New Roman" w:cs="Times New Roman"/>
          <w:b/>
          <w:bCs/>
          <w:sz w:val="28"/>
          <w:szCs w:val="28"/>
          <w:lang w:eastAsia="lv-LV"/>
        </w:rPr>
        <w:t xml:space="preserve"> "</w:t>
      </w:r>
      <w:r w:rsidRPr="005F5182">
        <w:rPr>
          <w:rFonts w:ascii="Times New Roman" w:hAnsi="Times New Roman" w:cs="Times New Roman"/>
          <w:b/>
          <w:sz w:val="28"/>
          <w:szCs w:val="28"/>
        </w:rPr>
        <w:t>Eiropas Savienības tiesību akti, par kuru pārkāpumiem ceļama trauksme, vai kuros ir paredzēta citāda ziņošanas kārtība, to regulējošās jomas un normatīvie akti</w:t>
      </w:r>
      <w:r w:rsidR="00BB30C6" w:rsidRPr="005F5182">
        <w:rPr>
          <w:rFonts w:ascii="Times New Roman" w:eastAsia="Times New Roman" w:hAnsi="Times New Roman" w:cs="Times New Roman"/>
          <w:b/>
          <w:bCs/>
          <w:sz w:val="28"/>
          <w:szCs w:val="28"/>
          <w:lang w:eastAsia="lv-LV"/>
        </w:rPr>
        <w:t>" sākotnējās ietekmes</w:t>
      </w:r>
      <w:r w:rsidR="00BB30C6" w:rsidRPr="00B952E5">
        <w:rPr>
          <w:rFonts w:ascii="Times New Roman" w:eastAsia="Times New Roman" w:hAnsi="Times New Roman" w:cs="Times New Roman"/>
          <w:b/>
          <w:bCs/>
          <w:sz w:val="28"/>
          <w:szCs w:val="24"/>
          <w:lang w:eastAsia="lv-LV"/>
        </w:rPr>
        <w:t xml:space="preserve"> novērtējuma ziņojums (anotācija)</w:t>
      </w:r>
    </w:p>
    <w:p w:rsidR="00BB30C6" w:rsidRPr="00B952E5" w:rsidRDefault="00BB30C6" w:rsidP="00BB30C6">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BB30C6" w:rsidRPr="00B952E5" w:rsidTr="00BB30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B30C6" w:rsidRPr="00B952E5" w:rsidRDefault="00BB30C6" w:rsidP="00BB30C6">
            <w:pPr>
              <w:spacing w:after="0" w:line="240" w:lineRule="auto"/>
              <w:jc w:val="center"/>
              <w:rPr>
                <w:rFonts w:ascii="Times New Roman" w:eastAsia="Times New Roman" w:hAnsi="Times New Roman" w:cs="Times New Roman"/>
                <w:b/>
                <w:bCs/>
                <w:iCs/>
                <w:sz w:val="24"/>
                <w:szCs w:val="24"/>
                <w:lang w:eastAsia="lv-LV"/>
              </w:rPr>
            </w:pPr>
            <w:r w:rsidRPr="00B952E5">
              <w:rPr>
                <w:rFonts w:ascii="Times New Roman" w:eastAsia="Times New Roman" w:hAnsi="Times New Roman" w:cs="Times New Roman"/>
                <w:b/>
                <w:bCs/>
                <w:iCs/>
                <w:sz w:val="24"/>
                <w:szCs w:val="24"/>
                <w:lang w:eastAsia="lv-LV"/>
              </w:rPr>
              <w:t>Tiesību akta projekta anotācijas kopsavilkums</w:t>
            </w:r>
          </w:p>
        </w:tc>
      </w:tr>
      <w:tr w:rsidR="00BB30C6" w:rsidRPr="00B952E5" w:rsidTr="00BB30C6">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rsidR="001F6EF9" w:rsidRDefault="007F4384" w:rsidP="007F4384">
            <w:pPr>
              <w:spacing w:after="0" w:line="240" w:lineRule="auto"/>
              <w:jc w:val="both"/>
              <w:rPr>
                <w:rFonts w:ascii="Times New Roman" w:hAnsi="Times New Roman" w:cs="Times New Roman"/>
                <w:bCs/>
                <w:sz w:val="24"/>
                <w:szCs w:val="24"/>
                <w:shd w:val="clear" w:color="auto" w:fill="FFFFFF"/>
              </w:rPr>
            </w:pPr>
            <w:r w:rsidRPr="007F4384">
              <w:rPr>
                <w:rFonts w:ascii="Times New Roman" w:eastAsia="Times New Roman" w:hAnsi="Times New Roman" w:cs="Times New Roman"/>
                <w:bCs/>
                <w:sz w:val="24"/>
                <w:szCs w:val="24"/>
                <w:lang w:eastAsia="lv-LV"/>
              </w:rPr>
              <w:t>Ministru kabineta noteikumu projekt</w:t>
            </w:r>
            <w:r w:rsidR="00D879B1">
              <w:rPr>
                <w:rFonts w:ascii="Times New Roman" w:eastAsia="Times New Roman" w:hAnsi="Times New Roman" w:cs="Times New Roman"/>
                <w:bCs/>
                <w:sz w:val="24"/>
                <w:szCs w:val="24"/>
                <w:lang w:eastAsia="lv-LV"/>
              </w:rPr>
              <w:t>s</w:t>
            </w:r>
            <w:r w:rsidRPr="007F4384">
              <w:rPr>
                <w:rFonts w:ascii="Times New Roman" w:eastAsia="Times New Roman" w:hAnsi="Times New Roman" w:cs="Times New Roman"/>
                <w:bCs/>
                <w:sz w:val="24"/>
                <w:szCs w:val="24"/>
                <w:lang w:eastAsia="lv-LV"/>
              </w:rPr>
              <w:t xml:space="preserve"> "</w:t>
            </w:r>
            <w:r w:rsidRPr="007F4384">
              <w:rPr>
                <w:rFonts w:ascii="Times New Roman" w:hAnsi="Times New Roman" w:cs="Times New Roman"/>
                <w:sz w:val="24"/>
                <w:szCs w:val="24"/>
              </w:rPr>
              <w:t>Eiropas Savienības tiesību akti, par kuru pārkāpumiem ceļama trauksme, vai kuros ir paredzēta citāda ziņošanas kārtība, to regulējošās jomas un normatīvie akti</w:t>
            </w:r>
            <w:r w:rsidRPr="007F4384">
              <w:rPr>
                <w:rFonts w:ascii="Times New Roman" w:eastAsia="Times New Roman" w:hAnsi="Times New Roman" w:cs="Times New Roman"/>
                <w:bCs/>
                <w:sz w:val="24"/>
                <w:szCs w:val="24"/>
                <w:lang w:eastAsia="lv-LV"/>
              </w:rPr>
              <w:t xml:space="preserve">" (turpmāk – Noteikumu projekts) </w:t>
            </w:r>
            <w:r w:rsidRPr="007F4384">
              <w:rPr>
                <w:rFonts w:ascii="Times New Roman" w:hAnsi="Times New Roman" w:cs="Times New Roman"/>
                <w:bCs/>
                <w:sz w:val="24"/>
                <w:szCs w:val="24"/>
                <w:shd w:val="clear" w:color="auto" w:fill="FFFFFF"/>
              </w:rPr>
              <w:t>par</w:t>
            </w:r>
            <w:r>
              <w:rPr>
                <w:rFonts w:ascii="Times New Roman" w:hAnsi="Times New Roman" w:cs="Times New Roman"/>
                <w:bCs/>
                <w:sz w:val="24"/>
                <w:szCs w:val="24"/>
                <w:shd w:val="clear" w:color="auto" w:fill="FFFFFF"/>
              </w:rPr>
              <w:t>edz noteikt</w:t>
            </w:r>
            <w:r w:rsidRPr="007F4384">
              <w:rPr>
                <w:rFonts w:ascii="Times New Roman" w:hAnsi="Times New Roman" w:cs="Times New Roman"/>
                <w:bCs/>
                <w:sz w:val="24"/>
                <w:szCs w:val="24"/>
                <w:shd w:val="clear" w:color="auto" w:fill="FFFFFF"/>
              </w:rPr>
              <w:t xml:space="preserve">, </w:t>
            </w:r>
            <w:r w:rsidRPr="007F4384">
              <w:rPr>
                <w:rFonts w:ascii="Times New Roman" w:hAnsi="Times New Roman" w:cs="Times New Roman"/>
                <w:sz w:val="24"/>
                <w:szCs w:val="24"/>
              </w:rPr>
              <w:t>Eiropas Savienības tiesību aktus, par kuru pārkāpumiem ceļama trauksme, to regulējušās jomas un normatīvos aktus</w:t>
            </w:r>
            <w:r w:rsidRPr="007F4384">
              <w:rPr>
                <w:rFonts w:ascii="Times New Roman" w:hAnsi="Times New Roman" w:cs="Times New Roman"/>
                <w:bCs/>
                <w:sz w:val="24"/>
                <w:szCs w:val="24"/>
                <w:shd w:val="clear" w:color="auto" w:fill="FFFFFF"/>
              </w:rPr>
              <w:t xml:space="preserve">  (1. pielikums), kā arī Eiropas savienības tiesību aktus, kuros ir paredzēta citāda ziņošanas kārtība, to regulējušās jomas un normatīvos aktus (2. pielikums).</w:t>
            </w:r>
          </w:p>
          <w:p w:rsidR="007F4384" w:rsidRPr="007F4384" w:rsidRDefault="007F4384" w:rsidP="007F438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Noteikumu projekts </w:t>
            </w:r>
            <w:r w:rsidRPr="00B837F2">
              <w:rPr>
                <w:rFonts w:ascii="Times New Roman" w:hAnsi="Times New Roman" w:cs="Times New Roman"/>
                <w:sz w:val="24"/>
                <w:szCs w:val="24"/>
              </w:rPr>
              <w:t>stāsies spēkā vispārējā kārtībā atbilstoši Oficiālo publikāciju un tiesiskās informācijas likumam.</w:t>
            </w:r>
          </w:p>
        </w:tc>
      </w:tr>
    </w:tbl>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B30C6" w:rsidRPr="00B952E5" w:rsidTr="00BB30C6">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B30C6" w:rsidRPr="00B952E5" w:rsidRDefault="00BB30C6" w:rsidP="00BB30C6">
            <w:pPr>
              <w:spacing w:after="0" w:line="240" w:lineRule="auto"/>
              <w:jc w:val="center"/>
              <w:rPr>
                <w:rFonts w:ascii="Times New Roman" w:eastAsia="Times New Roman" w:hAnsi="Times New Roman" w:cs="Times New Roman"/>
                <w:b/>
                <w:bCs/>
                <w:iCs/>
                <w:sz w:val="24"/>
                <w:szCs w:val="24"/>
                <w:lang w:eastAsia="lv-LV"/>
              </w:rPr>
            </w:pPr>
            <w:r w:rsidRPr="00B952E5">
              <w:rPr>
                <w:rFonts w:ascii="Times New Roman" w:eastAsia="Times New Roman" w:hAnsi="Times New Roman" w:cs="Times New Roman"/>
                <w:b/>
                <w:bCs/>
                <w:iCs/>
                <w:sz w:val="24"/>
                <w:szCs w:val="24"/>
                <w:lang w:eastAsia="lv-LV"/>
              </w:rPr>
              <w:t>I. Tiesību akta projekta izstrādes nepieciešamība</w:t>
            </w:r>
          </w:p>
        </w:tc>
      </w:tr>
      <w:tr w:rsidR="00BB30C6" w:rsidRPr="00B952E5" w:rsidTr="00BB30C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rsidR="00BB30C6" w:rsidRDefault="00BB30C6" w:rsidP="00BB30C6">
            <w:pPr>
              <w:spacing w:after="0" w:line="240" w:lineRule="auto"/>
              <w:jc w:val="both"/>
              <w:rPr>
                <w:rFonts w:ascii="Times New Roman" w:hAnsi="Times New Roman" w:cs="Times New Roman"/>
                <w:sz w:val="24"/>
                <w:szCs w:val="24"/>
              </w:rPr>
            </w:pPr>
            <w:r w:rsidRPr="00B952E5">
              <w:rPr>
                <w:rFonts w:ascii="Times New Roman" w:hAnsi="Times New Roman" w:cs="Times New Roman"/>
                <w:sz w:val="24"/>
                <w:szCs w:val="24"/>
              </w:rPr>
              <w:t>Eiropas Parlamenta un Padomes 2019. gada 23. oktobra Direktīva (ES) 2019/1937 par to personu aizsardzību, kuras ziņo par Savienības tiesību aktu pārkāpumiem (turpmāk – Direktīva 2019/1937).</w:t>
            </w:r>
          </w:p>
          <w:p w:rsidR="002D2C36" w:rsidRPr="00B952E5" w:rsidRDefault="002D2C36" w:rsidP="00BB30C6">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rPr>
              <w:t>Trauksmes celšanas likuma 2. panta otrā daļa un 3. panta otrā daļa.</w:t>
            </w:r>
            <w:r w:rsidR="001F6EF9">
              <w:rPr>
                <w:rStyle w:val="FootnoteReference"/>
                <w:rFonts w:ascii="Times New Roman" w:hAnsi="Times New Roman" w:cs="Times New Roman"/>
                <w:sz w:val="24"/>
                <w:szCs w:val="24"/>
              </w:rPr>
              <w:footnoteReference w:id="1"/>
            </w:r>
          </w:p>
        </w:tc>
      </w:tr>
      <w:tr w:rsidR="00BB30C6" w:rsidRPr="00B952E5" w:rsidTr="00BB30C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tcPr>
          <w:p w:rsidR="001627C0" w:rsidRDefault="001627C0" w:rsidP="002D2C36">
            <w:pPr>
              <w:autoSpaceDE w:val="0"/>
              <w:autoSpaceDN w:val="0"/>
              <w:adjustRightInd w:val="0"/>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Latvijai līdz 2021. gada 17. decembrim jāpārņem </w:t>
            </w:r>
            <w:r w:rsidRPr="00B952E5">
              <w:rPr>
                <w:rFonts w:ascii="Times New Roman" w:hAnsi="Times New Roman" w:cs="Times New Roman"/>
                <w:sz w:val="24"/>
                <w:szCs w:val="24"/>
              </w:rPr>
              <w:t>Direktīv</w:t>
            </w:r>
            <w:r>
              <w:rPr>
                <w:rFonts w:ascii="Times New Roman" w:hAnsi="Times New Roman" w:cs="Times New Roman"/>
                <w:sz w:val="24"/>
                <w:szCs w:val="24"/>
              </w:rPr>
              <w:t xml:space="preserve">as </w:t>
            </w:r>
            <w:r w:rsidRPr="00B952E5">
              <w:rPr>
                <w:rFonts w:ascii="Times New Roman" w:hAnsi="Times New Roman" w:cs="Times New Roman"/>
                <w:sz w:val="24"/>
                <w:szCs w:val="24"/>
              </w:rPr>
              <w:t>2019/1937</w:t>
            </w:r>
            <w:r>
              <w:rPr>
                <w:rFonts w:ascii="Times New Roman" w:hAnsi="Times New Roman" w:cs="Times New Roman"/>
                <w:sz w:val="24"/>
                <w:szCs w:val="24"/>
              </w:rPr>
              <w:t xml:space="preserve"> prasības.</w:t>
            </w:r>
          </w:p>
          <w:p w:rsidR="002D2C36" w:rsidRPr="00B952E5" w:rsidRDefault="002D2C36" w:rsidP="002D2C36">
            <w:pPr>
              <w:autoSpaceDE w:val="0"/>
              <w:autoSpaceDN w:val="0"/>
              <w:adjustRightInd w:val="0"/>
              <w:spacing w:after="0" w:line="240" w:lineRule="auto"/>
              <w:ind w:left="28" w:right="28"/>
              <w:jc w:val="both"/>
              <w:rPr>
                <w:rFonts w:ascii="Times New Roman" w:hAnsi="Times New Roman" w:cs="Times New Roman"/>
                <w:sz w:val="24"/>
                <w:szCs w:val="24"/>
              </w:rPr>
            </w:pPr>
            <w:r w:rsidRPr="00B952E5">
              <w:rPr>
                <w:rFonts w:ascii="Times New Roman" w:hAnsi="Times New Roman" w:cs="Times New Roman"/>
                <w:sz w:val="24"/>
                <w:szCs w:val="24"/>
              </w:rPr>
              <w:t xml:space="preserve">Direktīvā 2019/1937 ir īpaši uzsvērts, ka trauksmes cēlēju aizsardzība ir nepieciešama, lai uzlabotu </w:t>
            </w:r>
            <w:r w:rsidR="007F4384">
              <w:rPr>
                <w:rFonts w:ascii="Times New Roman" w:hAnsi="Times New Roman" w:cs="Times New Roman"/>
                <w:sz w:val="24"/>
                <w:szCs w:val="24"/>
              </w:rPr>
              <w:t xml:space="preserve">Eiropas </w:t>
            </w:r>
            <w:r w:rsidRPr="00B952E5">
              <w:rPr>
                <w:rFonts w:ascii="Times New Roman" w:hAnsi="Times New Roman" w:cs="Times New Roman"/>
                <w:sz w:val="24"/>
                <w:szCs w:val="24"/>
              </w:rPr>
              <w:t>Savienības</w:t>
            </w:r>
            <w:r w:rsidR="007F4384">
              <w:rPr>
                <w:rFonts w:ascii="Times New Roman" w:hAnsi="Times New Roman" w:cs="Times New Roman"/>
                <w:sz w:val="24"/>
                <w:szCs w:val="24"/>
              </w:rPr>
              <w:t xml:space="preserve"> (turpmāk – Savienības)</w:t>
            </w:r>
            <w:r w:rsidRPr="00B952E5">
              <w:rPr>
                <w:rFonts w:ascii="Times New Roman" w:hAnsi="Times New Roman" w:cs="Times New Roman"/>
                <w:sz w:val="24"/>
                <w:szCs w:val="24"/>
              </w:rPr>
              <w:t xml:space="preserve"> tiesību aktu izpildi, kas uzskaitīti Direktīvas 2019/1937 pielikumā, un attiecas uz šādām jomām:</w:t>
            </w:r>
          </w:p>
          <w:p w:rsidR="002D2C36" w:rsidRPr="00B952E5" w:rsidRDefault="002D2C36" w:rsidP="002D2C36">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B952E5">
              <w:rPr>
                <w:rFonts w:ascii="Times New Roman" w:hAnsi="Times New Roman" w:cs="Times New Roman"/>
                <w:spacing w:val="-3"/>
                <w:sz w:val="24"/>
                <w:szCs w:val="24"/>
              </w:rPr>
              <w:t>publiskais iepirkums;</w:t>
            </w:r>
          </w:p>
          <w:p w:rsidR="002D2C36" w:rsidRPr="00B952E5" w:rsidRDefault="002D2C36" w:rsidP="002D2C36">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B952E5">
              <w:rPr>
                <w:rFonts w:ascii="Times New Roman" w:hAnsi="Times New Roman" w:cs="Times New Roman"/>
                <w:spacing w:val="-3"/>
                <w:sz w:val="24"/>
                <w:szCs w:val="24"/>
              </w:rPr>
              <w:t>finanšu pakalpojumi, produkti un tirgi, un nelikumīgi iegūtu līdzekļu legalizēšanas un terorisma finansēšanas novēršana;</w:t>
            </w:r>
          </w:p>
          <w:p w:rsidR="002D2C36" w:rsidRPr="00B952E5" w:rsidRDefault="002D2C36" w:rsidP="002D2C36">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B952E5">
              <w:rPr>
                <w:rFonts w:ascii="Times New Roman" w:hAnsi="Times New Roman" w:cs="Times New Roman"/>
                <w:spacing w:val="-3"/>
                <w:sz w:val="24"/>
                <w:szCs w:val="24"/>
              </w:rPr>
              <w:t>produktu drošība un atbilstība;</w:t>
            </w:r>
          </w:p>
          <w:p w:rsidR="002D2C36" w:rsidRPr="00B952E5" w:rsidRDefault="002D2C36" w:rsidP="002D2C36">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B952E5">
              <w:rPr>
                <w:rFonts w:ascii="Times New Roman" w:hAnsi="Times New Roman" w:cs="Times New Roman"/>
                <w:spacing w:val="-3"/>
                <w:sz w:val="24"/>
                <w:szCs w:val="24"/>
              </w:rPr>
              <w:t>transporta drošība;</w:t>
            </w:r>
          </w:p>
          <w:p w:rsidR="002D2C36" w:rsidRPr="00B952E5" w:rsidRDefault="002D2C36" w:rsidP="002D2C36">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B952E5">
              <w:rPr>
                <w:rFonts w:ascii="Times New Roman" w:hAnsi="Times New Roman" w:cs="Times New Roman"/>
                <w:spacing w:val="-3"/>
                <w:sz w:val="24"/>
                <w:szCs w:val="24"/>
              </w:rPr>
              <w:t>vides aizsardzība;</w:t>
            </w:r>
          </w:p>
          <w:p w:rsidR="002D2C36" w:rsidRPr="00B952E5" w:rsidRDefault="002D2C36" w:rsidP="002D2C36">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B952E5">
              <w:rPr>
                <w:rFonts w:ascii="Times New Roman" w:hAnsi="Times New Roman" w:cs="Times New Roman"/>
                <w:spacing w:val="-3"/>
                <w:sz w:val="24"/>
                <w:szCs w:val="24"/>
              </w:rPr>
              <w:t xml:space="preserve">pretradiācijas aizsardzība un </w:t>
            </w:r>
            <w:proofErr w:type="spellStart"/>
            <w:r w:rsidRPr="00B952E5">
              <w:rPr>
                <w:rFonts w:ascii="Times New Roman" w:hAnsi="Times New Roman" w:cs="Times New Roman"/>
                <w:spacing w:val="-3"/>
                <w:sz w:val="24"/>
                <w:szCs w:val="24"/>
              </w:rPr>
              <w:t>kodoldrošums</w:t>
            </w:r>
            <w:proofErr w:type="spellEnd"/>
            <w:r w:rsidRPr="00B952E5">
              <w:rPr>
                <w:rFonts w:ascii="Times New Roman" w:hAnsi="Times New Roman" w:cs="Times New Roman"/>
                <w:spacing w:val="-3"/>
                <w:sz w:val="24"/>
                <w:szCs w:val="24"/>
              </w:rPr>
              <w:t>;</w:t>
            </w:r>
          </w:p>
          <w:p w:rsidR="002D2C36" w:rsidRPr="00B952E5" w:rsidRDefault="002D2C36" w:rsidP="002D2C36">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B952E5">
              <w:rPr>
                <w:rFonts w:ascii="Times New Roman" w:hAnsi="Times New Roman" w:cs="Times New Roman"/>
                <w:spacing w:val="-3"/>
                <w:sz w:val="24"/>
                <w:szCs w:val="24"/>
              </w:rPr>
              <w:t>pārtikas un barības nekaitīgums, dzīvnieku veselība un labturība;</w:t>
            </w:r>
          </w:p>
          <w:p w:rsidR="002D2C36" w:rsidRPr="00B952E5" w:rsidRDefault="002D2C36" w:rsidP="002D2C36">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B952E5">
              <w:rPr>
                <w:rFonts w:ascii="Times New Roman" w:hAnsi="Times New Roman" w:cs="Times New Roman"/>
                <w:spacing w:val="-3"/>
                <w:sz w:val="24"/>
                <w:szCs w:val="24"/>
              </w:rPr>
              <w:t>sabiedrības veselība;</w:t>
            </w:r>
          </w:p>
          <w:p w:rsidR="002D2C36" w:rsidRPr="00B952E5" w:rsidRDefault="002D2C36" w:rsidP="002D2C36">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B952E5">
              <w:rPr>
                <w:rFonts w:ascii="Times New Roman" w:hAnsi="Times New Roman" w:cs="Times New Roman"/>
                <w:spacing w:val="-3"/>
                <w:sz w:val="24"/>
                <w:szCs w:val="24"/>
              </w:rPr>
              <w:t>patērētāju tiesību aizsardzība;</w:t>
            </w:r>
          </w:p>
          <w:p w:rsidR="002D2C36" w:rsidRPr="00B952E5" w:rsidRDefault="002D2C36" w:rsidP="002D2C36">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B952E5">
              <w:rPr>
                <w:rFonts w:ascii="Times New Roman" w:hAnsi="Times New Roman" w:cs="Times New Roman"/>
                <w:spacing w:val="-3"/>
                <w:sz w:val="24"/>
                <w:szCs w:val="24"/>
              </w:rPr>
              <w:lastRenderedPageBreak/>
              <w:t>privātās dzīves un personas datu aizsardzība un tīkla un informācijas sistēmas drošība;</w:t>
            </w:r>
          </w:p>
          <w:p w:rsidR="002D2C36" w:rsidRPr="00B952E5" w:rsidRDefault="002D2C36" w:rsidP="002D2C36">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B952E5">
              <w:rPr>
                <w:rFonts w:ascii="Times New Roman" w:hAnsi="Times New Roman" w:cs="Times New Roman"/>
                <w:spacing w:val="-3"/>
                <w:sz w:val="24"/>
                <w:szCs w:val="24"/>
              </w:rPr>
              <w:t xml:space="preserve">pārkāpumi, kas apdraud Savienības finanšu intereses, kā minēts </w:t>
            </w:r>
            <w:r w:rsidR="00D879B1">
              <w:rPr>
                <w:rFonts w:ascii="Times New Roman" w:hAnsi="Times New Roman" w:cs="Times New Roman"/>
                <w:spacing w:val="-3"/>
                <w:sz w:val="24"/>
                <w:szCs w:val="24"/>
              </w:rPr>
              <w:t>Līguma par Eiropas Savienības darbību (</w:t>
            </w:r>
            <w:r w:rsidRPr="00B952E5">
              <w:rPr>
                <w:rFonts w:ascii="Times New Roman" w:hAnsi="Times New Roman" w:cs="Times New Roman"/>
                <w:spacing w:val="-3"/>
                <w:sz w:val="24"/>
                <w:szCs w:val="24"/>
              </w:rPr>
              <w:t>LESD</w:t>
            </w:r>
            <w:r w:rsidR="00D879B1">
              <w:rPr>
                <w:rFonts w:ascii="Times New Roman" w:hAnsi="Times New Roman" w:cs="Times New Roman"/>
                <w:spacing w:val="-3"/>
                <w:sz w:val="24"/>
                <w:szCs w:val="24"/>
              </w:rPr>
              <w:t>)</w:t>
            </w:r>
            <w:r w:rsidRPr="00B952E5">
              <w:rPr>
                <w:rFonts w:ascii="Times New Roman" w:hAnsi="Times New Roman" w:cs="Times New Roman"/>
                <w:spacing w:val="-3"/>
                <w:sz w:val="24"/>
                <w:szCs w:val="24"/>
              </w:rPr>
              <w:t xml:space="preserve"> 325. pantā</w:t>
            </w:r>
            <w:r w:rsidRPr="00B952E5">
              <w:rPr>
                <w:rStyle w:val="FootnoteReference"/>
                <w:rFonts w:ascii="Times New Roman" w:hAnsi="Times New Roman" w:cs="Times New Roman"/>
                <w:spacing w:val="-3"/>
                <w:sz w:val="24"/>
                <w:szCs w:val="24"/>
              </w:rPr>
              <w:footnoteReference w:id="2"/>
            </w:r>
            <w:r w:rsidRPr="00B952E5">
              <w:rPr>
                <w:rFonts w:ascii="Times New Roman" w:hAnsi="Times New Roman" w:cs="Times New Roman"/>
                <w:spacing w:val="-3"/>
                <w:sz w:val="24"/>
                <w:szCs w:val="24"/>
              </w:rPr>
              <w:t xml:space="preserve"> un kā papildus precizēts attiecīgajos Savienības pasākumos;</w:t>
            </w:r>
          </w:p>
          <w:p w:rsidR="002D2C36" w:rsidRPr="00B952E5" w:rsidRDefault="002D2C36" w:rsidP="002D2C36">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B952E5">
              <w:rPr>
                <w:rFonts w:ascii="Times New Roman" w:hAnsi="Times New Roman" w:cs="Times New Roman"/>
                <w:spacing w:val="-3"/>
                <w:sz w:val="24"/>
                <w:szCs w:val="24"/>
              </w:rPr>
              <w:t>pārkāpumi attiecībā uz iekšējo tirgu kā minēts LESD 26. panta 2. punktā</w:t>
            </w:r>
            <w:r w:rsidRPr="00B952E5">
              <w:rPr>
                <w:rStyle w:val="FootnoteReference"/>
                <w:rFonts w:ascii="Times New Roman" w:hAnsi="Times New Roman" w:cs="Times New Roman"/>
                <w:spacing w:val="-3"/>
                <w:sz w:val="24"/>
                <w:szCs w:val="24"/>
              </w:rPr>
              <w:footnoteReference w:id="3"/>
            </w:r>
            <w:r w:rsidRPr="00B952E5">
              <w:rPr>
                <w:rFonts w:ascii="Times New Roman" w:hAnsi="Times New Roman" w:cs="Times New Roman"/>
                <w:spacing w:val="-3"/>
                <w:sz w:val="24"/>
                <w:szCs w:val="24"/>
              </w:rPr>
              <w:t>, tostarp Savienības konkurences un valsts atbalsta noteikumu pārkāpumi, kā arī pārkāpumi attiecībā uz iekšējo tirgu attiecībā uz darbībām, kas ir pretrunā noteikumiem par uzņēmumu ienākumu nodokli, vai mehānismiem, kuru nolūks ir iegūt nodokļu priekšrocības, vēršoties pret piemērojamā uzņēmumu ienākuma nodokļa tiesību akta priekšmetu vai nolūku.</w:t>
            </w:r>
          </w:p>
          <w:p w:rsidR="002D2C36" w:rsidRPr="00B952E5" w:rsidRDefault="002D2C36" w:rsidP="002D2C36">
            <w:pPr>
              <w:autoSpaceDE w:val="0"/>
              <w:autoSpaceDN w:val="0"/>
              <w:adjustRightInd w:val="0"/>
              <w:spacing w:after="0" w:line="240" w:lineRule="auto"/>
              <w:ind w:left="28" w:right="28"/>
              <w:jc w:val="both"/>
              <w:rPr>
                <w:rFonts w:ascii="Times New Roman" w:hAnsi="Times New Roman" w:cs="Times New Roman"/>
                <w:sz w:val="24"/>
                <w:szCs w:val="24"/>
              </w:rPr>
            </w:pPr>
            <w:r w:rsidRPr="00B952E5">
              <w:rPr>
                <w:rFonts w:ascii="Times New Roman" w:hAnsi="Times New Roman" w:cs="Times New Roman"/>
                <w:spacing w:val="-3"/>
                <w:sz w:val="24"/>
                <w:szCs w:val="24"/>
              </w:rPr>
              <w:t xml:space="preserve">Eiropas Komisijas ekspertu darba grupā 2020. gada 6. februāra sanāksmē uzsvērts, ka dalībvalstīm, pārņemot </w:t>
            </w:r>
            <w:r w:rsidRPr="00B952E5">
              <w:rPr>
                <w:rFonts w:ascii="Times New Roman" w:hAnsi="Times New Roman" w:cs="Times New Roman"/>
                <w:sz w:val="24"/>
                <w:szCs w:val="24"/>
              </w:rPr>
              <w:t>Direktīvas 2019/1937 prasības, ir obligāti jāpārņem visas jomas, uz ko attiecas minētā direktīva un tie tiesību akti, kas minēti Direktīvas 2019/1937 pielikumā, pamatojot, ka personai ir nepārprotami jāsaprot, ka ir ļoti būtiski celt trauksmi par Savienības tiesību aktu pārkāpumiem tajās jomās, kuras regulē direktīvas un regulas, kas minētas Direktīvas 2019/1937 pielikumā.</w:t>
            </w:r>
          </w:p>
          <w:p w:rsidR="002D2C36" w:rsidRPr="00B952E5" w:rsidRDefault="002D2C36" w:rsidP="002D2C36">
            <w:pPr>
              <w:autoSpaceDE w:val="0"/>
              <w:autoSpaceDN w:val="0"/>
              <w:adjustRightInd w:val="0"/>
              <w:spacing w:after="0" w:line="240" w:lineRule="auto"/>
              <w:ind w:left="28" w:right="28"/>
              <w:jc w:val="both"/>
            </w:pPr>
            <w:r w:rsidRPr="00B952E5">
              <w:rPr>
                <w:rFonts w:ascii="Times New Roman" w:hAnsi="Times New Roman" w:cs="Times New Roman"/>
                <w:sz w:val="24"/>
                <w:szCs w:val="24"/>
              </w:rPr>
              <w:t xml:space="preserve">Direktīvas 2019/1937 pielikuma I daļā uzskaitītas dažādas direktīvas un regulas. Savienības tiesību aktu uzskaitījuma mērķis ir skaidri un nepārprotami norādīt trauksmes cēlējiem, par kādu Savienības tiesību aktu pārkāpumiem ceļama trauksme un ir paredzēta aizsardzība. </w:t>
            </w:r>
          </w:p>
          <w:p w:rsidR="002D2C36" w:rsidRPr="00B952E5" w:rsidRDefault="002D2C36" w:rsidP="002D2C36">
            <w:pPr>
              <w:autoSpaceDE w:val="0"/>
              <w:autoSpaceDN w:val="0"/>
              <w:adjustRightInd w:val="0"/>
              <w:spacing w:after="0" w:line="240" w:lineRule="auto"/>
              <w:ind w:left="28" w:right="28"/>
              <w:jc w:val="both"/>
              <w:rPr>
                <w:rFonts w:ascii="Times New Roman" w:hAnsi="Times New Roman" w:cs="Times New Roman"/>
                <w:sz w:val="24"/>
                <w:szCs w:val="24"/>
              </w:rPr>
            </w:pPr>
            <w:r w:rsidRPr="00B952E5">
              <w:rPr>
                <w:rFonts w:ascii="Times New Roman" w:hAnsi="Times New Roman" w:cs="Times New Roman"/>
                <w:sz w:val="24"/>
                <w:szCs w:val="24"/>
              </w:rPr>
              <w:t xml:space="preserve">Tāpat jāuzsver, ka 2020. gada 7. decembrī Eiropas Komisijas trešajā ekspertu grupas sanāksmē </w:t>
            </w:r>
            <w:r w:rsidRPr="00B952E5">
              <w:rPr>
                <w:rStyle w:val="FootnoteReference"/>
                <w:rFonts w:ascii="Times New Roman" w:hAnsi="Times New Roman" w:cs="Times New Roman"/>
                <w:sz w:val="24"/>
                <w:szCs w:val="24"/>
              </w:rPr>
              <w:footnoteRef/>
            </w:r>
            <w:r w:rsidRPr="00B952E5">
              <w:rPr>
                <w:rFonts w:ascii="Times New Roman" w:hAnsi="Times New Roman" w:cs="Times New Roman"/>
                <w:sz w:val="24"/>
                <w:szCs w:val="24"/>
              </w:rPr>
              <w:t xml:space="preserve"> Eiropas Komisijas pārstāve uz Latvijas jautājumu par to, kā atspoguļot direktīvas šajā projektā, norādīja, ka regulējumā, ar kuru pārņem Direktīvu 2019/1937, ir </w:t>
            </w:r>
            <w:r w:rsidRPr="00B952E5">
              <w:rPr>
                <w:rFonts w:ascii="Times New Roman" w:hAnsi="Times New Roman" w:cs="Times New Roman"/>
                <w:sz w:val="24"/>
                <w:szCs w:val="24"/>
              </w:rPr>
              <w:lastRenderedPageBreak/>
              <w:t>noteikti pilnībā un nepārprotamā veidā jāpārnes Direktīvā 2019/1937  iekļauto direktīvu un regulu pilns saraksts.</w:t>
            </w:r>
          </w:p>
          <w:p w:rsidR="002D2C36" w:rsidRPr="00B952E5" w:rsidRDefault="002D2C36" w:rsidP="002D2C36">
            <w:pPr>
              <w:autoSpaceDE w:val="0"/>
              <w:autoSpaceDN w:val="0"/>
              <w:adjustRightInd w:val="0"/>
              <w:spacing w:after="0" w:line="240" w:lineRule="auto"/>
              <w:ind w:left="28" w:right="28"/>
              <w:jc w:val="both"/>
              <w:rPr>
                <w:rFonts w:ascii="Times New Roman" w:hAnsi="Times New Roman" w:cs="Times New Roman"/>
                <w:sz w:val="24"/>
                <w:szCs w:val="24"/>
              </w:rPr>
            </w:pPr>
            <w:r w:rsidRPr="00B952E5">
              <w:rPr>
                <w:rFonts w:ascii="Times New Roman" w:hAnsi="Times New Roman" w:cs="Times New Roman"/>
                <w:sz w:val="24"/>
                <w:szCs w:val="24"/>
              </w:rPr>
              <w:t>Ievērojot to, ka Latvijas normatīvo aktu tekstā var būt atsauces uz Savienības regulām vai regulu normām, savukārt atsauces uz Savienības direktīvām vai to normām netiek norādītas normatīvo aktu tekstā, jo Savienību direktīvu regulējums ir jāpārņem nacionālajos tiesību aktos (attiecīgi likumā vai Ministru kabineta noteikumos norādot informatīvo atsauci uz direktīvu, kuras regulējums pārņemts)</w:t>
            </w:r>
            <w:r w:rsidRPr="00B952E5">
              <w:rPr>
                <w:rStyle w:val="FootnoteReference"/>
                <w:rFonts w:ascii="Times New Roman" w:hAnsi="Times New Roman" w:cs="Times New Roman"/>
                <w:sz w:val="24"/>
                <w:szCs w:val="24"/>
              </w:rPr>
              <w:footnoteReference w:id="4"/>
            </w:r>
            <w:r w:rsidRPr="00B952E5">
              <w:rPr>
                <w:rFonts w:ascii="Times New Roman" w:hAnsi="Times New Roman" w:cs="Times New Roman"/>
                <w:sz w:val="24"/>
                <w:szCs w:val="24"/>
              </w:rPr>
              <w:t xml:space="preserve">, lai pārņemtu Direktīvas 2019/1937 2. panta 1. punktu un pielikuma I daļu, nevar </w:t>
            </w:r>
            <w:r>
              <w:rPr>
                <w:rFonts w:ascii="Times New Roman" w:hAnsi="Times New Roman" w:cs="Times New Roman"/>
                <w:sz w:val="24"/>
                <w:szCs w:val="24"/>
              </w:rPr>
              <w:t>Trauksmes celšanas likumam</w:t>
            </w:r>
            <w:r w:rsidRPr="00B952E5">
              <w:rPr>
                <w:rFonts w:ascii="Times New Roman" w:hAnsi="Times New Roman" w:cs="Times New Roman"/>
                <w:sz w:val="24"/>
                <w:szCs w:val="24"/>
              </w:rPr>
              <w:t xml:space="preserve"> pievienot pielikumu, kurā būtu pārrakstīta Direktīvas 2019/1937 pielikuma I daļa, proti, uzskaitītas visas direktīvas un regulas, par kuru pārkāpumiem būtu ceļama trauksme.</w:t>
            </w:r>
          </w:p>
          <w:p w:rsidR="002D2C36" w:rsidRPr="00B952E5" w:rsidRDefault="002D2C36" w:rsidP="002D2C36">
            <w:pPr>
              <w:autoSpaceDE w:val="0"/>
              <w:autoSpaceDN w:val="0"/>
              <w:adjustRightInd w:val="0"/>
              <w:spacing w:after="0" w:line="240" w:lineRule="auto"/>
              <w:ind w:right="28"/>
              <w:jc w:val="both"/>
              <w:rPr>
                <w:rFonts w:ascii="Times New Roman" w:hAnsi="Times New Roman" w:cs="Times New Roman"/>
                <w:sz w:val="24"/>
                <w:szCs w:val="24"/>
              </w:rPr>
            </w:pPr>
            <w:r w:rsidRPr="00B952E5">
              <w:rPr>
                <w:rFonts w:ascii="Times New Roman" w:hAnsi="Times New Roman" w:cs="Times New Roman"/>
                <w:sz w:val="24"/>
                <w:szCs w:val="24"/>
              </w:rPr>
              <w:t>Lai pārņemtu Direktīvas 2019/1937 2. panta 1. punktu</w:t>
            </w:r>
            <w:r>
              <w:rPr>
                <w:rFonts w:ascii="Times New Roman" w:hAnsi="Times New Roman" w:cs="Times New Roman"/>
                <w:sz w:val="24"/>
                <w:szCs w:val="24"/>
              </w:rPr>
              <w:t xml:space="preserve"> likumprojektā "Grozījumi Trauksmes celšanas likumā" (VSS-654)</w:t>
            </w:r>
            <w:r w:rsidRPr="00B952E5">
              <w:rPr>
                <w:rFonts w:ascii="Times New Roman" w:hAnsi="Times New Roman" w:cs="Times New Roman"/>
                <w:sz w:val="24"/>
                <w:szCs w:val="24"/>
              </w:rPr>
              <w:t xml:space="preserve"> tiek precizēti 3. panta pirmajā daļā uzskaitītie pārkāpumi, par kuriem būtu īpaši jāziņo. </w:t>
            </w:r>
          </w:p>
          <w:p w:rsidR="002D2C36" w:rsidRPr="002D2C36" w:rsidRDefault="002D2C36" w:rsidP="002D2C36">
            <w:pPr>
              <w:autoSpaceDE w:val="0"/>
              <w:autoSpaceDN w:val="0"/>
              <w:adjustRightInd w:val="0"/>
              <w:spacing w:after="0" w:line="240" w:lineRule="auto"/>
              <w:ind w:right="28"/>
              <w:jc w:val="both"/>
              <w:rPr>
                <w:rFonts w:ascii="Times New Roman" w:hAnsi="Times New Roman" w:cs="Times New Roman"/>
                <w:sz w:val="24"/>
                <w:szCs w:val="24"/>
              </w:rPr>
            </w:pPr>
            <w:r w:rsidRPr="00B952E5">
              <w:rPr>
                <w:rFonts w:ascii="Times New Roman" w:hAnsi="Times New Roman" w:cs="Times New Roman"/>
                <w:sz w:val="24"/>
                <w:szCs w:val="24"/>
              </w:rPr>
              <w:t>Savukārt attiecībā uz Direktīvas 2019/1937 2. panta 1. punkta "a" apakšpunktu un pielikuma I daļas pārņemšanu – Likumprojekts paredz dot deleģējumu Ministru kabinetam  noteikt</w:t>
            </w:r>
            <w:r w:rsidRPr="002D2C36">
              <w:rPr>
                <w:rFonts w:ascii="Times New Roman" w:hAnsi="Times New Roman" w:cs="Times New Roman"/>
                <w:sz w:val="24"/>
                <w:szCs w:val="24"/>
              </w:rPr>
              <w:t>, Eiropas Savienības tiesību aktus, par kuru pārkāpumiem ceļama trauksme, to regulējošās jomas un normatīvos aktus.</w:t>
            </w:r>
            <w:r w:rsidRPr="002D2C36">
              <w:rPr>
                <w:rStyle w:val="FootnoteReference"/>
                <w:rFonts w:ascii="Times New Roman" w:hAnsi="Times New Roman" w:cs="Times New Roman"/>
                <w:sz w:val="24"/>
                <w:szCs w:val="24"/>
              </w:rPr>
              <w:footnoteReference w:id="5"/>
            </w:r>
            <w:r w:rsidRPr="002D2C36">
              <w:rPr>
                <w:rFonts w:ascii="Times New Roman" w:hAnsi="Times New Roman" w:cs="Times New Roman"/>
                <w:sz w:val="24"/>
                <w:szCs w:val="24"/>
              </w:rPr>
              <w:t xml:space="preserve"> </w:t>
            </w:r>
          </w:p>
          <w:p w:rsidR="002D2C36" w:rsidRDefault="002D2C36" w:rsidP="002D2C36">
            <w:pPr>
              <w:pStyle w:val="tv213"/>
              <w:shd w:val="clear" w:color="auto" w:fill="FFFFFF"/>
              <w:spacing w:before="0" w:beforeAutospacing="0" w:after="0" w:afterAutospacing="0"/>
              <w:jc w:val="both"/>
            </w:pPr>
            <w:r w:rsidRPr="00B952E5">
              <w:t>Šāds regulējums</w:t>
            </w:r>
            <w:r w:rsidR="007F4384">
              <w:t xml:space="preserve"> (deleģējuma došana Ministru kabinetam)</w:t>
            </w:r>
            <w:r w:rsidRPr="00B952E5">
              <w:t xml:space="preserve"> ir piemērotāks, jo ir elastīgāks, tas ir, ja kādas jomas direktīva tiek grozīta vai jauns Savienības tiesību akts, par kura pārkāpumiem var ziņot, tiek iekļauts Direktīvā, vai mainās nacionālais normatīvais akts, ar kuru direktīvu prasības pārņemtas, tad nav nepieciešams grozīt </w:t>
            </w:r>
            <w:r>
              <w:t>Trauksmes celšanas likumu</w:t>
            </w:r>
            <w:r w:rsidRPr="00B952E5">
              <w:t>, bet būs grozāmi Ministru kabineta noteikumi, kas ir ātrāks un savlaicīgāks process.</w:t>
            </w:r>
          </w:p>
          <w:p w:rsidR="002D2C36" w:rsidRPr="002D2C36" w:rsidRDefault="002D2C36" w:rsidP="002D2C36">
            <w:pPr>
              <w:pStyle w:val="tv213"/>
              <w:shd w:val="clear" w:color="auto" w:fill="FFFFFF"/>
              <w:spacing w:before="0" w:beforeAutospacing="0" w:after="0" w:afterAutospacing="0"/>
              <w:jc w:val="both"/>
            </w:pPr>
            <w:r>
              <w:t xml:space="preserve">Ievērojot </w:t>
            </w:r>
            <w:r w:rsidRPr="002D2C36">
              <w:t>minēto, izstrādāts Noteikumu projekts</w:t>
            </w:r>
            <w:r w:rsidRPr="002D2C36">
              <w:rPr>
                <w:szCs w:val="28"/>
              </w:rPr>
              <w:t>, kura 1. pielikumā tiks noteikti Eiropas Savienības tiesību akti, par kuru pārkāpumiem ceļama trauksme, to regulējošās jomas un normatīvie akti</w:t>
            </w:r>
            <w:r>
              <w:rPr>
                <w:szCs w:val="28"/>
              </w:rPr>
              <w:t>.</w:t>
            </w:r>
          </w:p>
          <w:p w:rsidR="002D2C36" w:rsidRDefault="002D2C36" w:rsidP="00BB30C6">
            <w:pPr>
              <w:pStyle w:val="tv213"/>
              <w:shd w:val="clear" w:color="auto" w:fill="FFFFFF"/>
              <w:spacing w:before="0" w:beforeAutospacing="0" w:after="0" w:afterAutospacing="0"/>
              <w:jc w:val="both"/>
              <w:rPr>
                <w:spacing w:val="-3"/>
              </w:rPr>
            </w:pPr>
            <w:r w:rsidRPr="00B952E5">
              <w:t xml:space="preserve"> </w:t>
            </w:r>
          </w:p>
          <w:p w:rsidR="00BB30C6" w:rsidRPr="00ED5150" w:rsidRDefault="00BB30C6" w:rsidP="00BB30C6">
            <w:pPr>
              <w:pStyle w:val="tv213"/>
              <w:shd w:val="clear" w:color="auto" w:fill="FFFFFF"/>
              <w:spacing w:before="0" w:beforeAutospacing="0" w:after="0" w:afterAutospacing="0"/>
              <w:jc w:val="both"/>
            </w:pPr>
            <w:r w:rsidRPr="00B952E5">
              <w:rPr>
                <w:spacing w:val="-3"/>
              </w:rPr>
              <w:t xml:space="preserve">Saskaņā ar </w:t>
            </w:r>
            <w:r w:rsidRPr="00B952E5">
              <w:t>Direktīvas 2019/1937 3. panta 1. punktu un pielikuma II daļu</w:t>
            </w:r>
            <w:r w:rsidRPr="00B952E5">
              <w:rPr>
                <w:spacing w:val="-3"/>
              </w:rPr>
              <w:t xml:space="preserve"> </w:t>
            </w:r>
            <w:r w:rsidRPr="00B952E5">
              <w:t xml:space="preserve">direktīvas prasības piemēro tiktāl ciktāl tas nav pretrunā ar pārkāpumu ziņošanas kārtību, </w:t>
            </w:r>
            <w:r w:rsidRPr="00B952E5">
              <w:lastRenderedPageBreak/>
              <w:t xml:space="preserve">ko </w:t>
            </w:r>
            <w:r w:rsidRPr="00ED5150">
              <w:t>paredz Direktīvas 2019/1937 pielikuma II daļā uzskaitītās direktīvas un regulas.</w:t>
            </w:r>
          </w:p>
          <w:p w:rsidR="00BB30C6" w:rsidRPr="00ED5150" w:rsidRDefault="002D2C36" w:rsidP="002D2C36">
            <w:pPr>
              <w:shd w:val="clear" w:color="auto" w:fill="FFFFFF"/>
              <w:spacing w:after="0" w:line="240" w:lineRule="auto"/>
              <w:jc w:val="both"/>
              <w:rPr>
                <w:rFonts w:ascii="Times New Roman" w:hAnsi="Times New Roman" w:cs="Times New Roman"/>
                <w:sz w:val="24"/>
                <w:szCs w:val="24"/>
              </w:rPr>
            </w:pPr>
            <w:r w:rsidRPr="00ED5150">
              <w:rPr>
                <w:rFonts w:ascii="Times New Roman" w:hAnsi="Times New Roman" w:cs="Times New Roman"/>
                <w:sz w:val="24"/>
                <w:szCs w:val="24"/>
              </w:rPr>
              <w:t xml:space="preserve">Ievērojot minēto, likumprojekts "Grozījumi Trauksmes celšanas likumā" (VSS-654) paredz </w:t>
            </w:r>
            <w:r w:rsidR="00BB30C6" w:rsidRPr="00ED5150">
              <w:rPr>
                <w:rFonts w:ascii="Times New Roman" w:hAnsi="Times New Roman" w:cs="Times New Roman"/>
                <w:sz w:val="24"/>
                <w:szCs w:val="24"/>
              </w:rPr>
              <w:t xml:space="preserve"> papildināt</w:t>
            </w:r>
            <w:r w:rsidRPr="00ED5150">
              <w:rPr>
                <w:rFonts w:ascii="Times New Roman" w:hAnsi="Times New Roman" w:cs="Times New Roman"/>
                <w:sz w:val="24"/>
                <w:szCs w:val="24"/>
              </w:rPr>
              <w:t xml:space="preserve"> likuma </w:t>
            </w:r>
            <w:r w:rsidR="00BB30C6" w:rsidRPr="00ED5150">
              <w:rPr>
                <w:rFonts w:ascii="Times New Roman" w:hAnsi="Times New Roman" w:cs="Times New Roman"/>
                <w:sz w:val="24"/>
                <w:szCs w:val="24"/>
              </w:rPr>
              <w:t xml:space="preserve">2. pantu ar otro daļu, nosakot, ka </w:t>
            </w:r>
            <w:r w:rsidR="00ED5150" w:rsidRPr="00ED5150">
              <w:rPr>
                <w:rFonts w:ascii="Times New Roman" w:hAnsi="Times New Roman" w:cs="Times New Roman"/>
                <w:sz w:val="24"/>
                <w:szCs w:val="24"/>
              </w:rPr>
              <w:t>l</w:t>
            </w:r>
            <w:r w:rsidRPr="00ED5150">
              <w:rPr>
                <w:rFonts w:ascii="Times New Roman" w:hAnsi="Times New Roman" w:cs="Times New Roman"/>
                <w:sz w:val="24"/>
                <w:szCs w:val="24"/>
              </w:rPr>
              <w:t>ikumu piemēro </w:t>
            </w:r>
            <w:r w:rsidRPr="00ED5150">
              <w:rPr>
                <w:rStyle w:val="highlight"/>
                <w:rFonts w:ascii="Times New Roman" w:hAnsi="Times New Roman" w:cs="Times New Roman"/>
                <w:sz w:val="24"/>
                <w:szCs w:val="24"/>
              </w:rPr>
              <w:t>tiktāl, ciktāl</w:t>
            </w:r>
            <w:r w:rsidRPr="00ED5150">
              <w:rPr>
                <w:rFonts w:ascii="Times New Roman" w:hAnsi="Times New Roman" w:cs="Times New Roman"/>
                <w:sz w:val="24"/>
                <w:szCs w:val="24"/>
              </w:rPr>
              <w:t xml:space="preserve"> tas nav pretrunā ar pārkāpumu ziņošanas kārtību, ko paredz speciālie normatīvie akti, tostarp Eiropas Savienības tiesību akti. </w:t>
            </w:r>
            <w:r w:rsidRPr="00ED5150">
              <w:rPr>
                <w:rFonts w:ascii="Times New Roman" w:hAnsi="Times New Roman" w:cs="Times New Roman"/>
                <w:sz w:val="24"/>
                <w:szCs w:val="24"/>
                <w:shd w:val="clear" w:color="auto" w:fill="FFFFFF"/>
              </w:rPr>
              <w:t>Pārkāpumu jomas un attiecīgos speciālos normatīvos aktus nosaka Ministru kabinets.</w:t>
            </w:r>
            <w:r w:rsidR="00BB30C6" w:rsidRPr="00ED5150">
              <w:rPr>
                <w:rStyle w:val="FootnoteReference"/>
                <w:rFonts w:ascii="Times New Roman" w:hAnsi="Times New Roman" w:cs="Times New Roman"/>
                <w:sz w:val="24"/>
                <w:szCs w:val="24"/>
              </w:rPr>
              <w:t xml:space="preserve"> </w:t>
            </w:r>
          </w:p>
          <w:p w:rsidR="00ED5150" w:rsidRPr="0053353E" w:rsidRDefault="00ED5150" w:rsidP="002D2C36">
            <w:pPr>
              <w:shd w:val="clear" w:color="auto" w:fill="FFFFFF"/>
              <w:spacing w:after="0" w:line="240" w:lineRule="auto"/>
              <w:jc w:val="both"/>
              <w:rPr>
                <w:rFonts w:ascii="Times New Roman" w:hAnsi="Times New Roman" w:cs="Times New Roman"/>
                <w:sz w:val="24"/>
                <w:szCs w:val="24"/>
              </w:rPr>
            </w:pPr>
            <w:r w:rsidRPr="00ED5150">
              <w:rPr>
                <w:rFonts w:ascii="Times New Roman" w:hAnsi="Times New Roman" w:cs="Times New Roman"/>
                <w:sz w:val="24"/>
                <w:szCs w:val="24"/>
              </w:rPr>
              <w:t xml:space="preserve">Līdz ar to izstrādāts Noteikumu projekts, kura 2. pielikumā tiks noteikti Eiropas </w:t>
            </w:r>
            <w:r w:rsidRPr="0053353E">
              <w:rPr>
                <w:rFonts w:ascii="Times New Roman" w:hAnsi="Times New Roman" w:cs="Times New Roman"/>
                <w:sz w:val="24"/>
                <w:szCs w:val="24"/>
              </w:rPr>
              <w:t>Savienības tiesību akti, kuros ir paredzēta citāda ziņošanas kārtība, to regulējošās jomas un normatīvie akti.</w:t>
            </w:r>
          </w:p>
          <w:p w:rsidR="00BB30C6" w:rsidRPr="0053353E" w:rsidRDefault="00BB30C6" w:rsidP="00BB30C6">
            <w:pPr>
              <w:autoSpaceDE w:val="0"/>
              <w:autoSpaceDN w:val="0"/>
              <w:adjustRightInd w:val="0"/>
              <w:spacing w:after="0" w:line="240" w:lineRule="auto"/>
              <w:ind w:left="28" w:right="28"/>
              <w:jc w:val="both"/>
              <w:rPr>
                <w:rFonts w:ascii="Times New Roman" w:hAnsi="Times New Roman" w:cs="Times New Roman"/>
                <w:spacing w:val="-3"/>
                <w:sz w:val="24"/>
                <w:szCs w:val="24"/>
              </w:rPr>
            </w:pPr>
          </w:p>
          <w:p w:rsidR="00ED5150" w:rsidRPr="0053353E" w:rsidRDefault="00ED5150" w:rsidP="00ED5150">
            <w:pPr>
              <w:pStyle w:val="tv213"/>
              <w:shd w:val="clear" w:color="auto" w:fill="FFFFFF"/>
              <w:spacing w:before="0" w:beforeAutospacing="0" w:after="0" w:afterAutospacing="0"/>
              <w:jc w:val="both"/>
              <w:rPr>
                <w:spacing w:val="-3"/>
              </w:rPr>
            </w:pPr>
            <w:r w:rsidRPr="0053353E">
              <w:t>Direktīvas 2</w:t>
            </w:r>
            <w:r w:rsidR="007F4384">
              <w:t>019/1937 19. apsvērumā norādīt</w:t>
            </w:r>
            <w:r w:rsidRPr="0053353E">
              <w:t xml:space="preserve">s, ka </w:t>
            </w:r>
            <w:r w:rsidRPr="0053353E">
              <w:rPr>
                <w:shd w:val="clear" w:color="auto" w:fill="FFFFFF"/>
              </w:rPr>
              <w:t>atsauce uz pielikumā minētajiem Savienības tiesību aktiem ir jāsaprot kā dinamiska atsauce saskaņā ar standarta sistēmu, kā veido atsauces uz Savienības tiesību aktiem. Tādēļ, ja pielikumā minētais Savienības akts ir grozīts, atsauce attiecas uz minēto aktu grozītajā redakcijā; ja pielikumā minētais Savienības akts ir aizstāts, atsauce attiecas uz jauno aktu.</w:t>
            </w:r>
          </w:p>
          <w:p w:rsidR="00BB30C6" w:rsidRPr="0053353E" w:rsidRDefault="00BB30C6" w:rsidP="00BB30C6">
            <w:pPr>
              <w:autoSpaceDE w:val="0"/>
              <w:autoSpaceDN w:val="0"/>
              <w:adjustRightInd w:val="0"/>
              <w:spacing w:after="0" w:line="240" w:lineRule="auto"/>
              <w:ind w:left="28" w:right="28"/>
              <w:jc w:val="both"/>
              <w:rPr>
                <w:rFonts w:ascii="Times New Roman" w:hAnsi="Times New Roman" w:cs="Times New Roman"/>
                <w:sz w:val="24"/>
                <w:szCs w:val="24"/>
                <w:shd w:val="clear" w:color="auto" w:fill="FFFFFF"/>
              </w:rPr>
            </w:pPr>
          </w:p>
          <w:p w:rsidR="00ED5150" w:rsidRPr="0053353E" w:rsidRDefault="00ED5150" w:rsidP="0053353E">
            <w:pPr>
              <w:autoSpaceDE w:val="0"/>
              <w:autoSpaceDN w:val="0"/>
              <w:adjustRightInd w:val="0"/>
              <w:spacing w:after="0" w:line="240" w:lineRule="auto"/>
              <w:ind w:left="28" w:right="28"/>
              <w:jc w:val="both"/>
              <w:rPr>
                <w:rFonts w:ascii="Times New Roman" w:hAnsi="Times New Roman" w:cs="Times New Roman"/>
                <w:sz w:val="24"/>
                <w:szCs w:val="24"/>
                <w:shd w:val="clear" w:color="auto" w:fill="FFFFFF"/>
              </w:rPr>
            </w:pPr>
            <w:r w:rsidRPr="0053353E">
              <w:rPr>
                <w:rFonts w:ascii="Times New Roman" w:hAnsi="Times New Roman" w:cs="Times New Roman"/>
                <w:sz w:val="24"/>
                <w:szCs w:val="24"/>
                <w:shd w:val="clear" w:color="auto" w:fill="FFFFFF"/>
              </w:rPr>
              <w:t>Eiropas Parlamenta un Padomes 2020. gada 7. oktobra Regulas (ES) 2020/1503 par Eiropas kolektīvās finansēšanas pakalpojumu sniedzējiem uzņēmējdarbībai un ar ko groza Regulu (ES) 2017/1129 un Direktīvu (ES) 2019/1937</w:t>
            </w:r>
            <w:r w:rsidR="007F4384">
              <w:rPr>
                <w:rFonts w:ascii="Times New Roman" w:hAnsi="Times New Roman" w:cs="Times New Roman"/>
                <w:sz w:val="24"/>
                <w:szCs w:val="24"/>
                <w:shd w:val="clear" w:color="auto" w:fill="FFFFFF"/>
              </w:rPr>
              <w:t xml:space="preserve"> (turpmāk – Regula)</w:t>
            </w:r>
            <w:r w:rsidRPr="0053353E">
              <w:rPr>
                <w:rFonts w:ascii="Times New Roman" w:hAnsi="Times New Roman" w:cs="Times New Roman"/>
                <w:sz w:val="24"/>
                <w:szCs w:val="24"/>
                <w:shd w:val="clear" w:color="auto" w:fill="FFFFFF"/>
              </w:rPr>
              <w:t xml:space="preserve"> 68. apsvērumā norādīts, ka trauksmes cēlēji var vērst kompetento iestāžu uzmanību uz jaunu informāciju, kas tām palīdz konstatēt šīs regulas pārkāpumus un uzlikt sodus. Tādēļ šai regulai būtu jānodrošina, ka tiek ieviesti adekvāti pasākumi, lai trauksmes cēlējiem dotu iespēju brīdināt kompetentās iestādes par faktiskiem vai iespējamiem šīs regulas pārkāpumiem un lai pasargātu tos no atriebības. Tas būtu jādara, grozot Eiropas Parlamenta un Padomes Direktīvu (ES) 2019/1937, lai to padarītu piemērojamu šīs regulas pārkāpumiem.</w:t>
            </w:r>
          </w:p>
          <w:p w:rsidR="00ED5150" w:rsidRDefault="00ED5150" w:rsidP="0053353E">
            <w:pPr>
              <w:pStyle w:val="oj-normal"/>
              <w:shd w:val="clear" w:color="auto" w:fill="FFFFFF"/>
              <w:spacing w:before="0" w:beforeAutospacing="0" w:after="0" w:afterAutospacing="0"/>
              <w:jc w:val="both"/>
            </w:pPr>
            <w:r w:rsidRPr="0053353E">
              <w:rPr>
                <w:shd w:val="clear" w:color="auto" w:fill="FFFFFF"/>
              </w:rPr>
              <w:t xml:space="preserve">Ievērojot minēto, </w:t>
            </w:r>
            <w:r w:rsidR="007F4384">
              <w:rPr>
                <w:shd w:val="clear" w:color="auto" w:fill="FFFFFF"/>
              </w:rPr>
              <w:t>Regulas</w:t>
            </w:r>
            <w:r w:rsidRPr="0053353E">
              <w:rPr>
                <w:shd w:val="clear" w:color="auto" w:fill="FFFFFF"/>
              </w:rPr>
              <w:t xml:space="preserve"> 47. pantā noteikts, ka "</w:t>
            </w:r>
            <w:r w:rsidRPr="0053353E">
              <w:t>Direktīvas (ES) 2019/1937 Pielikuma I daļas B iedaļā pievieno šādu punktu:</w:t>
            </w:r>
          </w:p>
          <w:p w:rsidR="007F4384" w:rsidRPr="0053353E" w:rsidRDefault="007F4384" w:rsidP="0053353E">
            <w:pPr>
              <w:pStyle w:val="oj-normal"/>
              <w:shd w:val="clear" w:color="auto" w:fill="FFFFFF"/>
              <w:spacing w:before="0" w:beforeAutospacing="0" w:after="0" w:afterAutospacing="0"/>
              <w:jc w:val="both"/>
            </w:pPr>
            <w:r>
              <w:t xml:space="preserve">"xxi) </w:t>
            </w:r>
            <w:r w:rsidRPr="0053353E">
              <w:t>Eiropas Parlamenta un Padomes Regula (ES) 2020/1503 (2020. gada 7. oktobris) par Eiropas kolektīvās finansēšanas pakalpojumu sniedzējiem uzņēmējdarbībai un ar ko groza Regulu (ES) 2017/1129 un Direktīvu (ES) 2019/1937 (</w:t>
            </w:r>
            <w:hyperlink r:id="rId8" w:history="1">
              <w:r w:rsidRPr="0053353E">
                <w:rPr>
                  <w:rStyle w:val="Hyperlink"/>
                  <w:color w:val="auto"/>
                </w:rPr>
                <w:t>OV L 347, 20.10.2020., 1. lpp.</w:t>
              </w:r>
            </w:hyperlink>
            <w:r w:rsidRPr="0053353E">
              <w:t>)."</w:t>
            </w:r>
          </w:p>
          <w:p w:rsidR="00BB30C6" w:rsidRPr="0053353E" w:rsidRDefault="007F4384" w:rsidP="007F4384">
            <w:pPr>
              <w:autoSpaceDE w:val="0"/>
              <w:autoSpaceDN w:val="0"/>
              <w:adjustRightInd w:val="0"/>
              <w:spacing w:after="0" w:line="240" w:lineRule="auto"/>
              <w:ind w:right="2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Tādējādi ar minēto</w:t>
            </w:r>
            <w:r w:rsidR="00ED5150" w:rsidRPr="0053353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w:t>
            </w:r>
            <w:r w:rsidR="00ED5150" w:rsidRPr="0053353E">
              <w:rPr>
                <w:rFonts w:ascii="Times New Roman" w:hAnsi="Times New Roman" w:cs="Times New Roman"/>
                <w:sz w:val="24"/>
                <w:szCs w:val="24"/>
                <w:shd w:val="clear" w:color="auto" w:fill="FFFFFF"/>
              </w:rPr>
              <w:t>egulu tiek groz</w:t>
            </w:r>
            <w:r w:rsidR="0053353E">
              <w:rPr>
                <w:rFonts w:ascii="Times New Roman" w:hAnsi="Times New Roman" w:cs="Times New Roman"/>
                <w:sz w:val="24"/>
                <w:szCs w:val="24"/>
                <w:shd w:val="clear" w:color="auto" w:fill="FFFFFF"/>
              </w:rPr>
              <w:t>īta</w:t>
            </w:r>
            <w:r w:rsidR="00ED5150" w:rsidRPr="0053353E">
              <w:rPr>
                <w:rFonts w:ascii="Times New Roman" w:hAnsi="Times New Roman" w:cs="Times New Roman"/>
                <w:sz w:val="24"/>
                <w:szCs w:val="24"/>
                <w:shd w:val="clear" w:color="auto" w:fill="FFFFFF"/>
              </w:rPr>
              <w:t xml:space="preserve"> Direktīvas 2019/1937 pielikuma I daļas B iedaļa, kas attiecas uz finanšu un kapitāla tirgus sektoru, nelikumīgi iegūtu līdzekļu legalizēšana un terorisma un proliferācijas </w:t>
            </w:r>
            <w:r w:rsidR="00ED5150" w:rsidRPr="0053353E">
              <w:rPr>
                <w:rFonts w:ascii="Times New Roman" w:hAnsi="Times New Roman" w:cs="Times New Roman"/>
                <w:sz w:val="24"/>
                <w:szCs w:val="24"/>
                <w:shd w:val="clear" w:color="auto" w:fill="FFFFFF"/>
              </w:rPr>
              <w:lastRenderedPageBreak/>
              <w:t>finansēšanu.</w:t>
            </w:r>
            <w:r w:rsidR="004D44FF" w:rsidRPr="0053353E">
              <w:rPr>
                <w:rFonts w:ascii="Times New Roman" w:hAnsi="Times New Roman" w:cs="Times New Roman"/>
                <w:sz w:val="24"/>
                <w:szCs w:val="24"/>
                <w:shd w:val="clear" w:color="auto" w:fill="FFFFFF"/>
              </w:rPr>
              <w:br/>
              <w:t xml:space="preserve">Ievērojot minēto, Noteikumu projekta 1. pielikumā pie Savienības tiesību aktu pārkāpumu jomas –  Finanšu un kapitāla tirgus sektors, nelikumīgi iegūtu līdzekļu legalizēšana un terorisma un proliferācijas finansēšana </w:t>
            </w:r>
            <w:r w:rsidR="0053353E">
              <w:rPr>
                <w:rFonts w:ascii="Times New Roman" w:hAnsi="Times New Roman" w:cs="Times New Roman"/>
                <w:sz w:val="24"/>
                <w:szCs w:val="24"/>
                <w:shd w:val="clear" w:color="auto" w:fill="FFFFFF"/>
              </w:rPr>
              <w:t xml:space="preserve">– </w:t>
            </w:r>
            <w:r w:rsidR="0053353E" w:rsidRPr="0053353E">
              <w:rPr>
                <w:rFonts w:ascii="Times New Roman" w:hAnsi="Times New Roman" w:cs="Times New Roman"/>
                <w:sz w:val="24"/>
                <w:szCs w:val="24"/>
                <w:shd w:val="clear" w:color="auto" w:fill="FFFFFF"/>
              </w:rPr>
              <w:t>tiek norādīta arī Eiropas Parlamenta un Padom</w:t>
            </w:r>
            <w:r w:rsidR="00D879B1">
              <w:rPr>
                <w:rFonts w:ascii="Times New Roman" w:hAnsi="Times New Roman" w:cs="Times New Roman"/>
                <w:sz w:val="24"/>
                <w:szCs w:val="24"/>
                <w:shd w:val="clear" w:color="auto" w:fill="FFFFFF"/>
              </w:rPr>
              <w:t>es 2020. gada 7. oktobra Regula</w:t>
            </w:r>
            <w:r w:rsidR="0053353E" w:rsidRPr="0053353E">
              <w:rPr>
                <w:rFonts w:ascii="Times New Roman" w:hAnsi="Times New Roman" w:cs="Times New Roman"/>
                <w:sz w:val="24"/>
                <w:szCs w:val="24"/>
                <w:shd w:val="clear" w:color="auto" w:fill="FFFFFF"/>
              </w:rPr>
              <w:t xml:space="preserve"> (ES) 2020/1503 par Eiropas kolektīvās finansēšanas pakalpojumu sniedzējiem uzņēmējdarbībai un ar ko groza Regulu (ES) 2017/1129 un Direktīvu (ES) 2019/1937, par kuras pārkāpumiem ceļama trauksme.</w:t>
            </w:r>
          </w:p>
        </w:tc>
      </w:tr>
      <w:tr w:rsidR="00BB30C6" w:rsidRPr="00B952E5" w:rsidTr="00BB30C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hAnsi="Times New Roman" w:cs="Times New Roman"/>
                <w:sz w:val="24"/>
                <w:szCs w:val="24"/>
                <w:lang w:eastAsia="x-none"/>
              </w:rPr>
            </w:pPr>
            <w:r w:rsidRPr="00B952E5">
              <w:rPr>
                <w:rFonts w:ascii="Times New Roman" w:hAnsi="Times New Roman" w:cs="Times New Roman"/>
                <w:sz w:val="24"/>
                <w:szCs w:val="24"/>
                <w:lang w:eastAsia="x-none"/>
              </w:rPr>
              <w:t>Valsts kanceleja.</w:t>
            </w:r>
          </w:p>
          <w:p w:rsidR="00BB30C6" w:rsidRPr="00B952E5" w:rsidRDefault="00BB30C6" w:rsidP="00BB30C6">
            <w:pPr>
              <w:spacing w:after="0" w:line="240" w:lineRule="auto"/>
              <w:rPr>
                <w:rFonts w:ascii="Times New Roman" w:eastAsia="Times New Roman" w:hAnsi="Times New Roman" w:cs="Times New Roman"/>
                <w:iCs/>
                <w:sz w:val="24"/>
                <w:szCs w:val="24"/>
                <w:lang w:eastAsia="lv-LV"/>
              </w:rPr>
            </w:pPr>
          </w:p>
          <w:p w:rsidR="00BB30C6" w:rsidRPr="00B952E5" w:rsidRDefault="00BB30C6" w:rsidP="00BB30C6">
            <w:pPr>
              <w:spacing w:after="0" w:line="240" w:lineRule="auto"/>
              <w:rPr>
                <w:rFonts w:ascii="Times New Roman" w:eastAsia="Times New Roman" w:hAnsi="Times New Roman" w:cs="Times New Roman"/>
                <w:iCs/>
                <w:sz w:val="24"/>
                <w:szCs w:val="24"/>
                <w:lang w:eastAsia="lv-LV"/>
              </w:rPr>
            </w:pPr>
          </w:p>
        </w:tc>
      </w:tr>
      <w:tr w:rsidR="00BB30C6" w:rsidRPr="00B952E5" w:rsidTr="00BB30C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jc w:val="both"/>
              <w:rPr>
                <w:rFonts w:ascii="Times New Roman" w:eastAsia="Times New Roman" w:hAnsi="Times New Roman" w:cs="Times New Roman"/>
                <w:iCs/>
                <w:sz w:val="24"/>
                <w:szCs w:val="24"/>
                <w:lang w:eastAsia="lv-LV"/>
              </w:rPr>
            </w:pPr>
            <w:r w:rsidRPr="00B952E5">
              <w:rPr>
                <w:rFonts w:ascii="Times New Roman" w:hAnsi="Times New Roman" w:cs="Times New Roman"/>
                <w:sz w:val="24"/>
                <w:szCs w:val="24"/>
                <w:lang w:eastAsia="x-none"/>
              </w:rPr>
              <w:t>Nav.</w:t>
            </w:r>
          </w:p>
        </w:tc>
      </w:tr>
    </w:tbl>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B30C6" w:rsidRPr="00B952E5" w:rsidTr="00BB30C6">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B30C6" w:rsidRPr="00B952E5" w:rsidRDefault="00BB30C6" w:rsidP="00BB30C6">
            <w:pPr>
              <w:spacing w:after="0" w:line="240" w:lineRule="auto"/>
              <w:jc w:val="center"/>
              <w:rPr>
                <w:rFonts w:ascii="Times New Roman" w:eastAsia="Times New Roman" w:hAnsi="Times New Roman" w:cs="Times New Roman"/>
                <w:b/>
                <w:bCs/>
                <w:iCs/>
                <w:sz w:val="24"/>
                <w:szCs w:val="24"/>
                <w:lang w:eastAsia="lv-LV"/>
              </w:rPr>
            </w:pPr>
            <w:r w:rsidRPr="00B952E5">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BB30C6" w:rsidRPr="00B952E5" w:rsidTr="00BB30C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tcPr>
          <w:p w:rsidR="00BB30C6" w:rsidRPr="00B952E5" w:rsidRDefault="00BB30C6" w:rsidP="00BB30C6">
            <w:pPr>
              <w:spacing w:after="0" w:line="240" w:lineRule="auto"/>
              <w:jc w:val="both"/>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Publisko un privāto tiesību juridiskās personas.</w:t>
            </w:r>
          </w:p>
          <w:p w:rsidR="00BB30C6" w:rsidRPr="00B952E5" w:rsidRDefault="00BB30C6" w:rsidP="00BB30C6">
            <w:pPr>
              <w:spacing w:after="0" w:line="240" w:lineRule="auto"/>
              <w:jc w:val="both"/>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Trauksmes cēlēji – Latvijas iedzīvotāji.</w:t>
            </w:r>
          </w:p>
          <w:p w:rsidR="00BB30C6" w:rsidRPr="00B952E5" w:rsidRDefault="00BB30C6" w:rsidP="00BB30C6">
            <w:pPr>
              <w:spacing w:after="0" w:line="240" w:lineRule="auto"/>
              <w:jc w:val="both"/>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Mērķgrupas aptuveno skaitlisko vērtību grūti aprēķināt.</w:t>
            </w:r>
          </w:p>
        </w:tc>
      </w:tr>
      <w:tr w:rsidR="00BB30C6" w:rsidRPr="00B952E5" w:rsidTr="00BB30C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tcPr>
          <w:p w:rsidR="00BB30C6" w:rsidRPr="00B952E5" w:rsidRDefault="0053353E" w:rsidP="00BB30C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 šo jomu neskar.</w:t>
            </w:r>
          </w:p>
        </w:tc>
      </w:tr>
      <w:tr w:rsidR="00BB30C6" w:rsidRPr="00B952E5" w:rsidTr="00BB30C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BB30C6" w:rsidRPr="00B952E5" w:rsidRDefault="0053353E" w:rsidP="00BB30C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 šo jomu neskar.</w:t>
            </w:r>
          </w:p>
        </w:tc>
      </w:tr>
      <w:tr w:rsidR="00BB30C6" w:rsidRPr="00B952E5" w:rsidTr="00BB30C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BB30C6" w:rsidRPr="00B952E5" w:rsidRDefault="0053353E" w:rsidP="00BB30C6">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 šo jomu neskar.</w:t>
            </w:r>
          </w:p>
        </w:tc>
      </w:tr>
      <w:tr w:rsidR="00BB30C6" w:rsidRPr="00B952E5" w:rsidTr="00BB30C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jc w:val="both"/>
              <w:rPr>
                <w:rFonts w:ascii="Times New Roman" w:eastAsia="Times New Roman" w:hAnsi="Times New Roman" w:cs="Times New Roman"/>
                <w:sz w:val="24"/>
                <w:szCs w:val="24"/>
                <w:lang w:eastAsia="x-none"/>
              </w:rPr>
            </w:pPr>
            <w:r w:rsidRPr="00B952E5">
              <w:rPr>
                <w:rFonts w:ascii="Times New Roman" w:eastAsia="Times New Roman" w:hAnsi="Times New Roman" w:cs="Times New Roman"/>
                <w:sz w:val="24"/>
                <w:szCs w:val="24"/>
                <w:lang w:eastAsia="x-none"/>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BB30C6" w:rsidRPr="00B952E5" w:rsidRDefault="0053353E" w:rsidP="00BB30C6">
            <w:pPr>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iCs/>
                <w:sz w:val="24"/>
                <w:szCs w:val="24"/>
                <w:lang w:eastAsia="lv-LV"/>
              </w:rPr>
              <w:t>Noteikumu projekts šo jomu neskar.</w:t>
            </w:r>
          </w:p>
        </w:tc>
      </w:tr>
    </w:tbl>
    <w:p w:rsidR="00BB30C6" w:rsidRPr="00B952E5" w:rsidRDefault="00BB30C6" w:rsidP="00BB30C6">
      <w:pPr>
        <w:spacing w:after="0" w:line="240" w:lineRule="auto"/>
        <w:rPr>
          <w:rFonts w:ascii="Times New Roman" w:hAnsi="Times New Roman" w:cs="Times New Roman"/>
          <w:sz w:val="24"/>
          <w:szCs w:val="24"/>
        </w:rPr>
      </w:pPr>
      <w:r w:rsidRPr="00B952E5">
        <w:rPr>
          <w:rFonts w:ascii="Times New Roman" w:eastAsia="Times New Roman" w:hAnsi="Times New Roman" w:cs="Times New Roman"/>
          <w:iCs/>
          <w:sz w:val="24"/>
          <w:szCs w:val="24"/>
          <w:lang w:eastAsia="lv-LV"/>
        </w:rPr>
        <w:t xml:space="preserve">  </w:t>
      </w:r>
    </w:p>
    <w:tbl>
      <w:tblPr>
        <w:tblW w:w="5000" w:type="pct"/>
        <w:tblBorders>
          <w:top w:val="thickThinLargeGap" w:sz="12" w:space="0" w:color="D0CECE" w:themeColor="background2" w:themeShade="E6"/>
          <w:left w:val="thickThinLargeGap" w:sz="12" w:space="0" w:color="D0CECE" w:themeColor="background2" w:themeShade="E6"/>
          <w:bottom w:val="thickThinLargeGap" w:sz="12" w:space="0" w:color="D0CECE" w:themeColor="background2" w:themeShade="E6"/>
          <w:right w:val="thickThinLargeGap" w:sz="12" w:space="0" w:color="D0CECE" w:themeColor="background2" w:themeShade="E6"/>
          <w:insideH w:val="thickThinLargeGap" w:sz="12" w:space="0" w:color="D0CECE" w:themeColor="background2" w:themeShade="E6"/>
          <w:insideV w:val="thickThinLargeGap" w:sz="12" w:space="0" w:color="D0CECE" w:themeColor="background2" w:themeShade="E6"/>
        </w:tblBorders>
        <w:shd w:val="clear" w:color="auto" w:fill="FFFFFF"/>
        <w:tblCellMar>
          <w:top w:w="30" w:type="dxa"/>
          <w:left w:w="30" w:type="dxa"/>
          <w:bottom w:w="30" w:type="dxa"/>
          <w:right w:w="30" w:type="dxa"/>
        </w:tblCellMar>
        <w:tblLook w:val="04A0" w:firstRow="1" w:lastRow="0" w:firstColumn="1" w:lastColumn="0" w:noHBand="0" w:noVBand="1"/>
      </w:tblPr>
      <w:tblGrid>
        <w:gridCol w:w="8995"/>
      </w:tblGrid>
      <w:tr w:rsidR="00BB30C6" w:rsidRPr="00B952E5" w:rsidTr="00BB30C6">
        <w:tc>
          <w:tcPr>
            <w:tcW w:w="0" w:type="auto"/>
            <w:shd w:val="clear" w:color="auto" w:fill="FFFFFF"/>
            <w:vAlign w:val="center"/>
            <w:hideMark/>
          </w:tcPr>
          <w:p w:rsidR="00BB30C6" w:rsidRPr="00B952E5" w:rsidRDefault="00BB30C6" w:rsidP="00BB30C6">
            <w:pPr>
              <w:spacing w:after="0" w:line="240" w:lineRule="auto"/>
              <w:jc w:val="center"/>
              <w:rPr>
                <w:rFonts w:ascii="Times New Roman" w:hAnsi="Times New Roman" w:cs="Times New Roman"/>
                <w:b/>
                <w:bCs/>
                <w:sz w:val="24"/>
                <w:szCs w:val="24"/>
              </w:rPr>
            </w:pPr>
            <w:r w:rsidRPr="00B952E5">
              <w:rPr>
                <w:rFonts w:ascii="Times New Roman" w:hAnsi="Times New Roman" w:cs="Times New Roman"/>
                <w:b/>
                <w:bCs/>
                <w:sz w:val="24"/>
                <w:szCs w:val="24"/>
              </w:rPr>
              <w:t>III. Tiesību akta projekta ietekme uz valsts budžetu un pašvaldību budžetiem</w:t>
            </w:r>
          </w:p>
        </w:tc>
      </w:tr>
      <w:tr w:rsidR="00BB30C6" w:rsidRPr="00B952E5" w:rsidTr="00BB30C6">
        <w:tc>
          <w:tcPr>
            <w:tcW w:w="5000" w:type="pct"/>
            <w:shd w:val="clear" w:color="auto" w:fill="FFFFFF"/>
          </w:tcPr>
          <w:p w:rsidR="00BB30C6" w:rsidRPr="00B952E5" w:rsidRDefault="0053353E" w:rsidP="00BB30C6">
            <w:pPr>
              <w:spacing w:after="0" w:line="240" w:lineRule="auto"/>
              <w:jc w:val="center"/>
              <w:rPr>
                <w:rFonts w:ascii="Times New Roman" w:hAnsi="Times New Roman" w:cs="Times New Roman"/>
                <w:sz w:val="24"/>
                <w:szCs w:val="24"/>
              </w:rPr>
            </w:pPr>
            <w:r>
              <w:rPr>
                <w:rFonts w:ascii="Times New Roman" w:eastAsia="Times New Roman" w:hAnsi="Times New Roman" w:cs="Times New Roman"/>
                <w:iCs/>
                <w:sz w:val="24"/>
                <w:szCs w:val="24"/>
                <w:lang w:eastAsia="lv-LV"/>
              </w:rPr>
              <w:t>Noteikumu projekts šo jomu neskar.</w:t>
            </w:r>
          </w:p>
        </w:tc>
      </w:tr>
    </w:tbl>
    <w:p w:rsidR="00BB30C6" w:rsidRPr="00B952E5" w:rsidRDefault="00BB30C6" w:rsidP="00BB30C6">
      <w:pPr>
        <w:spacing w:after="0" w:line="240" w:lineRule="auto"/>
        <w:rPr>
          <w:rFonts w:ascii="Times New Roman" w:hAnsi="Times New Roman" w:cs="Times New Roman"/>
          <w:sz w:val="24"/>
          <w:szCs w:val="24"/>
        </w:rPr>
      </w:pPr>
      <w:r w:rsidRPr="00B952E5">
        <w:rPr>
          <w:rFonts w:ascii="Times New Roman" w:hAnsi="Times New Roman" w:cs="Times New Roman"/>
          <w:sz w:val="24"/>
          <w:szCs w:val="24"/>
        </w:rPr>
        <w:t> </w:t>
      </w:r>
    </w:p>
    <w:tbl>
      <w:tblPr>
        <w:tblW w:w="9082" w:type="dxa"/>
        <w:tblBorders>
          <w:top w:val="double" w:sz="4" w:space="0" w:color="D0CECE" w:themeColor="background2" w:themeShade="E6"/>
          <w:left w:val="double" w:sz="4" w:space="0" w:color="D0CECE" w:themeColor="background2" w:themeShade="E6"/>
          <w:bottom w:val="double" w:sz="4" w:space="0" w:color="D0CECE" w:themeColor="background2" w:themeShade="E6"/>
          <w:right w:val="double" w:sz="4" w:space="0" w:color="D0CECE" w:themeColor="background2" w:themeShade="E6"/>
          <w:insideH w:val="double" w:sz="4" w:space="0" w:color="D0CECE" w:themeColor="background2" w:themeShade="E6"/>
          <w:insideV w:val="double" w:sz="4" w:space="0" w:color="D0CECE" w:themeColor="background2" w:themeShade="E6"/>
        </w:tblBorders>
        <w:tblCellMar>
          <w:left w:w="10" w:type="dxa"/>
          <w:right w:w="10" w:type="dxa"/>
        </w:tblCellMar>
        <w:tblLook w:val="04A0" w:firstRow="1" w:lastRow="0" w:firstColumn="1" w:lastColumn="0" w:noHBand="0" w:noVBand="1"/>
      </w:tblPr>
      <w:tblGrid>
        <w:gridCol w:w="9082"/>
      </w:tblGrid>
      <w:tr w:rsidR="00BB30C6" w:rsidRPr="00B952E5" w:rsidTr="00BB30C6">
        <w:trPr>
          <w:trHeight w:val="261"/>
        </w:trPr>
        <w:tc>
          <w:tcPr>
            <w:tcW w:w="9082" w:type="dxa"/>
            <w:shd w:val="clear" w:color="000000" w:fill="FFFFFF"/>
            <w:tcMar>
              <w:left w:w="30" w:type="dxa"/>
              <w:right w:w="30" w:type="dxa"/>
            </w:tcMar>
            <w:vAlign w:val="center"/>
          </w:tcPr>
          <w:p w:rsidR="00BB30C6" w:rsidRPr="00B952E5" w:rsidRDefault="00BB30C6" w:rsidP="00BB30C6">
            <w:pPr>
              <w:spacing w:after="0" w:line="240" w:lineRule="auto"/>
              <w:ind w:firstLine="300"/>
              <w:jc w:val="center"/>
              <w:rPr>
                <w:rFonts w:ascii="Times New Roman" w:hAnsi="Times New Roman" w:cs="Times New Roman"/>
                <w:sz w:val="24"/>
                <w:szCs w:val="24"/>
              </w:rPr>
            </w:pPr>
            <w:r w:rsidRPr="00B952E5">
              <w:rPr>
                <w:rFonts w:ascii="Times New Roman" w:eastAsia="Times New Roman" w:hAnsi="Times New Roman" w:cs="Times New Roman"/>
                <w:b/>
                <w:sz w:val="24"/>
                <w:szCs w:val="24"/>
              </w:rPr>
              <w:t>IV. Tiesību akta projekta ietekme uz spēkā esošo tiesību normu sistēmu</w:t>
            </w:r>
          </w:p>
        </w:tc>
      </w:tr>
      <w:tr w:rsidR="0053353E" w:rsidRPr="00B952E5" w:rsidTr="00864C85">
        <w:trPr>
          <w:trHeight w:val="275"/>
        </w:trPr>
        <w:tc>
          <w:tcPr>
            <w:tcW w:w="9082" w:type="dxa"/>
            <w:shd w:val="clear" w:color="000000" w:fill="FFFFFF"/>
            <w:tcMar>
              <w:left w:w="30" w:type="dxa"/>
              <w:right w:w="30" w:type="dxa"/>
            </w:tcMar>
          </w:tcPr>
          <w:p w:rsidR="0053353E" w:rsidRPr="00B952E5" w:rsidRDefault="0053353E" w:rsidP="0053353E">
            <w:pPr>
              <w:spacing w:after="0" w:line="240" w:lineRule="auto"/>
              <w:jc w:val="center"/>
              <w:rPr>
                <w:rFonts w:ascii="Times New Roman" w:hAnsi="Times New Roman" w:cs="Times New Roman"/>
                <w:sz w:val="24"/>
                <w:szCs w:val="24"/>
              </w:rPr>
            </w:pPr>
            <w:r>
              <w:rPr>
                <w:rFonts w:ascii="Times New Roman" w:eastAsia="Times New Roman" w:hAnsi="Times New Roman" w:cs="Times New Roman"/>
                <w:iCs/>
                <w:sz w:val="24"/>
                <w:szCs w:val="24"/>
                <w:lang w:eastAsia="lv-LV"/>
              </w:rPr>
              <w:t>Noteikumu projekts šo jomu neskar.</w:t>
            </w:r>
          </w:p>
        </w:tc>
      </w:tr>
    </w:tbl>
    <w:p w:rsidR="00BB30C6" w:rsidRPr="00B952E5" w:rsidRDefault="00BB30C6" w:rsidP="00BB30C6">
      <w:pPr>
        <w:spacing w:after="0" w:line="240" w:lineRule="auto"/>
        <w:rPr>
          <w:rFonts w:ascii="Times New Roman" w:hAnsi="Times New Roman" w:cs="Times New Roman"/>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B30C6" w:rsidRPr="00B952E5" w:rsidTr="00BB30C6">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B30C6" w:rsidRPr="00B952E5" w:rsidRDefault="00BB30C6" w:rsidP="00BB30C6">
            <w:pPr>
              <w:spacing w:after="0" w:line="240" w:lineRule="auto"/>
              <w:jc w:val="center"/>
              <w:rPr>
                <w:rFonts w:ascii="Times New Roman" w:eastAsia="Times New Roman" w:hAnsi="Times New Roman" w:cs="Times New Roman"/>
                <w:b/>
                <w:bCs/>
                <w:iCs/>
                <w:sz w:val="24"/>
                <w:szCs w:val="24"/>
                <w:lang w:eastAsia="lv-LV"/>
              </w:rPr>
            </w:pPr>
            <w:r w:rsidRPr="00B952E5">
              <w:rPr>
                <w:rFonts w:ascii="Times New Roman" w:eastAsia="Times New Roman" w:hAnsi="Times New Roman" w:cs="Times New Roman"/>
                <w:iCs/>
                <w:sz w:val="24"/>
                <w:szCs w:val="24"/>
                <w:lang w:eastAsia="lv-LV"/>
              </w:rPr>
              <w:t xml:space="preserve">  </w:t>
            </w:r>
            <w:r w:rsidRPr="00B952E5">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BB30C6" w:rsidRPr="00B952E5" w:rsidTr="00BB30C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Saistības pret Eiropas Savienību</w:t>
            </w:r>
          </w:p>
        </w:tc>
        <w:tc>
          <w:tcPr>
            <w:tcW w:w="2960" w:type="pct"/>
            <w:tcBorders>
              <w:top w:val="outset" w:sz="6" w:space="0" w:color="auto"/>
              <w:left w:val="outset" w:sz="6" w:space="0" w:color="auto"/>
              <w:bottom w:val="outset" w:sz="6" w:space="0" w:color="auto"/>
              <w:right w:val="outset" w:sz="6" w:space="0" w:color="auto"/>
            </w:tcBorders>
            <w:hideMark/>
          </w:tcPr>
          <w:p w:rsidR="00BB30C6" w:rsidRPr="00B952E5" w:rsidRDefault="00893EC6" w:rsidP="00893EC6">
            <w:pPr>
              <w:pStyle w:val="naiskr"/>
              <w:tabs>
                <w:tab w:val="left" w:pos="2628"/>
              </w:tabs>
              <w:spacing w:before="0" w:after="0"/>
              <w:jc w:val="both"/>
              <w:rPr>
                <w:iCs/>
              </w:rPr>
            </w:pPr>
            <w:r>
              <w:t>Noteikumu projekts</w:t>
            </w:r>
            <w:r w:rsidR="00BB30C6" w:rsidRPr="00B952E5">
              <w:t xml:space="preserve"> nodrošina Eiropas Parlamenta un Padomes 2019. gada 23. oktobra Direktīvas (ES) 2019/1937 par to personu aizsardzību, kuras ziņo par Savienības tiesību aktu pārkāpumiem</w:t>
            </w:r>
            <w:r>
              <w:t>, pielikumā</w:t>
            </w:r>
            <w:r w:rsidR="00BB30C6" w:rsidRPr="00B952E5">
              <w:t xml:space="preserve"> ietverto normu pārņemšanu Latvijas normatīvajos aktos.</w:t>
            </w:r>
          </w:p>
        </w:tc>
      </w:tr>
      <w:tr w:rsidR="00BB30C6" w:rsidRPr="00B952E5" w:rsidTr="00BB30C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Citas starptautiskās saistības</w:t>
            </w:r>
          </w:p>
        </w:tc>
        <w:tc>
          <w:tcPr>
            <w:tcW w:w="296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pStyle w:val="naiskr"/>
              <w:tabs>
                <w:tab w:val="left" w:pos="2628"/>
              </w:tabs>
              <w:spacing w:before="0" w:after="0"/>
              <w:jc w:val="both"/>
              <w:rPr>
                <w:iCs/>
              </w:rPr>
            </w:pPr>
            <w:r w:rsidRPr="00B952E5">
              <w:rPr>
                <w:iCs/>
              </w:rPr>
              <w:t>Nav</w:t>
            </w:r>
          </w:p>
          <w:p w:rsidR="00BB30C6" w:rsidRPr="00B952E5" w:rsidRDefault="00BB30C6" w:rsidP="00BB30C6">
            <w:pPr>
              <w:spacing w:after="0" w:line="240" w:lineRule="auto"/>
              <w:rPr>
                <w:rFonts w:ascii="Times New Roman" w:eastAsia="Times New Roman" w:hAnsi="Times New Roman" w:cs="Times New Roman"/>
                <w:iCs/>
                <w:sz w:val="24"/>
                <w:szCs w:val="24"/>
                <w:lang w:eastAsia="lv-LV"/>
              </w:rPr>
            </w:pPr>
          </w:p>
        </w:tc>
      </w:tr>
      <w:tr w:rsidR="00BB30C6" w:rsidRPr="00B952E5" w:rsidTr="00BB30C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rsidR="00BB30C6" w:rsidRPr="00B952E5" w:rsidRDefault="00893EC6" w:rsidP="00BB30C6">
            <w:pPr>
              <w:shd w:val="clear" w:color="auto" w:fill="FFFFFF"/>
              <w:spacing w:after="0" w:line="240" w:lineRule="auto"/>
              <w:ind w:right="234"/>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w:t>
            </w:r>
            <w:r w:rsidR="00BB30C6" w:rsidRPr="00B952E5">
              <w:rPr>
                <w:rFonts w:ascii="Times New Roman" w:eastAsia="Times New Roman" w:hAnsi="Times New Roman" w:cs="Times New Roman"/>
                <w:sz w:val="24"/>
                <w:szCs w:val="24"/>
                <w:lang w:eastAsia="lv-LV"/>
              </w:rPr>
              <w:t xml:space="preserve"> atbilst šādām Latvijas starptautiskajām saistībām: </w:t>
            </w:r>
          </w:p>
          <w:p w:rsidR="00BB30C6" w:rsidRPr="00B952E5" w:rsidRDefault="00BB30C6" w:rsidP="00BB30C6">
            <w:pPr>
              <w:numPr>
                <w:ilvl w:val="0"/>
                <w:numId w:val="10"/>
              </w:numPr>
              <w:shd w:val="clear" w:color="auto" w:fill="FFFFFF"/>
              <w:spacing w:after="0" w:line="240" w:lineRule="auto"/>
              <w:ind w:left="252" w:right="234" w:firstLine="0"/>
              <w:jc w:val="both"/>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ANO 2003. gada 31. oktobra Pretkorupcijas konvencijai (Latvijas Republikā stājās spēkā 2006. gada 3. februārī); </w:t>
            </w:r>
          </w:p>
          <w:p w:rsidR="00BB30C6" w:rsidRPr="00B952E5" w:rsidRDefault="00BB30C6" w:rsidP="00BB30C6">
            <w:pPr>
              <w:numPr>
                <w:ilvl w:val="0"/>
                <w:numId w:val="10"/>
              </w:numPr>
              <w:shd w:val="clear" w:color="auto" w:fill="FFFFFF"/>
              <w:spacing w:after="0" w:line="240" w:lineRule="auto"/>
              <w:ind w:left="252" w:right="234" w:firstLine="0"/>
              <w:jc w:val="both"/>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1999. gada 4. novembra Eiropas Padomes Civiltiesību pretkorupcijas konvencijai (Latvijas Republikā stājās spēkā 2005. gada 9. martā); </w:t>
            </w:r>
          </w:p>
          <w:p w:rsidR="00BB30C6" w:rsidRPr="00B952E5" w:rsidRDefault="00BB30C6" w:rsidP="00BB30C6">
            <w:pPr>
              <w:numPr>
                <w:ilvl w:val="0"/>
                <w:numId w:val="10"/>
              </w:numPr>
              <w:shd w:val="clear" w:color="auto" w:fill="FFFFFF"/>
              <w:spacing w:after="0" w:line="240" w:lineRule="auto"/>
              <w:ind w:left="252" w:right="234" w:firstLine="0"/>
              <w:jc w:val="both"/>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Eiropas Padomes rekomendācijai CM/Rec(2014)7 "Trauksmes cēlēju aizsardzība"; </w:t>
            </w:r>
          </w:p>
          <w:p w:rsidR="00BB30C6" w:rsidRPr="00B952E5" w:rsidRDefault="00BB30C6" w:rsidP="00BB30C6">
            <w:pPr>
              <w:numPr>
                <w:ilvl w:val="0"/>
                <w:numId w:val="10"/>
              </w:numPr>
              <w:shd w:val="clear" w:color="auto" w:fill="FFFFFF"/>
              <w:spacing w:after="0" w:line="240" w:lineRule="auto"/>
              <w:ind w:left="252" w:right="234" w:firstLine="0"/>
              <w:jc w:val="both"/>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OECD padomes 2009. gada 9. decembra rekomendācijai "Par ārvalstu amatpersonu kukuļošanas apkarošanu starptautiskajos biznesa darījumos"; </w:t>
            </w:r>
          </w:p>
          <w:p w:rsidR="00BB30C6" w:rsidRPr="00B952E5" w:rsidRDefault="00BB30C6" w:rsidP="00BB30C6">
            <w:pPr>
              <w:numPr>
                <w:ilvl w:val="0"/>
                <w:numId w:val="10"/>
              </w:numPr>
              <w:shd w:val="clear" w:color="auto" w:fill="FFFFFF"/>
              <w:spacing w:after="0" w:line="240" w:lineRule="auto"/>
              <w:ind w:left="252" w:right="234" w:firstLine="0"/>
              <w:jc w:val="both"/>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OECD padomes 2017. gada 26. janvāra rekomendācijai "Par godprātīgu valsti un sabiedrību"; </w:t>
            </w:r>
          </w:p>
          <w:p w:rsidR="00BB30C6" w:rsidRPr="00B952E5" w:rsidRDefault="00BB30C6" w:rsidP="00BB30C6">
            <w:pPr>
              <w:numPr>
                <w:ilvl w:val="0"/>
                <w:numId w:val="10"/>
              </w:numPr>
              <w:shd w:val="clear" w:color="auto" w:fill="FFFFFF"/>
              <w:spacing w:after="0" w:line="240" w:lineRule="auto"/>
              <w:ind w:left="252" w:right="234" w:firstLine="0"/>
              <w:jc w:val="both"/>
              <w:textAlignment w:val="baseline"/>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sz w:val="24"/>
                <w:szCs w:val="24"/>
                <w:lang w:eastAsia="lv-LV"/>
              </w:rPr>
              <w:t>Eiropas Parlamenta un Padomes 2014. gada 23. jūlija Direktīvai 2014/91/ES un Komisijas 2015. gada 17. decembra Īstenošanas direktīvai 2015/2392. </w:t>
            </w:r>
          </w:p>
        </w:tc>
      </w:tr>
    </w:tbl>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 xml:space="preserve">  </w:t>
      </w:r>
    </w:p>
    <w:tbl>
      <w:tblPr>
        <w:tblW w:w="9065"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left w:w="0" w:type="dxa"/>
          <w:right w:w="0" w:type="dxa"/>
        </w:tblCellMar>
        <w:tblLook w:val="04A0" w:firstRow="1" w:lastRow="0" w:firstColumn="1" w:lastColumn="0" w:noHBand="0" w:noVBand="1"/>
      </w:tblPr>
      <w:tblGrid>
        <w:gridCol w:w="380"/>
        <w:gridCol w:w="2048"/>
        <w:gridCol w:w="2672"/>
        <w:gridCol w:w="473"/>
        <w:gridCol w:w="1370"/>
        <w:gridCol w:w="2122"/>
      </w:tblGrid>
      <w:tr w:rsidR="00BB30C6" w:rsidRPr="00B952E5" w:rsidTr="00BB30C6">
        <w:trPr>
          <w:tblCellSpacing w:w="20" w:type="dxa"/>
        </w:trPr>
        <w:tc>
          <w:tcPr>
            <w:tcW w:w="8985" w:type="dxa"/>
            <w:gridSpan w:val="6"/>
            <w:shd w:val="clear" w:color="auto" w:fill="auto"/>
            <w:hideMark/>
          </w:tcPr>
          <w:p w:rsidR="00BB30C6" w:rsidRPr="00B952E5" w:rsidRDefault="00BB30C6" w:rsidP="00BB30C6">
            <w:pPr>
              <w:spacing w:after="0" w:line="240" w:lineRule="auto"/>
              <w:jc w:val="center"/>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1. tabula</w:t>
            </w:r>
            <w:r w:rsidRPr="00B952E5">
              <w:rPr>
                <w:rFonts w:ascii="Times New Roman" w:eastAsia="Times New Roman" w:hAnsi="Times New Roman" w:cs="Times New Roman"/>
                <w:sz w:val="24"/>
                <w:szCs w:val="24"/>
                <w:lang w:eastAsia="lv-LV"/>
              </w:rPr>
              <w:t> </w:t>
            </w:r>
            <w:r w:rsidRPr="00B952E5">
              <w:rPr>
                <w:rFonts w:ascii="Times New Roman" w:eastAsia="Times New Roman" w:hAnsi="Times New Roman" w:cs="Times New Roman"/>
                <w:sz w:val="24"/>
                <w:szCs w:val="24"/>
                <w:lang w:eastAsia="lv-LV"/>
              </w:rPr>
              <w:br/>
            </w:r>
            <w:r w:rsidRPr="00B952E5">
              <w:rPr>
                <w:rFonts w:ascii="Times New Roman" w:eastAsia="Times New Roman" w:hAnsi="Times New Roman" w:cs="Times New Roman"/>
                <w:b/>
                <w:bCs/>
                <w:sz w:val="24"/>
                <w:szCs w:val="24"/>
                <w:lang w:eastAsia="lv-LV"/>
              </w:rPr>
              <w:t>Tiesību akta projekta atbilstība ES tiesību aktiem</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jc w:val="both"/>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Attiecīgā ES tiesību akta datums, numurs un nosaukums </w:t>
            </w:r>
          </w:p>
        </w:tc>
        <w:tc>
          <w:tcPr>
            <w:tcW w:w="6577" w:type="dxa"/>
            <w:gridSpan w:val="4"/>
            <w:shd w:val="clear" w:color="auto" w:fill="auto"/>
            <w:hideMark/>
          </w:tcPr>
          <w:p w:rsidR="00BB30C6" w:rsidRPr="00B952E5" w:rsidRDefault="00BB30C6" w:rsidP="00BB30C6">
            <w:pPr>
              <w:spacing w:after="0" w:line="240" w:lineRule="auto"/>
              <w:ind w:right="234"/>
              <w:jc w:val="both"/>
              <w:textAlignment w:val="baseline"/>
              <w:rPr>
                <w:rFonts w:ascii="Times New Roman" w:eastAsia="Times New Roman" w:hAnsi="Times New Roman" w:cs="Times New Roman"/>
                <w:sz w:val="24"/>
                <w:szCs w:val="24"/>
                <w:lang w:eastAsia="lv-LV"/>
              </w:rPr>
            </w:pPr>
            <w:r w:rsidRPr="00B952E5">
              <w:rPr>
                <w:rFonts w:ascii="Times New Roman" w:hAnsi="Times New Roman" w:cs="Times New Roman"/>
                <w:sz w:val="24"/>
                <w:szCs w:val="24"/>
              </w:rPr>
              <w:t>Eiropas Parlamenta un Padomes 2019. gada 23. oktobra Direktīva (ES) 2019/1937 par to personu aizsardzību, kuras ziņo par Savienības tiesību aktu pārkāpumiem</w:t>
            </w: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2368" w:type="dxa"/>
            <w:gridSpan w:val="2"/>
            <w:shd w:val="clear" w:color="auto" w:fill="auto"/>
            <w:vAlign w:val="center"/>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A </w:t>
            </w:r>
          </w:p>
        </w:tc>
        <w:tc>
          <w:tcPr>
            <w:tcW w:w="2632" w:type="dxa"/>
            <w:shd w:val="clear" w:color="auto" w:fill="auto"/>
            <w:vAlign w:val="center"/>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B </w:t>
            </w:r>
          </w:p>
        </w:tc>
        <w:tc>
          <w:tcPr>
            <w:tcW w:w="1803" w:type="dxa"/>
            <w:gridSpan w:val="2"/>
            <w:shd w:val="clear" w:color="auto" w:fill="auto"/>
            <w:vAlign w:val="center"/>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C </w:t>
            </w:r>
          </w:p>
        </w:tc>
        <w:tc>
          <w:tcPr>
            <w:tcW w:w="2062" w:type="dxa"/>
            <w:shd w:val="clear" w:color="auto" w:fill="auto"/>
            <w:vAlign w:val="center"/>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D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Attiecīgā ES tiesību akta panta numurs (uzskaitot katru tiesību akta vienību – pantu, daļu, punktu, apakšpunktu) </w:t>
            </w:r>
          </w:p>
        </w:tc>
        <w:tc>
          <w:tcPr>
            <w:tcW w:w="263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Projekta vienība, kas pārņem vai ievieš katru šīs tabulas A ailē minēto ES tiesību akta vienību, vai tiesību akts, kur attiecīgā ES tiesību akta vienība pārņemta vai ieviesta </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Informācija par to, vai šīs tabulas A ailē minētās ES tiesību akta vienības tiek pārņemtas vai ieviestas pilnībā vai daļēji. </w:t>
            </w:r>
            <w:r w:rsidRPr="00B952E5">
              <w:rPr>
                <w:rFonts w:ascii="Times New Roman" w:eastAsia="Times New Roman" w:hAnsi="Times New Roman" w:cs="Times New Roman"/>
                <w:sz w:val="24"/>
                <w:szCs w:val="24"/>
                <w:lang w:eastAsia="lv-LV"/>
              </w:rPr>
              <w:br/>
              <w:t>Ja attiecīgā ES tiesību akta vienība tiek pārņemta vai ieviesta daļēji, sniedz attiecīgu skaidrojumu, kā arī precīzi norāda, kad un kādā veidā ES tiesību akta vienība tiks pārņemta vai ieviesta pilnībā. </w:t>
            </w:r>
            <w:r w:rsidRPr="00B952E5">
              <w:rPr>
                <w:rFonts w:ascii="Times New Roman" w:eastAsia="Times New Roman" w:hAnsi="Times New Roman" w:cs="Times New Roman"/>
                <w:sz w:val="24"/>
                <w:szCs w:val="24"/>
                <w:lang w:eastAsia="lv-LV"/>
              </w:rPr>
              <w:br/>
            </w:r>
            <w:r w:rsidRPr="00B952E5">
              <w:rPr>
                <w:rFonts w:ascii="Times New Roman" w:eastAsia="Times New Roman" w:hAnsi="Times New Roman" w:cs="Times New Roman"/>
                <w:sz w:val="24"/>
                <w:szCs w:val="24"/>
                <w:lang w:eastAsia="lv-LV"/>
              </w:rPr>
              <w:lastRenderedPageBreak/>
              <w:t>Norāda institūciju, kas ir atbildīga par šo saistību izpildi pilnībā </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lastRenderedPageBreak/>
              <w:t>Informācija par to, vai šīs tabulas B ailē minētās projekta vienības paredz stingrākas prasības nekā šīs tabulas A ailē minētās ES tiesību akta vienības. </w:t>
            </w:r>
            <w:r w:rsidRPr="00B952E5">
              <w:rPr>
                <w:rFonts w:ascii="Times New Roman" w:eastAsia="Times New Roman" w:hAnsi="Times New Roman" w:cs="Times New Roman"/>
                <w:sz w:val="24"/>
                <w:szCs w:val="24"/>
                <w:lang w:eastAsia="lv-LV"/>
              </w:rPr>
              <w:br/>
              <w:t>Ja projekts satur stingrākas prasības nekā attiecīgais ES tiesību akts, norāda pamatojumu un samērīgumu. </w:t>
            </w:r>
            <w:r w:rsidRPr="00B952E5">
              <w:rPr>
                <w:rFonts w:ascii="Times New Roman" w:eastAsia="Times New Roman" w:hAnsi="Times New Roman" w:cs="Times New Roman"/>
                <w:sz w:val="24"/>
                <w:szCs w:val="24"/>
                <w:lang w:eastAsia="lv-LV"/>
              </w:rPr>
              <w:br/>
              <w:t xml:space="preserve">Norāda iespējamās alternatīvas (t. sk. alternatīvas, kas neparedz tiesiskā regulējuma izstrādi) – kādos gadījumos </w:t>
            </w:r>
            <w:r w:rsidRPr="00B952E5">
              <w:rPr>
                <w:rFonts w:ascii="Times New Roman" w:eastAsia="Times New Roman" w:hAnsi="Times New Roman" w:cs="Times New Roman"/>
                <w:sz w:val="24"/>
                <w:szCs w:val="24"/>
                <w:lang w:eastAsia="lv-LV"/>
              </w:rPr>
              <w:lastRenderedPageBreak/>
              <w:t>būtu iespējams izvairīties no stingrāku prasību noteikšanas, nekā paredzēts attiecīgajos ES tiesību aktos </w:t>
            </w:r>
          </w:p>
        </w:tc>
      </w:tr>
      <w:tr w:rsidR="00B314A4" w:rsidRPr="00B952E5" w:rsidTr="00BB30C6">
        <w:trPr>
          <w:tblCellSpacing w:w="20" w:type="dxa"/>
        </w:trPr>
        <w:tc>
          <w:tcPr>
            <w:tcW w:w="8985" w:type="dxa"/>
            <w:gridSpan w:val="6"/>
            <w:shd w:val="clear" w:color="auto" w:fill="auto"/>
          </w:tcPr>
          <w:p w:rsidR="00B314A4" w:rsidRPr="00B952E5" w:rsidRDefault="00B314A4" w:rsidP="00BB30C6">
            <w:pPr>
              <w:spacing w:after="0" w:line="240" w:lineRule="auto"/>
              <w:jc w:val="center"/>
              <w:textAlignment w:val="baseline"/>
              <w:rPr>
                <w:rFonts w:ascii="Times New Roman" w:eastAsia="Times New Roman" w:hAnsi="Times New Roman" w:cs="Times New Roman"/>
                <w:b/>
                <w:bCs/>
                <w:sz w:val="24"/>
                <w:szCs w:val="24"/>
                <w:lang w:eastAsia="lv-LV"/>
              </w:rPr>
            </w:pPr>
            <w:r w:rsidRPr="00B952E5">
              <w:rPr>
                <w:rFonts w:ascii="Times New Roman" w:hAnsi="Times New Roman" w:cs="Times New Roman"/>
                <w:sz w:val="24"/>
                <w:szCs w:val="24"/>
              </w:rPr>
              <w:lastRenderedPageBreak/>
              <w:t>Eiropas Parlamenta un Padomes 2019. gada 23. oktobra Direktīva</w:t>
            </w:r>
            <w:r>
              <w:rPr>
                <w:rFonts w:ascii="Times New Roman" w:hAnsi="Times New Roman" w:cs="Times New Roman"/>
                <w:sz w:val="24"/>
                <w:szCs w:val="24"/>
              </w:rPr>
              <w:t>s</w:t>
            </w:r>
            <w:r w:rsidRPr="00B952E5">
              <w:rPr>
                <w:rFonts w:ascii="Times New Roman" w:hAnsi="Times New Roman" w:cs="Times New Roman"/>
                <w:sz w:val="24"/>
                <w:szCs w:val="24"/>
              </w:rPr>
              <w:t xml:space="preserve"> (ES) 2019/1937 par to personu aizsardzību, kuras ziņo par Savienības tiesību aktu pārkāpumiem</w:t>
            </w:r>
            <w:r>
              <w:rPr>
                <w:rFonts w:ascii="Times New Roman" w:eastAsia="Times New Roman" w:hAnsi="Times New Roman" w:cs="Times New Roman"/>
                <w:sz w:val="24"/>
                <w:szCs w:val="24"/>
                <w:lang w:eastAsia="lv-LV"/>
              </w:rPr>
              <w:t>:</w:t>
            </w:r>
          </w:p>
        </w:tc>
      </w:tr>
      <w:tr w:rsidR="00BB30C6" w:rsidRPr="00B952E5" w:rsidTr="00BB30C6">
        <w:trPr>
          <w:tblCellSpacing w:w="20" w:type="dxa"/>
        </w:trPr>
        <w:tc>
          <w:tcPr>
            <w:tcW w:w="8985" w:type="dxa"/>
            <w:gridSpan w:val="6"/>
            <w:shd w:val="clear" w:color="auto" w:fill="auto"/>
            <w:hideMark/>
          </w:tcPr>
          <w:p w:rsidR="00BB30C6" w:rsidRPr="00B952E5" w:rsidRDefault="00BB30C6" w:rsidP="00BB30C6">
            <w:pPr>
              <w:spacing w:after="0" w:line="240" w:lineRule="auto"/>
              <w:jc w:val="center"/>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PIELIKUMS</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8985" w:type="dxa"/>
            <w:gridSpan w:val="6"/>
            <w:shd w:val="clear" w:color="auto" w:fill="auto"/>
            <w:hideMark/>
          </w:tcPr>
          <w:p w:rsidR="00BB30C6" w:rsidRPr="00B952E5" w:rsidRDefault="00BB30C6" w:rsidP="00BB30C6">
            <w:pPr>
              <w:spacing w:after="0" w:line="240" w:lineRule="auto"/>
              <w:jc w:val="center"/>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I daļa</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8985" w:type="dxa"/>
            <w:gridSpan w:val="6"/>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A. 2. panta 1. punkta a) apakšpunkta i) punkts – publiskais iepirkums</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1. 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apakšpunkts </w:t>
            </w:r>
          </w:p>
        </w:tc>
        <w:tc>
          <w:tcPr>
            <w:tcW w:w="2632" w:type="dxa"/>
            <w:shd w:val="clear" w:color="auto" w:fill="auto"/>
            <w:hideMark/>
          </w:tcPr>
          <w:p w:rsidR="00BB30C6" w:rsidRPr="00B952E5" w:rsidRDefault="0053353E" w:rsidP="0053353E">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1.1. apakšpunkts.</w:t>
            </w:r>
          </w:p>
        </w:tc>
        <w:tc>
          <w:tcPr>
            <w:tcW w:w="1803" w:type="dxa"/>
            <w:gridSpan w:val="2"/>
            <w:shd w:val="clear" w:color="auto" w:fill="auto"/>
            <w:hideMark/>
          </w:tcPr>
          <w:p w:rsidR="00BB30C6" w:rsidRPr="00B952E5" w:rsidRDefault="00893EC6" w:rsidP="00BB30C6">
            <w:pPr>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apakšpunkts </w:t>
            </w:r>
          </w:p>
        </w:tc>
        <w:tc>
          <w:tcPr>
            <w:tcW w:w="2632" w:type="dxa"/>
            <w:shd w:val="clear" w:color="auto" w:fill="auto"/>
            <w:hideMark/>
          </w:tcPr>
          <w:p w:rsidR="00BB30C6" w:rsidRPr="00B952E5" w:rsidRDefault="0053353E" w:rsidP="0053353E">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1.2.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apakšpunkts </w:t>
            </w:r>
          </w:p>
        </w:tc>
        <w:tc>
          <w:tcPr>
            <w:tcW w:w="2632" w:type="dxa"/>
            <w:shd w:val="clear" w:color="auto" w:fill="auto"/>
            <w:hideMark/>
          </w:tcPr>
          <w:p w:rsidR="00BB30C6" w:rsidRPr="00B952E5" w:rsidRDefault="0053353E" w:rsidP="0053353E">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1.3.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iv) apakšpunkts </w:t>
            </w:r>
          </w:p>
        </w:tc>
        <w:tc>
          <w:tcPr>
            <w:tcW w:w="2632" w:type="dxa"/>
            <w:shd w:val="clear" w:color="auto" w:fill="auto"/>
            <w:hideMark/>
          </w:tcPr>
          <w:p w:rsidR="00BB30C6" w:rsidRPr="00B952E5" w:rsidRDefault="0053353E" w:rsidP="0053353E">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1.4.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2. 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apakšpunkts </w:t>
            </w:r>
          </w:p>
        </w:tc>
        <w:tc>
          <w:tcPr>
            <w:tcW w:w="2632" w:type="dxa"/>
            <w:shd w:val="clear" w:color="auto" w:fill="auto"/>
            <w:hideMark/>
          </w:tcPr>
          <w:p w:rsidR="00BB30C6" w:rsidRPr="00B952E5" w:rsidRDefault="0053353E" w:rsidP="0053353E">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1.5.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apakšpunkts </w:t>
            </w:r>
          </w:p>
        </w:tc>
        <w:tc>
          <w:tcPr>
            <w:tcW w:w="2632" w:type="dxa"/>
            <w:shd w:val="clear" w:color="auto" w:fill="auto"/>
            <w:hideMark/>
          </w:tcPr>
          <w:p w:rsidR="00BB30C6" w:rsidRPr="00B952E5" w:rsidRDefault="0053353E" w:rsidP="0053353E">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1.6. apakšpunkts.</w:t>
            </w:r>
          </w:p>
        </w:tc>
        <w:tc>
          <w:tcPr>
            <w:tcW w:w="1803" w:type="dxa"/>
            <w:gridSpan w:val="2"/>
            <w:shd w:val="clear" w:color="auto" w:fill="auto"/>
            <w:hideMark/>
          </w:tcPr>
          <w:p w:rsidR="00BB30C6" w:rsidRPr="00B952E5" w:rsidRDefault="00893EC6" w:rsidP="00893E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8985" w:type="dxa"/>
            <w:gridSpan w:val="6"/>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B. 2. panta 1. punkta a) apakšpunkta ii) punkts – finanšu pakalpojumi, produkti un tirgi un nelikumīgi iegūtu līdzekļu legalizācijas un terorisma finansēšanas novēršana</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Ievaddaļa </w:t>
            </w:r>
          </w:p>
        </w:tc>
        <w:tc>
          <w:tcPr>
            <w:tcW w:w="2632" w:type="dxa"/>
            <w:shd w:val="clear" w:color="auto" w:fill="auto"/>
            <w:hideMark/>
          </w:tcPr>
          <w:p w:rsidR="00BB30C6" w:rsidRPr="00B952E5" w:rsidRDefault="00864C85" w:rsidP="00864C8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2.1.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864C85" w:rsidP="00864C8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2.2. apakšpunkts.</w:t>
            </w:r>
            <w:r w:rsidR="00BB30C6" w:rsidRPr="00B952E5">
              <w:rPr>
                <w:rFonts w:ascii="Times New Roman" w:eastAsia="Times New Roman" w:hAnsi="Times New Roman" w:cs="Times New Roman"/>
                <w:sz w:val="24"/>
                <w:szCs w:val="24"/>
                <w:lang w:eastAsia="lv-LV"/>
              </w:rPr>
              <w:t> </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864C85" w:rsidP="00864C8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2.3.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864C85" w:rsidP="00864C8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w:t>
            </w:r>
            <w:r w:rsidR="003E25B7">
              <w:rPr>
                <w:rFonts w:ascii="Times New Roman" w:eastAsia="Times New Roman" w:hAnsi="Times New Roman" w:cs="Times New Roman"/>
                <w:sz w:val="24"/>
                <w:szCs w:val="24"/>
                <w:lang w:eastAsia="lv-LV"/>
              </w:rPr>
              <w:t>1</w:t>
            </w:r>
            <w:r w:rsidRPr="003E25B7">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iv) punkts </w:t>
            </w:r>
          </w:p>
        </w:tc>
        <w:tc>
          <w:tcPr>
            <w:tcW w:w="2632" w:type="dxa"/>
            <w:shd w:val="clear" w:color="auto" w:fill="auto"/>
            <w:hideMark/>
          </w:tcPr>
          <w:p w:rsidR="00BB30C6" w:rsidRPr="00B952E5" w:rsidRDefault="00864C85" w:rsidP="00864C8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w:t>
            </w:r>
            <w:r w:rsidR="003E25B7">
              <w:rPr>
                <w:rFonts w:ascii="Times New Roman" w:eastAsia="Times New Roman" w:hAnsi="Times New Roman" w:cs="Times New Roman"/>
                <w:sz w:val="24"/>
                <w:szCs w:val="24"/>
                <w:lang w:eastAsia="lv-LV"/>
              </w:rPr>
              <w:t>1</w:t>
            </w:r>
            <w:r w:rsidRPr="003E25B7">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lastRenderedPageBreak/>
              <w:t>v) punkts </w:t>
            </w:r>
          </w:p>
        </w:tc>
        <w:tc>
          <w:tcPr>
            <w:tcW w:w="2632" w:type="dxa"/>
            <w:shd w:val="clear" w:color="auto" w:fill="auto"/>
            <w:hideMark/>
          </w:tcPr>
          <w:p w:rsidR="00BB30C6" w:rsidRPr="00B952E5" w:rsidRDefault="00864C85" w:rsidP="00864C8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w:t>
            </w:r>
            <w:r w:rsidR="003E25B7">
              <w:rPr>
                <w:rFonts w:ascii="Times New Roman" w:eastAsia="Times New Roman" w:hAnsi="Times New Roman" w:cs="Times New Roman"/>
                <w:sz w:val="24"/>
                <w:szCs w:val="24"/>
                <w:lang w:eastAsia="lv-LV"/>
              </w:rPr>
              <w:t>1</w:t>
            </w:r>
            <w:r w:rsidRPr="003E25B7">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 punkts </w:t>
            </w:r>
          </w:p>
        </w:tc>
        <w:tc>
          <w:tcPr>
            <w:tcW w:w="2632" w:type="dxa"/>
            <w:shd w:val="clear" w:color="auto" w:fill="auto"/>
            <w:hideMark/>
          </w:tcPr>
          <w:p w:rsidR="00BB30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w:t>
            </w:r>
            <w:r w:rsidR="003E25B7">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vii) punkts </w:t>
            </w:r>
          </w:p>
        </w:tc>
        <w:tc>
          <w:tcPr>
            <w:tcW w:w="2632" w:type="dxa"/>
            <w:shd w:val="clear" w:color="auto" w:fill="auto"/>
            <w:hideMark/>
          </w:tcPr>
          <w:p w:rsidR="00BB30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w:t>
            </w:r>
            <w:r w:rsidR="003E25B7">
              <w:rPr>
                <w:rFonts w:ascii="Times New Roman" w:eastAsia="Times New Roman" w:hAnsi="Times New Roman" w:cs="Times New Roman"/>
                <w:sz w:val="24"/>
                <w:szCs w:val="24"/>
                <w:lang w:eastAsia="lv-LV"/>
              </w:rPr>
              <w:t>17</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viii) punkts </w:t>
            </w:r>
          </w:p>
        </w:tc>
        <w:tc>
          <w:tcPr>
            <w:tcW w:w="2632" w:type="dxa"/>
            <w:shd w:val="clear" w:color="auto" w:fill="auto"/>
            <w:hideMark/>
          </w:tcPr>
          <w:p w:rsidR="00BB30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w:t>
            </w:r>
            <w:r w:rsidR="003E25B7">
              <w:rPr>
                <w:rFonts w:ascii="Times New Roman" w:eastAsia="Times New Roman" w:hAnsi="Times New Roman" w:cs="Times New Roman"/>
                <w:sz w:val="24"/>
                <w:szCs w:val="24"/>
                <w:lang w:eastAsia="lv-LV"/>
              </w:rPr>
              <w:t>18</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ix) punkts </w:t>
            </w:r>
          </w:p>
        </w:tc>
        <w:tc>
          <w:tcPr>
            <w:tcW w:w="2632" w:type="dxa"/>
            <w:shd w:val="clear" w:color="auto" w:fill="auto"/>
            <w:hideMark/>
          </w:tcPr>
          <w:p w:rsidR="00BB30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w:t>
            </w:r>
            <w:r w:rsidR="003E25B7">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 punkts </w:t>
            </w:r>
          </w:p>
        </w:tc>
        <w:tc>
          <w:tcPr>
            <w:tcW w:w="2632" w:type="dxa"/>
            <w:shd w:val="clear" w:color="auto" w:fill="auto"/>
            <w:hideMark/>
          </w:tcPr>
          <w:p w:rsidR="00BB30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w:t>
            </w:r>
            <w:r w:rsidR="003E25B7">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xi) punkts </w:t>
            </w:r>
          </w:p>
        </w:tc>
        <w:tc>
          <w:tcPr>
            <w:tcW w:w="2632" w:type="dxa"/>
            <w:shd w:val="clear" w:color="auto" w:fill="auto"/>
            <w:hideMark/>
          </w:tcPr>
          <w:p w:rsidR="00BB30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w:t>
            </w:r>
            <w:r w:rsidR="003E25B7">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xii) punkts </w:t>
            </w:r>
          </w:p>
        </w:tc>
        <w:tc>
          <w:tcPr>
            <w:tcW w:w="2632" w:type="dxa"/>
            <w:shd w:val="clear" w:color="auto" w:fill="auto"/>
            <w:hideMark/>
          </w:tcPr>
          <w:p w:rsidR="00BB30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w:t>
            </w:r>
            <w:r w:rsidR="003E25B7">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xiii) punkts </w:t>
            </w:r>
          </w:p>
        </w:tc>
        <w:tc>
          <w:tcPr>
            <w:tcW w:w="2632" w:type="dxa"/>
            <w:shd w:val="clear" w:color="auto" w:fill="auto"/>
            <w:hideMark/>
          </w:tcPr>
          <w:p w:rsidR="00BB30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w:t>
            </w:r>
            <w:r w:rsidRPr="003E25B7">
              <w:rPr>
                <w:rFonts w:ascii="Times New Roman" w:eastAsia="Times New Roman" w:hAnsi="Times New Roman" w:cs="Times New Roman"/>
                <w:sz w:val="24"/>
                <w:szCs w:val="24"/>
                <w:lang w:eastAsia="lv-LV"/>
              </w:rPr>
              <w:t>1</w:t>
            </w:r>
            <w:r w:rsidR="003E25B7">
              <w:rPr>
                <w:rFonts w:ascii="Times New Roman" w:eastAsia="Times New Roman" w:hAnsi="Times New Roman" w:cs="Times New Roman"/>
                <w:sz w:val="24"/>
                <w:szCs w:val="24"/>
                <w:lang w:eastAsia="lv-LV"/>
              </w:rPr>
              <w:t>9</w:t>
            </w:r>
            <w:r w:rsidRPr="003E25B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xiv) punkts </w:t>
            </w:r>
          </w:p>
        </w:tc>
        <w:tc>
          <w:tcPr>
            <w:tcW w:w="2632" w:type="dxa"/>
            <w:shd w:val="clear" w:color="auto" w:fill="auto"/>
            <w:hideMark/>
          </w:tcPr>
          <w:p w:rsidR="00BB30C6" w:rsidRPr="00B952E5" w:rsidRDefault="00864C85"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projekta 1. pielikuma </w:t>
            </w:r>
            <w:r w:rsidR="003E25B7">
              <w:rPr>
                <w:rFonts w:ascii="Times New Roman" w:eastAsia="Times New Roman" w:hAnsi="Times New Roman" w:cs="Times New Roman"/>
                <w:sz w:val="24"/>
                <w:szCs w:val="24"/>
                <w:lang w:eastAsia="lv-LV"/>
              </w:rPr>
              <w:t>2.20</w:t>
            </w:r>
            <w:r w:rsidRPr="003E25B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xv) punkts </w:t>
            </w:r>
          </w:p>
        </w:tc>
        <w:tc>
          <w:tcPr>
            <w:tcW w:w="2632" w:type="dxa"/>
            <w:shd w:val="clear" w:color="auto" w:fill="auto"/>
            <w:hideMark/>
          </w:tcPr>
          <w:p w:rsidR="00BB30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w:t>
            </w:r>
            <w:r w:rsidR="003E25B7">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xvi) punkts </w:t>
            </w:r>
          </w:p>
        </w:tc>
        <w:tc>
          <w:tcPr>
            <w:tcW w:w="2632" w:type="dxa"/>
            <w:shd w:val="clear" w:color="auto" w:fill="auto"/>
            <w:hideMark/>
          </w:tcPr>
          <w:p w:rsidR="00BB30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2.1</w:t>
            </w:r>
            <w:r w:rsidR="003E25B7">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xvii) punkts </w:t>
            </w:r>
          </w:p>
        </w:tc>
        <w:tc>
          <w:tcPr>
            <w:tcW w:w="2632" w:type="dxa"/>
            <w:shd w:val="clear" w:color="auto" w:fill="auto"/>
            <w:hideMark/>
          </w:tcPr>
          <w:p w:rsidR="00BB30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2.1</w:t>
            </w:r>
            <w:r w:rsidR="003E25B7">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893EC6" w:rsidRPr="00B952E5" w:rsidTr="00BB30C6">
        <w:trPr>
          <w:tblCellSpacing w:w="20" w:type="dxa"/>
        </w:trPr>
        <w:tc>
          <w:tcPr>
            <w:tcW w:w="2368" w:type="dxa"/>
            <w:gridSpan w:val="2"/>
            <w:shd w:val="clear" w:color="auto" w:fill="auto"/>
            <w:hideMark/>
          </w:tcPr>
          <w:p w:rsidR="00893EC6" w:rsidRPr="00B952E5" w:rsidRDefault="00893EC6" w:rsidP="00893E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xviii) punkts </w:t>
            </w:r>
          </w:p>
        </w:tc>
        <w:tc>
          <w:tcPr>
            <w:tcW w:w="2632" w:type="dxa"/>
            <w:shd w:val="clear" w:color="auto" w:fill="auto"/>
            <w:hideMark/>
          </w:tcPr>
          <w:p w:rsidR="00893E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2.1</w:t>
            </w:r>
            <w:r w:rsidR="003E25B7">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893EC6" w:rsidRDefault="00893EC6" w:rsidP="00893EC6">
            <w:r w:rsidRPr="00ED1592">
              <w:rPr>
                <w:rFonts w:ascii="Times New Roman" w:eastAsia="Times New Roman" w:hAnsi="Times New Roman" w:cs="Times New Roman"/>
                <w:sz w:val="24"/>
                <w:szCs w:val="24"/>
                <w:lang w:eastAsia="lv-LV"/>
              </w:rPr>
              <w:t>Atbilst pilnībā</w:t>
            </w:r>
          </w:p>
        </w:tc>
        <w:tc>
          <w:tcPr>
            <w:tcW w:w="2062" w:type="dxa"/>
            <w:shd w:val="clear" w:color="auto" w:fill="auto"/>
            <w:hideMark/>
          </w:tcPr>
          <w:p w:rsidR="00893EC6" w:rsidRPr="00B952E5" w:rsidRDefault="00893EC6" w:rsidP="00893E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893EC6" w:rsidRPr="00B952E5" w:rsidTr="00BB30C6">
        <w:trPr>
          <w:tblCellSpacing w:w="20" w:type="dxa"/>
        </w:trPr>
        <w:tc>
          <w:tcPr>
            <w:tcW w:w="2368" w:type="dxa"/>
            <w:gridSpan w:val="2"/>
            <w:shd w:val="clear" w:color="auto" w:fill="auto"/>
            <w:hideMark/>
          </w:tcPr>
          <w:p w:rsidR="00893EC6" w:rsidRPr="00B952E5" w:rsidRDefault="00893EC6" w:rsidP="00893E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xix) punkts </w:t>
            </w:r>
          </w:p>
        </w:tc>
        <w:tc>
          <w:tcPr>
            <w:tcW w:w="2632" w:type="dxa"/>
            <w:shd w:val="clear" w:color="auto" w:fill="auto"/>
            <w:hideMark/>
          </w:tcPr>
          <w:p w:rsidR="00893E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w:t>
            </w:r>
            <w:r w:rsidR="003E25B7">
              <w:rPr>
                <w:rFonts w:ascii="Times New Roman" w:eastAsia="Times New Roman" w:hAnsi="Times New Roman" w:cs="Times New Roman"/>
                <w:sz w:val="24"/>
                <w:szCs w:val="24"/>
                <w:lang w:eastAsia="lv-LV"/>
              </w:rPr>
              <w:t>13</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893EC6" w:rsidRDefault="00893EC6" w:rsidP="00893EC6">
            <w:r w:rsidRPr="00ED1592">
              <w:rPr>
                <w:rFonts w:ascii="Times New Roman" w:eastAsia="Times New Roman" w:hAnsi="Times New Roman" w:cs="Times New Roman"/>
                <w:sz w:val="24"/>
                <w:szCs w:val="24"/>
                <w:lang w:eastAsia="lv-LV"/>
              </w:rPr>
              <w:t>Atbilst pilnībā</w:t>
            </w:r>
          </w:p>
        </w:tc>
        <w:tc>
          <w:tcPr>
            <w:tcW w:w="2062" w:type="dxa"/>
            <w:shd w:val="clear" w:color="auto" w:fill="auto"/>
            <w:hideMark/>
          </w:tcPr>
          <w:p w:rsidR="00893EC6" w:rsidRPr="00B952E5" w:rsidRDefault="00893EC6" w:rsidP="00893E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xx) punkts </w:t>
            </w:r>
          </w:p>
        </w:tc>
        <w:tc>
          <w:tcPr>
            <w:tcW w:w="2632" w:type="dxa"/>
            <w:shd w:val="clear" w:color="auto" w:fill="auto"/>
            <w:hideMark/>
          </w:tcPr>
          <w:p w:rsidR="00BB30C6" w:rsidRPr="00B952E5" w:rsidRDefault="00864C85" w:rsidP="00864C8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w:t>
            </w:r>
            <w:r w:rsidRPr="003E25B7">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864C85" w:rsidRPr="00B952E5" w:rsidTr="00BB30C6">
        <w:trPr>
          <w:tblCellSpacing w:w="20" w:type="dxa"/>
        </w:trPr>
        <w:tc>
          <w:tcPr>
            <w:tcW w:w="2368" w:type="dxa"/>
            <w:gridSpan w:val="2"/>
            <w:shd w:val="clear" w:color="auto" w:fill="auto"/>
          </w:tcPr>
          <w:p w:rsidR="00864C85" w:rsidRPr="00B952E5" w:rsidRDefault="00864C85" w:rsidP="00864C8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xxi) punkts</w:t>
            </w:r>
            <w:r>
              <w:rPr>
                <w:rStyle w:val="FootnoteReference"/>
                <w:rFonts w:ascii="Times New Roman" w:eastAsia="Times New Roman" w:hAnsi="Times New Roman" w:cs="Times New Roman"/>
                <w:sz w:val="24"/>
                <w:szCs w:val="24"/>
                <w:lang w:eastAsia="lv-LV"/>
              </w:rPr>
              <w:footnoteReference w:id="6"/>
            </w:r>
          </w:p>
        </w:tc>
        <w:tc>
          <w:tcPr>
            <w:tcW w:w="2632" w:type="dxa"/>
            <w:shd w:val="clear" w:color="auto" w:fill="auto"/>
          </w:tcPr>
          <w:p w:rsidR="00864C85" w:rsidRPr="00B952E5" w:rsidRDefault="00864C85" w:rsidP="00864C8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2.22. apakšpunkts.</w:t>
            </w:r>
          </w:p>
        </w:tc>
        <w:tc>
          <w:tcPr>
            <w:tcW w:w="1803" w:type="dxa"/>
            <w:gridSpan w:val="2"/>
            <w:shd w:val="clear" w:color="auto" w:fill="auto"/>
          </w:tcPr>
          <w:p w:rsidR="00864C85" w:rsidRPr="00B952E5" w:rsidRDefault="00864C85" w:rsidP="00864C8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tcPr>
          <w:p w:rsidR="00864C85" w:rsidRPr="00B952E5" w:rsidRDefault="00864C85" w:rsidP="00864C85">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8985" w:type="dxa"/>
            <w:gridSpan w:val="6"/>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C. 2. panta 1. punkta a) apakšpunkta iii) punkts – produktu drošība un atbilstība</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1. 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864C85" w:rsidP="00864C8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3.1.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3.</w:t>
            </w:r>
            <w:r w:rsidR="003E25B7">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3.</w:t>
            </w:r>
            <w:r w:rsidR="003E25B7">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2. 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3.</w:t>
            </w:r>
            <w:r w:rsidR="003E25B7">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864C85"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3.</w:t>
            </w:r>
            <w:r w:rsidR="003E25B7">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864C85" w:rsidP="00864C8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3.6.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8985" w:type="dxa"/>
            <w:gridSpan w:val="6"/>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D. 2. panta 1. punkta a) apakšpunkta iv) punkts – transporta drošība</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1. </w:t>
            </w:r>
          </w:p>
        </w:tc>
        <w:tc>
          <w:tcPr>
            <w:tcW w:w="2632" w:type="dxa"/>
            <w:shd w:val="clear" w:color="auto" w:fill="auto"/>
            <w:hideMark/>
          </w:tcPr>
          <w:p w:rsidR="00BB30C6" w:rsidRPr="00B952E5" w:rsidRDefault="00864C85" w:rsidP="00864C8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4.1.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2. </w:t>
            </w:r>
          </w:p>
        </w:tc>
        <w:tc>
          <w:tcPr>
            <w:tcW w:w="2632" w:type="dxa"/>
            <w:shd w:val="clear" w:color="auto" w:fill="auto"/>
            <w:hideMark/>
          </w:tcPr>
          <w:p w:rsidR="00BB30C6" w:rsidRPr="00B952E5" w:rsidRDefault="00864C85"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4.</w:t>
            </w:r>
            <w:r w:rsidR="00E5075A">
              <w:rPr>
                <w:rFonts w:ascii="Times New Roman" w:eastAsia="Times New Roman" w:hAnsi="Times New Roman" w:cs="Times New Roman"/>
                <w:sz w:val="24"/>
                <w:szCs w:val="24"/>
                <w:lang w:eastAsia="lv-LV"/>
              </w:rPr>
              <w:t>10</w:t>
            </w:r>
            <w:r w:rsidRPr="00E5075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3. 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864C85"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4.</w:t>
            </w:r>
            <w:r w:rsidR="00E5075A">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864C85"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4.</w:t>
            </w:r>
            <w:r w:rsidR="00E5075A">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864C85"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4</w:t>
            </w:r>
            <w:r w:rsidRPr="00E5075A">
              <w:rPr>
                <w:rFonts w:ascii="Times New Roman" w:eastAsia="Times New Roman" w:hAnsi="Times New Roman" w:cs="Times New Roman"/>
                <w:sz w:val="24"/>
                <w:szCs w:val="24"/>
                <w:lang w:eastAsia="lv-LV"/>
              </w:rPr>
              <w:t>.</w:t>
            </w:r>
            <w:r w:rsidR="00E5075A">
              <w:rPr>
                <w:rFonts w:ascii="Times New Roman" w:eastAsia="Times New Roman" w:hAnsi="Times New Roman" w:cs="Times New Roman"/>
                <w:sz w:val="24"/>
                <w:szCs w:val="24"/>
                <w:lang w:eastAsia="lv-LV"/>
              </w:rPr>
              <w:t>11</w:t>
            </w:r>
            <w:r w:rsidRPr="00E5075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4. 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lastRenderedPageBreak/>
              <w:t>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lastRenderedPageBreak/>
              <w:t>i) punkts </w:t>
            </w:r>
          </w:p>
        </w:tc>
        <w:tc>
          <w:tcPr>
            <w:tcW w:w="2632" w:type="dxa"/>
            <w:shd w:val="clear" w:color="auto" w:fill="auto"/>
            <w:hideMark/>
          </w:tcPr>
          <w:p w:rsidR="00BB30C6" w:rsidRPr="00B952E5" w:rsidRDefault="00864C85"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4</w:t>
            </w:r>
            <w:r w:rsidRPr="00E5075A">
              <w:rPr>
                <w:rFonts w:ascii="Times New Roman" w:eastAsia="Times New Roman" w:hAnsi="Times New Roman" w:cs="Times New Roman"/>
                <w:sz w:val="24"/>
                <w:szCs w:val="24"/>
                <w:lang w:eastAsia="lv-LV"/>
              </w:rPr>
              <w:t>.</w:t>
            </w:r>
            <w:r w:rsidR="00E5075A">
              <w:rPr>
                <w:rFonts w:ascii="Times New Roman" w:eastAsia="Times New Roman" w:hAnsi="Times New Roman" w:cs="Times New Roman"/>
                <w:sz w:val="24"/>
                <w:szCs w:val="24"/>
                <w:lang w:eastAsia="lv-LV"/>
              </w:rPr>
              <w:t>12</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4.</w:t>
            </w:r>
            <w:r w:rsidR="00E5075A">
              <w:rPr>
                <w:rFonts w:ascii="Times New Roman" w:eastAsia="Times New Roman" w:hAnsi="Times New Roman" w:cs="Times New Roman"/>
                <w:sz w:val="24"/>
                <w:szCs w:val="24"/>
                <w:lang w:eastAsia="lv-LV"/>
              </w:rPr>
              <w:t>13</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4.</w:t>
            </w:r>
            <w:r w:rsidR="00E5075A">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iv)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4.</w:t>
            </w:r>
            <w:r w:rsidR="00E5075A">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4.</w:t>
            </w:r>
            <w:r w:rsidR="00E5075A">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4.</w:t>
            </w:r>
            <w:r w:rsidR="00E5075A">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4.</w:t>
            </w:r>
            <w:r w:rsidR="00E5075A">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5. 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w:t>
            </w:r>
            <w:r w:rsidR="00E5075A">
              <w:rPr>
                <w:rFonts w:ascii="Times New Roman" w:eastAsia="Times New Roman" w:hAnsi="Times New Roman" w:cs="Times New Roman"/>
                <w:sz w:val="24"/>
                <w:szCs w:val="24"/>
                <w:lang w:eastAsia="lv-LV"/>
              </w:rPr>
              <w:t>eikumu projekta 1. pielikuma 4.9</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8985" w:type="dxa"/>
            <w:gridSpan w:val="6"/>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E. 2. panta 1. punkta a) apakšpunkta v) punkts – vides aizsardzība</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1. 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5.1.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2.  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5.2.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5.3.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5.4.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iv)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Pr="001627C0">
              <w:rPr>
                <w:rFonts w:ascii="Times New Roman" w:eastAsia="Times New Roman" w:hAnsi="Times New Roman" w:cs="Times New Roman"/>
                <w:sz w:val="24"/>
                <w:szCs w:val="24"/>
                <w:lang w:eastAsia="lv-LV"/>
              </w:rPr>
              <w:t>.</w:t>
            </w:r>
            <w:r w:rsidR="001627C0">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E5075A">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893E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3.  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E5075A">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1627C0">
              <w:rPr>
                <w:rFonts w:ascii="Times New Roman" w:eastAsia="Times New Roman" w:hAnsi="Times New Roman" w:cs="Times New Roman"/>
                <w:sz w:val="24"/>
                <w:szCs w:val="24"/>
                <w:lang w:eastAsia="lv-LV"/>
              </w:rPr>
              <w:t>21</w:t>
            </w:r>
            <w:r w:rsidRPr="001627C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1627C0">
              <w:rPr>
                <w:rFonts w:ascii="Times New Roman" w:eastAsia="Times New Roman" w:hAnsi="Times New Roman" w:cs="Times New Roman"/>
                <w:sz w:val="24"/>
                <w:szCs w:val="24"/>
                <w:lang w:eastAsia="lv-LV"/>
              </w:rPr>
              <w:t>22</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4. 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lastRenderedPageBreak/>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lastRenderedPageBreak/>
              <w:t>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E5075A">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E5075A">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E5075A">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iv)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1627C0">
              <w:rPr>
                <w:rFonts w:ascii="Times New Roman" w:eastAsia="Times New Roman" w:hAnsi="Times New Roman" w:cs="Times New Roman"/>
                <w:sz w:val="24"/>
                <w:szCs w:val="24"/>
                <w:lang w:eastAsia="lv-LV"/>
              </w:rPr>
              <w:t>23</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5.1</w:t>
            </w:r>
            <w:r w:rsidR="00E5075A">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5.1</w:t>
            </w:r>
            <w:r w:rsidR="00E5075A">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vii)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1627C0">
              <w:rPr>
                <w:rFonts w:ascii="Times New Roman" w:eastAsia="Times New Roman" w:hAnsi="Times New Roman" w:cs="Times New Roman"/>
                <w:sz w:val="24"/>
                <w:szCs w:val="24"/>
                <w:lang w:eastAsia="lv-LV"/>
              </w:rPr>
              <w:t>24</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viii)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5.1</w:t>
            </w:r>
            <w:r w:rsidR="001627C0">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1627C0" w:rsidRDefault="00BB30C6" w:rsidP="00BB30C6">
            <w:pPr>
              <w:spacing w:after="0" w:line="240" w:lineRule="auto"/>
              <w:textAlignment w:val="baseline"/>
              <w:rPr>
                <w:rFonts w:ascii="Times New Roman" w:eastAsia="Times New Roman" w:hAnsi="Times New Roman" w:cs="Times New Roman"/>
                <w:sz w:val="24"/>
                <w:szCs w:val="24"/>
                <w:lang w:eastAsia="lv-LV"/>
              </w:rPr>
            </w:pPr>
            <w:r w:rsidRPr="001627C0">
              <w:rPr>
                <w:rFonts w:ascii="Times New Roman" w:eastAsia="Times New Roman" w:hAnsi="Times New Roman" w:cs="Times New Roman"/>
                <w:sz w:val="24"/>
                <w:szCs w:val="24"/>
                <w:lang w:eastAsia="lv-LV"/>
              </w:rPr>
              <w:t>ix) punkts </w:t>
            </w:r>
          </w:p>
        </w:tc>
        <w:tc>
          <w:tcPr>
            <w:tcW w:w="2632" w:type="dxa"/>
            <w:shd w:val="clear" w:color="auto" w:fill="auto"/>
            <w:hideMark/>
          </w:tcPr>
          <w:p w:rsidR="00BB30C6" w:rsidRPr="001627C0" w:rsidRDefault="00CA1E48" w:rsidP="00E5075A">
            <w:pPr>
              <w:spacing w:after="0" w:line="240" w:lineRule="auto"/>
              <w:textAlignment w:val="baseline"/>
              <w:rPr>
                <w:rFonts w:ascii="Times New Roman" w:eastAsia="Times New Roman" w:hAnsi="Times New Roman" w:cs="Times New Roman"/>
                <w:sz w:val="24"/>
                <w:szCs w:val="24"/>
                <w:lang w:eastAsia="lv-LV"/>
              </w:rPr>
            </w:pPr>
            <w:r w:rsidRPr="001627C0">
              <w:rPr>
                <w:rFonts w:ascii="Times New Roman" w:eastAsia="Times New Roman" w:hAnsi="Times New Roman" w:cs="Times New Roman"/>
                <w:sz w:val="24"/>
                <w:szCs w:val="24"/>
                <w:lang w:eastAsia="lv-LV"/>
              </w:rPr>
              <w:t>Not</w:t>
            </w:r>
            <w:r w:rsidR="001627C0">
              <w:rPr>
                <w:rFonts w:ascii="Times New Roman" w:eastAsia="Times New Roman" w:hAnsi="Times New Roman" w:cs="Times New Roman"/>
                <w:sz w:val="24"/>
                <w:szCs w:val="24"/>
                <w:lang w:eastAsia="lv-LV"/>
              </w:rPr>
              <w:t>eikumu projekta 1. pielikuma 5.25</w:t>
            </w:r>
            <w:r w:rsidRPr="001627C0">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Pr="001627C0">
              <w:rPr>
                <w:rFonts w:ascii="Times New Roman" w:eastAsia="Times New Roman" w:hAnsi="Times New Roman" w:cs="Times New Roman"/>
                <w:sz w:val="24"/>
                <w:szCs w:val="24"/>
                <w:lang w:eastAsia="lv-LV"/>
              </w:rPr>
              <w:t>.</w:t>
            </w:r>
            <w:r w:rsidR="001627C0">
              <w:rPr>
                <w:rFonts w:ascii="Times New Roman" w:eastAsia="Times New Roman" w:hAnsi="Times New Roman" w:cs="Times New Roman"/>
                <w:sz w:val="24"/>
                <w:szCs w:val="24"/>
                <w:lang w:eastAsia="lv-LV"/>
              </w:rPr>
              <w:t>26</w:t>
            </w:r>
            <w:r w:rsidRPr="001627C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CA1E48">
        <w:trPr>
          <w:trHeight w:val="934"/>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xi)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1627C0">
              <w:rPr>
                <w:rFonts w:ascii="Times New Roman" w:eastAsia="Times New Roman" w:hAnsi="Times New Roman" w:cs="Times New Roman"/>
                <w:sz w:val="24"/>
                <w:szCs w:val="24"/>
                <w:lang w:eastAsia="lv-LV"/>
              </w:rPr>
              <w:t>13</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xii)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1627C0">
              <w:rPr>
                <w:rFonts w:ascii="Times New Roman" w:eastAsia="Times New Roman" w:hAnsi="Times New Roman" w:cs="Times New Roman"/>
                <w:sz w:val="24"/>
                <w:szCs w:val="24"/>
                <w:lang w:eastAsia="lv-LV"/>
              </w:rPr>
              <w:t>27</w:t>
            </w:r>
            <w:r w:rsidRPr="001627C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xiii)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1627C0">
              <w:rPr>
                <w:rFonts w:ascii="Times New Roman" w:eastAsia="Times New Roman" w:hAnsi="Times New Roman" w:cs="Times New Roman"/>
                <w:sz w:val="24"/>
                <w:szCs w:val="24"/>
                <w:lang w:eastAsia="lv-LV"/>
              </w:rPr>
              <w:t>14</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xiv)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1627C0">
              <w:rPr>
                <w:rFonts w:ascii="Times New Roman" w:eastAsia="Times New Roman" w:hAnsi="Times New Roman" w:cs="Times New Roman"/>
                <w:sz w:val="24"/>
                <w:szCs w:val="24"/>
                <w:lang w:eastAsia="lv-LV"/>
              </w:rPr>
              <w:t>.28</w:t>
            </w:r>
            <w:r w:rsidRPr="001627C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xv)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1627C0">
              <w:rPr>
                <w:rFonts w:ascii="Times New Roman" w:eastAsia="Times New Roman" w:hAnsi="Times New Roman" w:cs="Times New Roman"/>
                <w:sz w:val="24"/>
                <w:szCs w:val="24"/>
                <w:lang w:eastAsia="lv-LV"/>
              </w:rPr>
              <w:t>15</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5. 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1627C0">
              <w:rPr>
                <w:rFonts w:ascii="Times New Roman" w:eastAsia="Times New Roman" w:hAnsi="Times New Roman" w:cs="Times New Roman"/>
                <w:sz w:val="24"/>
                <w:szCs w:val="24"/>
                <w:lang w:eastAsia="lv-LV"/>
              </w:rPr>
              <w:t>16</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1627C0">
              <w:rPr>
                <w:rFonts w:ascii="Times New Roman" w:eastAsia="Times New Roman" w:hAnsi="Times New Roman" w:cs="Times New Roman"/>
                <w:sz w:val="24"/>
                <w:szCs w:val="24"/>
                <w:lang w:eastAsia="lv-LV"/>
              </w:rPr>
              <w:t>17</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w:t>
            </w:r>
            <w:r w:rsidR="001627C0">
              <w:rPr>
                <w:rFonts w:ascii="Times New Roman" w:eastAsia="Times New Roman" w:hAnsi="Times New Roman" w:cs="Times New Roman"/>
                <w:sz w:val="24"/>
                <w:szCs w:val="24"/>
                <w:lang w:eastAsia="lv-LV"/>
              </w:rPr>
              <w:t>eikumu projekta 1. pielikuma 5.18</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6. 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Pr="001627C0">
              <w:rPr>
                <w:rFonts w:ascii="Times New Roman" w:eastAsia="Times New Roman" w:hAnsi="Times New Roman" w:cs="Times New Roman"/>
                <w:sz w:val="24"/>
                <w:szCs w:val="24"/>
                <w:lang w:eastAsia="lv-LV"/>
              </w:rPr>
              <w:t>.2</w:t>
            </w:r>
            <w:r w:rsidR="001627C0">
              <w:rPr>
                <w:rFonts w:ascii="Times New Roman" w:eastAsia="Times New Roman" w:hAnsi="Times New Roman" w:cs="Times New Roman"/>
                <w:sz w:val="24"/>
                <w:szCs w:val="24"/>
                <w:lang w:eastAsia="lv-LV"/>
              </w:rPr>
              <w:t>9</w:t>
            </w:r>
            <w:r w:rsidRPr="001627C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1627C0">
              <w:rPr>
                <w:rFonts w:ascii="Times New Roman" w:eastAsia="Times New Roman" w:hAnsi="Times New Roman" w:cs="Times New Roman"/>
                <w:sz w:val="24"/>
                <w:szCs w:val="24"/>
                <w:lang w:eastAsia="lv-LV"/>
              </w:rPr>
              <w:t>30</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Pr="001627C0">
              <w:rPr>
                <w:rFonts w:ascii="Times New Roman" w:eastAsia="Times New Roman" w:hAnsi="Times New Roman" w:cs="Times New Roman"/>
                <w:sz w:val="24"/>
                <w:szCs w:val="24"/>
                <w:lang w:eastAsia="lv-LV"/>
              </w:rPr>
              <w:t>3</w:t>
            </w:r>
            <w:r w:rsidR="001627C0">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iv)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Pr="001627C0">
              <w:rPr>
                <w:rFonts w:ascii="Times New Roman" w:eastAsia="Times New Roman" w:hAnsi="Times New Roman" w:cs="Times New Roman"/>
                <w:sz w:val="24"/>
                <w:szCs w:val="24"/>
                <w:lang w:eastAsia="lv-LV"/>
              </w:rPr>
              <w:t>3</w:t>
            </w:r>
            <w:r w:rsidR="001627C0">
              <w:rPr>
                <w:rFonts w:ascii="Times New Roman" w:eastAsia="Times New Roman" w:hAnsi="Times New Roman" w:cs="Times New Roman"/>
                <w:sz w:val="24"/>
                <w:szCs w:val="24"/>
                <w:lang w:eastAsia="lv-LV"/>
              </w:rPr>
              <w:t>2</w:t>
            </w:r>
            <w:r w:rsidRPr="001627C0">
              <w:rPr>
                <w:rFonts w:ascii="Times New Roman" w:eastAsia="Times New Roman" w:hAnsi="Times New Roman" w:cs="Times New Roman"/>
                <w:sz w:val="24"/>
                <w:szCs w:val="24"/>
                <w:lang w:eastAsia="lv-LV"/>
              </w:rPr>
              <w:t>. apakšpunkts</w:t>
            </w:r>
            <w:r>
              <w:rPr>
                <w:rFonts w:ascii="Times New Roman" w:eastAsia="Times New Roman" w:hAnsi="Times New Roman" w:cs="Times New Roman"/>
                <w:sz w:val="24"/>
                <w:szCs w:val="24"/>
                <w:lang w:eastAsia="lv-LV"/>
              </w:rPr>
              <w:t>.</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 punkts </w:t>
            </w:r>
          </w:p>
        </w:tc>
        <w:tc>
          <w:tcPr>
            <w:tcW w:w="2632" w:type="dxa"/>
            <w:shd w:val="clear" w:color="auto" w:fill="auto"/>
            <w:hideMark/>
          </w:tcPr>
          <w:p w:rsidR="00BB30C6" w:rsidRPr="00B952E5" w:rsidRDefault="00CA1E48" w:rsidP="001627C0">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001627C0">
              <w:rPr>
                <w:rFonts w:ascii="Times New Roman" w:eastAsia="Times New Roman" w:hAnsi="Times New Roman" w:cs="Times New Roman"/>
                <w:sz w:val="24"/>
                <w:szCs w:val="24"/>
                <w:lang w:eastAsia="lv-LV"/>
              </w:rPr>
              <w:t>19</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 punkts </w:t>
            </w:r>
          </w:p>
        </w:tc>
        <w:tc>
          <w:tcPr>
            <w:tcW w:w="2632" w:type="dxa"/>
            <w:shd w:val="clear" w:color="auto" w:fill="auto"/>
            <w:hideMark/>
          </w:tcPr>
          <w:p w:rsidR="00BB30C6" w:rsidRPr="00B952E5" w:rsidRDefault="00CA1E48"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w:t>
            </w:r>
            <w:r w:rsidRPr="001627C0">
              <w:rPr>
                <w:rFonts w:ascii="Times New Roman" w:eastAsia="Times New Roman" w:hAnsi="Times New Roman" w:cs="Times New Roman"/>
                <w:sz w:val="24"/>
                <w:szCs w:val="24"/>
                <w:lang w:eastAsia="lv-LV"/>
              </w:rPr>
              <w:t>33.</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5.34.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7. 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5.35.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8. </w:t>
            </w:r>
          </w:p>
        </w:tc>
        <w:tc>
          <w:tcPr>
            <w:tcW w:w="2632" w:type="dxa"/>
            <w:shd w:val="clear" w:color="auto" w:fill="auto"/>
            <w:hideMark/>
          </w:tcPr>
          <w:p w:rsidR="00BB30C6" w:rsidRPr="00B952E5" w:rsidRDefault="00CA1E48"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5.36.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rHeight w:val="300"/>
          <w:tblCellSpacing w:w="20" w:type="dxa"/>
        </w:trPr>
        <w:tc>
          <w:tcPr>
            <w:tcW w:w="8985" w:type="dxa"/>
            <w:gridSpan w:val="6"/>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 xml:space="preserve">F. 2. panta 1. punkta a) apakšpunkta </w:t>
            </w:r>
            <w:proofErr w:type="spellStart"/>
            <w:r w:rsidRPr="00B952E5">
              <w:rPr>
                <w:rFonts w:ascii="Times New Roman" w:eastAsia="Times New Roman" w:hAnsi="Times New Roman" w:cs="Times New Roman"/>
                <w:b/>
                <w:bCs/>
                <w:sz w:val="24"/>
                <w:szCs w:val="24"/>
                <w:lang w:eastAsia="lv-LV"/>
              </w:rPr>
              <w:t>vi</w:t>
            </w:r>
            <w:proofErr w:type="spellEnd"/>
            <w:r w:rsidRPr="00B952E5">
              <w:rPr>
                <w:rFonts w:ascii="Times New Roman" w:eastAsia="Times New Roman" w:hAnsi="Times New Roman" w:cs="Times New Roman"/>
                <w:b/>
                <w:bCs/>
                <w:sz w:val="24"/>
                <w:szCs w:val="24"/>
                <w:lang w:eastAsia="lv-LV"/>
              </w:rPr>
              <w:t xml:space="preserve">) punkts – pretradiācijas aizsardzība un </w:t>
            </w:r>
            <w:proofErr w:type="spellStart"/>
            <w:r w:rsidRPr="00B952E5">
              <w:rPr>
                <w:rFonts w:ascii="Times New Roman" w:eastAsia="Times New Roman" w:hAnsi="Times New Roman" w:cs="Times New Roman"/>
                <w:b/>
                <w:bCs/>
                <w:sz w:val="24"/>
                <w:szCs w:val="24"/>
                <w:lang w:eastAsia="lv-LV"/>
              </w:rPr>
              <w:t>kodoldrošums</w:t>
            </w:r>
            <w:proofErr w:type="spellEnd"/>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6.1.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6.2.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CA1E48" w:rsidP="00CA1E48">
            <w:pPr>
              <w:shd w:val="clear" w:color="auto" w:fill="FFFFFF"/>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6.3.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iv)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6.4.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6.5.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lastRenderedPageBreak/>
              <w:t>vi)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6.6.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6.7.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8985" w:type="dxa"/>
            <w:gridSpan w:val="6"/>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G. 2. panta 1. punkta a) apakšpunkta vii) punkts – pārtikas un barības nekaitīgums, dzīvnieku veselība un labturība</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1. 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7</w:t>
            </w:r>
            <w:r w:rsidRPr="00E5075A">
              <w:rPr>
                <w:rFonts w:ascii="Times New Roman" w:eastAsia="Times New Roman" w:hAnsi="Times New Roman" w:cs="Times New Roman"/>
                <w:sz w:val="24"/>
                <w:szCs w:val="24"/>
                <w:lang w:eastAsia="lv-LV"/>
              </w:rPr>
              <w:t>.</w:t>
            </w:r>
            <w:r w:rsidR="00E5075A">
              <w:rPr>
                <w:rFonts w:ascii="Times New Roman" w:eastAsia="Times New Roman" w:hAnsi="Times New Roman" w:cs="Times New Roman"/>
                <w:sz w:val="24"/>
                <w:szCs w:val="24"/>
                <w:lang w:eastAsia="lv-LV"/>
              </w:rPr>
              <w:t>4</w:t>
            </w:r>
            <w:r w:rsidRPr="00E5075A">
              <w:rPr>
                <w:rFonts w:ascii="Times New Roman" w:eastAsia="Times New Roman" w:hAnsi="Times New Roman" w:cs="Times New Roman"/>
                <w:sz w:val="24"/>
                <w:szCs w:val="24"/>
                <w:lang w:eastAsia="lv-LV"/>
              </w:rPr>
              <w:t>. apakšpunkts</w:t>
            </w:r>
            <w:r>
              <w:rPr>
                <w:rFonts w:ascii="Times New Roman" w:eastAsia="Times New Roman" w:hAnsi="Times New Roman" w:cs="Times New Roman"/>
                <w:sz w:val="24"/>
                <w:szCs w:val="24"/>
                <w:lang w:eastAsia="lv-LV"/>
              </w:rPr>
              <w:t>.</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2. 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7</w:t>
            </w:r>
            <w:r w:rsidRPr="00E5075A">
              <w:rPr>
                <w:rFonts w:ascii="Times New Roman" w:eastAsia="Times New Roman" w:hAnsi="Times New Roman" w:cs="Times New Roman"/>
                <w:sz w:val="24"/>
                <w:szCs w:val="24"/>
                <w:lang w:eastAsia="lv-LV"/>
              </w:rPr>
              <w:t>.</w:t>
            </w:r>
            <w:r w:rsidR="00E5075A">
              <w:rPr>
                <w:rFonts w:ascii="Times New Roman" w:eastAsia="Times New Roman" w:hAnsi="Times New Roman" w:cs="Times New Roman"/>
                <w:sz w:val="24"/>
                <w:szCs w:val="24"/>
                <w:lang w:eastAsia="lv-LV"/>
              </w:rPr>
              <w:t>5</w:t>
            </w:r>
            <w:r w:rsidRPr="00E5075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projekta 1. pielikuma </w:t>
            </w:r>
            <w:r w:rsidRPr="00E5075A">
              <w:rPr>
                <w:rFonts w:ascii="Times New Roman" w:eastAsia="Times New Roman" w:hAnsi="Times New Roman" w:cs="Times New Roman"/>
                <w:sz w:val="24"/>
                <w:szCs w:val="24"/>
                <w:lang w:eastAsia="lv-LV"/>
              </w:rPr>
              <w:t>7.</w:t>
            </w:r>
            <w:r w:rsidR="00E5075A">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3. 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projekta 1. pielikuma </w:t>
            </w:r>
            <w:r w:rsidRPr="00E5075A">
              <w:rPr>
                <w:rFonts w:ascii="Times New Roman" w:eastAsia="Times New Roman" w:hAnsi="Times New Roman" w:cs="Times New Roman"/>
                <w:sz w:val="24"/>
                <w:szCs w:val="24"/>
                <w:lang w:eastAsia="lv-LV"/>
              </w:rPr>
              <w:t>7.</w:t>
            </w:r>
            <w:r w:rsidR="00E5075A">
              <w:rPr>
                <w:rFonts w:ascii="Times New Roman" w:eastAsia="Times New Roman" w:hAnsi="Times New Roman" w:cs="Times New Roman"/>
                <w:sz w:val="24"/>
                <w:szCs w:val="24"/>
                <w:lang w:eastAsia="lv-LV"/>
              </w:rPr>
              <w:t>7</w:t>
            </w:r>
            <w:r w:rsidRPr="00E5075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4. 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7.</w:t>
            </w:r>
            <w:r w:rsidR="00E5075A">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w:t>
            </w:r>
            <w:r w:rsidRPr="00E5075A">
              <w:rPr>
                <w:rFonts w:ascii="Times New Roman" w:eastAsia="Times New Roman" w:hAnsi="Times New Roman" w:cs="Times New Roman"/>
                <w:sz w:val="24"/>
                <w:szCs w:val="24"/>
                <w:lang w:eastAsia="lv-LV"/>
              </w:rPr>
              <w:t>. pielikuma 7.</w:t>
            </w:r>
            <w:r w:rsidR="00E5075A">
              <w:rPr>
                <w:rFonts w:ascii="Times New Roman" w:eastAsia="Times New Roman" w:hAnsi="Times New Roman" w:cs="Times New Roman"/>
                <w:sz w:val="24"/>
                <w:szCs w:val="24"/>
                <w:lang w:eastAsia="lv-LV"/>
              </w:rPr>
              <w:t>8</w:t>
            </w:r>
            <w:r w:rsidRPr="00E5075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7</w:t>
            </w:r>
            <w:r w:rsidRPr="00E5075A">
              <w:rPr>
                <w:rFonts w:ascii="Times New Roman" w:eastAsia="Times New Roman" w:hAnsi="Times New Roman" w:cs="Times New Roman"/>
                <w:sz w:val="24"/>
                <w:szCs w:val="24"/>
                <w:lang w:eastAsia="lv-LV"/>
              </w:rPr>
              <w:t>.</w:t>
            </w:r>
            <w:r w:rsidR="00E5075A">
              <w:rPr>
                <w:rFonts w:ascii="Times New Roman" w:eastAsia="Times New Roman" w:hAnsi="Times New Roman" w:cs="Times New Roman"/>
                <w:sz w:val="24"/>
                <w:szCs w:val="24"/>
                <w:lang w:eastAsia="lv-LV"/>
              </w:rPr>
              <w:t>9</w:t>
            </w:r>
            <w:r w:rsidRPr="00E5075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iv)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7.</w:t>
            </w:r>
            <w:r w:rsidR="00E5075A">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7.</w:t>
            </w:r>
            <w:r w:rsidR="00E5075A">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8985" w:type="dxa"/>
            <w:gridSpan w:val="6"/>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H. 2. panta 1. punkta a) apakšpunkta viii) punkts – sabiedrības veselība</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1. 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8.1.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CA1E48"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8.2.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8.3.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2. 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lastRenderedPageBreak/>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lastRenderedPageBreak/>
              <w:t>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8.</w:t>
            </w:r>
            <w:r w:rsidR="00E5075A">
              <w:rPr>
                <w:rFonts w:ascii="Times New Roman" w:eastAsia="Times New Roman" w:hAnsi="Times New Roman" w:cs="Times New Roman"/>
                <w:sz w:val="24"/>
                <w:szCs w:val="24"/>
                <w:lang w:eastAsia="lv-LV"/>
              </w:rPr>
              <w:t>7</w:t>
            </w:r>
            <w:r w:rsidRPr="00E5075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8.</w:t>
            </w:r>
            <w:r w:rsidR="00E5075A">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8.</w:t>
            </w:r>
            <w:r w:rsidR="00E5075A">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iv)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8.</w:t>
            </w:r>
            <w:r w:rsidR="00E5075A">
              <w:rPr>
                <w:rFonts w:ascii="Times New Roman" w:eastAsia="Times New Roman" w:hAnsi="Times New Roman" w:cs="Times New Roman"/>
                <w:sz w:val="24"/>
                <w:szCs w:val="24"/>
                <w:lang w:eastAsia="lv-LV"/>
              </w:rPr>
              <w:t>9</w:t>
            </w:r>
            <w:r w:rsidRPr="00E5075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8.</w:t>
            </w:r>
            <w:r w:rsidR="00E5075A">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8.</w:t>
            </w:r>
            <w:r w:rsidR="00E5075A">
              <w:rPr>
                <w:rFonts w:ascii="Times New Roman" w:eastAsia="Times New Roman" w:hAnsi="Times New Roman" w:cs="Times New Roman"/>
                <w:sz w:val="24"/>
                <w:szCs w:val="24"/>
                <w:lang w:eastAsia="lv-LV"/>
              </w:rPr>
              <w:t>11</w:t>
            </w:r>
            <w:r w:rsidRPr="00E5075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vii) punkts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8.</w:t>
            </w:r>
            <w:r w:rsidRPr="00E5075A">
              <w:rPr>
                <w:rFonts w:ascii="Times New Roman" w:eastAsia="Times New Roman" w:hAnsi="Times New Roman" w:cs="Times New Roman"/>
                <w:sz w:val="24"/>
                <w:szCs w:val="24"/>
                <w:lang w:eastAsia="lv-LV"/>
              </w:rPr>
              <w:t>1</w:t>
            </w:r>
            <w:r w:rsidR="00E5075A">
              <w:rPr>
                <w:rFonts w:ascii="Times New Roman" w:eastAsia="Times New Roman" w:hAnsi="Times New Roman" w:cs="Times New Roman"/>
                <w:sz w:val="24"/>
                <w:szCs w:val="24"/>
                <w:lang w:eastAsia="lv-LV"/>
              </w:rPr>
              <w:t>2</w:t>
            </w:r>
            <w:r w:rsidRPr="00E5075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3. 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8.</w:t>
            </w:r>
            <w:r w:rsidR="00E5075A">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4. </w:t>
            </w:r>
          </w:p>
        </w:tc>
        <w:tc>
          <w:tcPr>
            <w:tcW w:w="2632" w:type="dxa"/>
            <w:shd w:val="clear" w:color="auto" w:fill="auto"/>
            <w:hideMark/>
          </w:tcPr>
          <w:p w:rsidR="00BB30C6" w:rsidRPr="00B952E5" w:rsidRDefault="00CA1E48" w:rsidP="00E5075A">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8.</w:t>
            </w:r>
            <w:r w:rsidR="00E5075A">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8985" w:type="dxa"/>
            <w:gridSpan w:val="6"/>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I.</w:t>
            </w:r>
            <w:r w:rsidRPr="00B952E5">
              <w:rPr>
                <w:rFonts w:ascii="Times New Roman" w:eastAsia="Times New Roman" w:hAnsi="Times New Roman" w:cs="Times New Roman"/>
                <w:lang w:eastAsia="lv-LV"/>
              </w:rPr>
              <w:t> </w:t>
            </w:r>
            <w:r w:rsidRPr="00B952E5">
              <w:rPr>
                <w:rFonts w:ascii="Times New Roman" w:eastAsia="Times New Roman" w:hAnsi="Times New Roman" w:cs="Times New Roman"/>
                <w:b/>
                <w:bCs/>
                <w:sz w:val="24"/>
                <w:szCs w:val="24"/>
                <w:lang w:eastAsia="lv-LV"/>
              </w:rPr>
              <w:t>2. panta 1. punkta a) apakšpunkta ix) punkts – patērētāju tiesību aizsardzība</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9.1.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9.2.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9.3.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iv)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9.4. apakšpunkts.</w:t>
            </w:r>
            <w:r w:rsidR="00BB30C6" w:rsidRPr="00B952E5">
              <w:rPr>
                <w:rFonts w:ascii="Times New Roman" w:eastAsia="Times New Roman" w:hAnsi="Times New Roman" w:cs="Times New Roman"/>
                <w:sz w:val="24"/>
                <w:szCs w:val="24"/>
                <w:lang w:eastAsia="lv-LV"/>
              </w:rPr>
              <w:t>  </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9.5.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9.6.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9.7.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viii)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9.8.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lastRenderedPageBreak/>
              <w:t>ix)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9.9.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8985" w:type="dxa"/>
            <w:gridSpan w:val="6"/>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J. 2. panta 1. punkta a) apakšpunkta x) punkts – privātās dzīves un personas datu aizsardzība un tīkla un informācijas sistēmu drošība</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10.1.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CA1E48"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10.</w:t>
            </w:r>
            <w:r w:rsidR="003E25B7">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CA1E48"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1. pielikuma 10.</w:t>
            </w:r>
            <w:r w:rsidR="003E25B7">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8985" w:type="dxa"/>
            <w:gridSpan w:val="6"/>
            <w:shd w:val="clear" w:color="auto" w:fill="auto"/>
            <w:hideMark/>
          </w:tcPr>
          <w:p w:rsidR="00BB30C6" w:rsidRPr="00B952E5" w:rsidRDefault="00BB30C6" w:rsidP="00BB30C6">
            <w:pPr>
              <w:spacing w:after="0" w:line="240" w:lineRule="auto"/>
              <w:jc w:val="center"/>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II daļa</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8985" w:type="dxa"/>
            <w:gridSpan w:val="6"/>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A. 2. panta 1. punkta a) apakšpunkta ii) punkts – finanšu pakalpojumi, produkti un tirgi un nelikumīgi iegūtu līdzekļu legalizācijas un terorisma finansēšanas novēršana</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1. 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pielikuma 1.1.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pielikuma 1.2.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pielikuma 1.3.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iv) punkts </w:t>
            </w:r>
          </w:p>
        </w:tc>
        <w:tc>
          <w:tcPr>
            <w:tcW w:w="2632" w:type="dxa"/>
            <w:shd w:val="clear" w:color="auto" w:fill="auto"/>
            <w:hideMark/>
          </w:tcPr>
          <w:p w:rsidR="00BB30C6" w:rsidRPr="00B952E5" w:rsidRDefault="00CA1E48" w:rsidP="003E25B7">
            <w:pPr>
              <w:spacing w:after="0" w:line="240" w:lineRule="auto"/>
              <w:textAlignment w:val="baseline"/>
              <w:rPr>
                <w:rFonts w:ascii="Times New Roman" w:eastAsia="Times New Roman" w:hAnsi="Times New Roman" w:cs="Times New Roman"/>
                <w:sz w:val="24"/>
                <w:szCs w:val="24"/>
                <w:lang w:eastAsia="lv-LV"/>
              </w:rPr>
            </w:pPr>
            <w:r w:rsidRPr="003E25B7">
              <w:rPr>
                <w:rFonts w:ascii="Times New Roman" w:eastAsia="Times New Roman" w:hAnsi="Times New Roman" w:cs="Times New Roman"/>
                <w:sz w:val="24"/>
                <w:szCs w:val="24"/>
                <w:lang w:eastAsia="lv-LV"/>
              </w:rPr>
              <w:t>Noteikumu projekta 2. pielikuma 1.</w:t>
            </w:r>
            <w:r w:rsidR="003E25B7">
              <w:rPr>
                <w:rFonts w:ascii="Times New Roman" w:eastAsia="Times New Roman" w:hAnsi="Times New Roman" w:cs="Times New Roman"/>
                <w:sz w:val="24"/>
                <w:szCs w:val="24"/>
                <w:lang w:eastAsia="lv-LV"/>
              </w:rPr>
              <w:t>8</w:t>
            </w:r>
            <w:r w:rsidRPr="003E25B7">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 punkts </w:t>
            </w:r>
          </w:p>
        </w:tc>
        <w:tc>
          <w:tcPr>
            <w:tcW w:w="2632" w:type="dxa"/>
            <w:shd w:val="clear" w:color="auto" w:fill="auto"/>
            <w:hideMark/>
          </w:tcPr>
          <w:p w:rsidR="00BB30C6" w:rsidRPr="00B952E5" w:rsidRDefault="00CA1E48"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pielikuma 1.</w:t>
            </w:r>
            <w:r w:rsidR="003E25B7">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 punkts </w:t>
            </w:r>
          </w:p>
        </w:tc>
        <w:tc>
          <w:tcPr>
            <w:tcW w:w="2632" w:type="dxa"/>
            <w:shd w:val="clear" w:color="auto" w:fill="auto"/>
            <w:hideMark/>
          </w:tcPr>
          <w:p w:rsidR="00BB30C6" w:rsidRPr="00B952E5" w:rsidRDefault="00CA1E48"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pielikuma 1.</w:t>
            </w:r>
            <w:r w:rsidR="003E25B7">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vii) punkts </w:t>
            </w:r>
          </w:p>
        </w:tc>
        <w:tc>
          <w:tcPr>
            <w:tcW w:w="2632" w:type="dxa"/>
            <w:shd w:val="clear" w:color="auto" w:fill="auto"/>
            <w:hideMark/>
          </w:tcPr>
          <w:p w:rsidR="00BB30C6" w:rsidRPr="00B952E5" w:rsidRDefault="00CA1E48"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projekta 2. pielikuma </w:t>
            </w:r>
            <w:r w:rsidRPr="003E25B7">
              <w:rPr>
                <w:rFonts w:ascii="Times New Roman" w:eastAsia="Times New Roman" w:hAnsi="Times New Roman" w:cs="Times New Roman"/>
                <w:sz w:val="24"/>
                <w:szCs w:val="24"/>
                <w:lang w:eastAsia="lv-LV"/>
              </w:rPr>
              <w:t>1.</w:t>
            </w:r>
            <w:r w:rsidR="003E25B7">
              <w:rPr>
                <w:rFonts w:ascii="Times New Roman" w:eastAsia="Times New Roman" w:hAnsi="Times New Roman" w:cs="Times New Roman"/>
                <w:sz w:val="24"/>
                <w:szCs w:val="24"/>
                <w:lang w:eastAsia="lv-LV"/>
              </w:rPr>
              <w:t>9</w:t>
            </w:r>
            <w:r w:rsidRPr="003E25B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viii) punkts </w:t>
            </w:r>
          </w:p>
        </w:tc>
        <w:tc>
          <w:tcPr>
            <w:tcW w:w="2632" w:type="dxa"/>
            <w:shd w:val="clear" w:color="auto" w:fill="auto"/>
            <w:hideMark/>
          </w:tcPr>
          <w:p w:rsidR="00BB30C6" w:rsidRPr="00B952E5" w:rsidRDefault="00CA1E48"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pielikuma 1.</w:t>
            </w:r>
            <w:r w:rsidR="003E25B7">
              <w:rPr>
                <w:rFonts w:ascii="Times New Roman" w:eastAsia="Times New Roman" w:hAnsi="Times New Roman" w:cs="Times New Roman"/>
                <w:sz w:val="24"/>
                <w:szCs w:val="24"/>
                <w:lang w:eastAsia="lv-LV"/>
              </w:rPr>
              <w:t>10</w:t>
            </w:r>
            <w:r w:rsidRPr="003E25B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ix)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pielikuma 1</w:t>
            </w:r>
            <w:r w:rsidR="003E25B7">
              <w:rPr>
                <w:rFonts w:ascii="Times New Roman" w:eastAsia="Times New Roman" w:hAnsi="Times New Roman" w:cs="Times New Roman"/>
                <w:sz w:val="24"/>
                <w:szCs w:val="24"/>
                <w:lang w:eastAsia="lv-LV"/>
              </w:rPr>
              <w:t>.11</w:t>
            </w:r>
            <w:r w:rsidRPr="003E25B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 punkts </w:t>
            </w:r>
          </w:p>
        </w:tc>
        <w:tc>
          <w:tcPr>
            <w:tcW w:w="2632" w:type="dxa"/>
            <w:shd w:val="clear" w:color="auto" w:fill="auto"/>
            <w:hideMark/>
          </w:tcPr>
          <w:p w:rsidR="00BB30C6" w:rsidRPr="00B952E5" w:rsidRDefault="00CA1E48"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pielikuma 1.</w:t>
            </w:r>
            <w:r w:rsidR="003E25B7">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xi) punkts </w:t>
            </w:r>
          </w:p>
        </w:tc>
        <w:tc>
          <w:tcPr>
            <w:tcW w:w="2632" w:type="dxa"/>
            <w:shd w:val="clear" w:color="auto" w:fill="auto"/>
            <w:hideMark/>
          </w:tcPr>
          <w:p w:rsidR="00BB30C6" w:rsidRPr="00B952E5" w:rsidRDefault="00CA1E48"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pielikuma 1</w:t>
            </w:r>
            <w:r w:rsidRPr="003E25B7">
              <w:rPr>
                <w:rFonts w:ascii="Times New Roman" w:eastAsia="Times New Roman" w:hAnsi="Times New Roman" w:cs="Times New Roman"/>
                <w:sz w:val="24"/>
                <w:szCs w:val="24"/>
                <w:lang w:eastAsia="lv-LV"/>
              </w:rPr>
              <w:t>.1</w:t>
            </w:r>
            <w:r w:rsidR="003E25B7">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320" w:type="dxa"/>
            <w:vMerge w:val="restart"/>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2. </w:t>
            </w: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CA1E48"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pielikuma 1.</w:t>
            </w:r>
            <w:r w:rsidR="003E25B7">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0" w:type="auto"/>
            <w:vMerge/>
            <w:shd w:val="clear" w:color="auto" w:fill="auto"/>
            <w:vAlign w:val="center"/>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p>
        </w:tc>
        <w:tc>
          <w:tcPr>
            <w:tcW w:w="2008"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CA1E48"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pielikuma 1.13.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rHeight w:val="432"/>
          <w:tblCellSpacing w:w="20" w:type="dxa"/>
        </w:trPr>
        <w:tc>
          <w:tcPr>
            <w:tcW w:w="8985" w:type="dxa"/>
            <w:gridSpan w:val="6"/>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B. 2. panta 1. punkta a) apakšpunkta iv) punkts – transporta drošība</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CA1E48"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pielikuma 2.</w:t>
            </w:r>
            <w:r w:rsidR="003E25B7">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 punkts </w:t>
            </w:r>
          </w:p>
        </w:tc>
        <w:tc>
          <w:tcPr>
            <w:tcW w:w="2632" w:type="dxa"/>
            <w:shd w:val="clear" w:color="auto" w:fill="auto"/>
            <w:hideMark/>
          </w:tcPr>
          <w:p w:rsidR="00BB30C6" w:rsidRPr="00B952E5" w:rsidRDefault="00CA1E48"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pielikuma 2.</w:t>
            </w:r>
            <w:r w:rsidR="003E25B7">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iii) punkts </w:t>
            </w:r>
          </w:p>
        </w:tc>
        <w:tc>
          <w:tcPr>
            <w:tcW w:w="2632" w:type="dxa"/>
            <w:shd w:val="clear" w:color="auto" w:fill="auto"/>
            <w:hideMark/>
          </w:tcPr>
          <w:p w:rsidR="00BB30C6" w:rsidRPr="00B952E5" w:rsidRDefault="00CA1E48" w:rsidP="003E25B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pielikuma 2.</w:t>
            </w:r>
            <w:r w:rsidR="003E25B7">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apakšpunkts.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8985" w:type="dxa"/>
            <w:gridSpan w:val="6"/>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C. 2. panta 1. punkta a) apakšpunkts v) punkts – vides aizsardzība</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 punkts </w:t>
            </w:r>
          </w:p>
        </w:tc>
        <w:tc>
          <w:tcPr>
            <w:tcW w:w="2632" w:type="dxa"/>
            <w:shd w:val="clear" w:color="auto" w:fill="auto"/>
            <w:hideMark/>
          </w:tcPr>
          <w:p w:rsidR="00BB30C6" w:rsidRPr="00B952E5" w:rsidRDefault="00CA1E48" w:rsidP="00CA1E48">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 pielikuma 3.punkts.</w:t>
            </w:r>
          </w:p>
        </w:tc>
        <w:tc>
          <w:tcPr>
            <w:tcW w:w="1803"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 pilnībā</w:t>
            </w:r>
          </w:p>
        </w:tc>
        <w:tc>
          <w:tcPr>
            <w:tcW w:w="2062" w:type="dxa"/>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Neparedz stingrākas prasības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ind w:right="138"/>
              <w:jc w:val="both"/>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Kā ir izmantota ES tiesību aktā paredzētā rīcības brīvība dalībvalstij pārņemt vai ieviest noteiktas ES tiesību akta normas? Kādēļ?</w:t>
            </w:r>
          </w:p>
        </w:tc>
        <w:tc>
          <w:tcPr>
            <w:tcW w:w="6577" w:type="dxa"/>
            <w:gridSpan w:val="4"/>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w:t>
            </w:r>
            <w:r w:rsidRPr="00B952E5">
              <w:rPr>
                <w:rFonts w:ascii="Times New Roman" w:eastAsia="Times New Roman" w:hAnsi="Times New Roman" w:cs="Times New Roman"/>
                <w:sz w:val="24"/>
                <w:szCs w:val="24"/>
                <w:lang w:eastAsia="lv-LV"/>
              </w:rPr>
              <w:t xml:space="preserve"> šo jomu neskar.</w:t>
            </w:r>
          </w:p>
          <w:p w:rsidR="00BB30C6" w:rsidRPr="00B952E5" w:rsidRDefault="00BB30C6" w:rsidP="00BB30C6">
            <w:pPr>
              <w:spacing w:after="0" w:line="240" w:lineRule="auto"/>
              <w:ind w:left="379" w:right="234"/>
              <w:jc w:val="both"/>
              <w:textAlignment w:val="baseline"/>
              <w:rPr>
                <w:rFonts w:ascii="Times New Roman" w:eastAsia="Times New Roman" w:hAnsi="Times New Roman" w:cs="Times New Roman"/>
                <w:sz w:val="24"/>
                <w:szCs w:val="24"/>
                <w:lang w:eastAsia="lv-LV"/>
              </w:rPr>
            </w:pP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 </w:t>
            </w:r>
          </w:p>
        </w:tc>
        <w:tc>
          <w:tcPr>
            <w:tcW w:w="6577" w:type="dxa"/>
            <w:gridSpan w:val="4"/>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w:t>
            </w:r>
            <w:r w:rsidRPr="00B952E5">
              <w:rPr>
                <w:rFonts w:ascii="Times New Roman" w:eastAsia="Times New Roman" w:hAnsi="Times New Roman" w:cs="Times New Roman"/>
                <w:sz w:val="24"/>
                <w:szCs w:val="24"/>
                <w:lang w:eastAsia="lv-LV"/>
              </w:rPr>
              <w:t xml:space="preserve"> šo jomu neskar.</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jc w:val="both"/>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Cita informācija </w:t>
            </w:r>
          </w:p>
        </w:tc>
        <w:tc>
          <w:tcPr>
            <w:tcW w:w="6577" w:type="dxa"/>
            <w:gridSpan w:val="4"/>
            <w:shd w:val="clear" w:color="auto" w:fill="auto"/>
            <w:hideMark/>
          </w:tcPr>
          <w:p w:rsidR="00BB30C6" w:rsidRPr="00B952E5" w:rsidRDefault="00BB30C6" w:rsidP="00BB30C6">
            <w:pPr>
              <w:spacing w:after="0" w:line="240" w:lineRule="auto"/>
              <w:jc w:val="both"/>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Nav. </w:t>
            </w:r>
          </w:p>
        </w:tc>
      </w:tr>
      <w:tr w:rsidR="00BB30C6" w:rsidRPr="00B952E5" w:rsidTr="00BB30C6">
        <w:trPr>
          <w:tblCellSpacing w:w="20" w:type="dxa"/>
        </w:trPr>
        <w:tc>
          <w:tcPr>
            <w:tcW w:w="8985" w:type="dxa"/>
            <w:gridSpan w:val="6"/>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b/>
                <w:bCs/>
                <w:sz w:val="24"/>
                <w:szCs w:val="24"/>
                <w:lang w:eastAsia="lv-LV"/>
              </w:rPr>
              <w:t>2. tabula</w:t>
            </w:r>
            <w:r w:rsidRPr="00B952E5">
              <w:rPr>
                <w:rFonts w:ascii="Times New Roman" w:eastAsia="Times New Roman" w:hAnsi="Times New Roman" w:cs="Times New Roman"/>
                <w:sz w:val="24"/>
                <w:szCs w:val="24"/>
                <w:lang w:eastAsia="lv-LV"/>
              </w:rPr>
              <w:t> </w:t>
            </w:r>
            <w:r w:rsidRPr="00B952E5">
              <w:rPr>
                <w:rFonts w:ascii="Times New Roman" w:eastAsia="Times New Roman" w:hAnsi="Times New Roman" w:cs="Times New Roman"/>
                <w:sz w:val="24"/>
                <w:szCs w:val="24"/>
                <w:lang w:eastAsia="lv-LV"/>
              </w:rPr>
              <w:br/>
            </w:r>
            <w:r w:rsidRPr="00B952E5">
              <w:rPr>
                <w:rFonts w:ascii="Times New Roman" w:eastAsia="Times New Roman" w:hAnsi="Times New Roman" w:cs="Times New Roman"/>
                <w:b/>
                <w:bCs/>
                <w:sz w:val="24"/>
                <w:szCs w:val="24"/>
                <w:lang w:eastAsia="lv-LV"/>
              </w:rPr>
              <w:t>Ar tiesību akta projektu izpildītās vai uzņemtās saistības, kas izriet no starptautiskajiem tiesību aktiem vai starptautiskas institūcijas vai organizācijas dokumentiem.</w:t>
            </w:r>
            <w:r w:rsidRPr="00B952E5">
              <w:rPr>
                <w:rFonts w:ascii="Times New Roman" w:eastAsia="Times New Roman" w:hAnsi="Times New Roman" w:cs="Times New Roman"/>
                <w:sz w:val="24"/>
                <w:szCs w:val="24"/>
                <w:lang w:eastAsia="lv-LV"/>
              </w:rPr>
              <w:t> </w:t>
            </w:r>
            <w:r w:rsidRPr="00B952E5">
              <w:rPr>
                <w:rFonts w:ascii="Times New Roman" w:eastAsia="Times New Roman" w:hAnsi="Times New Roman" w:cs="Times New Roman"/>
                <w:sz w:val="24"/>
                <w:szCs w:val="24"/>
                <w:lang w:eastAsia="lv-LV"/>
              </w:rPr>
              <w:br/>
            </w:r>
            <w:r w:rsidRPr="00B952E5">
              <w:rPr>
                <w:rFonts w:ascii="Times New Roman" w:eastAsia="Times New Roman" w:hAnsi="Times New Roman" w:cs="Times New Roman"/>
                <w:b/>
                <w:bCs/>
                <w:sz w:val="24"/>
                <w:szCs w:val="24"/>
                <w:lang w:eastAsia="lv-LV"/>
              </w:rPr>
              <w:t>Pasākumi šo saistību izpildei</w:t>
            </w: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xml:space="preserve">Attiecīgā starptautiskā tiesību akta vai </w:t>
            </w:r>
            <w:r w:rsidRPr="00B952E5">
              <w:rPr>
                <w:rFonts w:ascii="Times New Roman" w:eastAsia="Times New Roman" w:hAnsi="Times New Roman" w:cs="Times New Roman"/>
                <w:sz w:val="24"/>
                <w:szCs w:val="24"/>
                <w:lang w:eastAsia="lv-LV"/>
              </w:rPr>
              <w:lastRenderedPageBreak/>
              <w:t>starptautiskas institūcijas vai organizācijas dokumenta (turpmāk – starptautiskais dokuments) datums, numurs un nosaukums </w:t>
            </w:r>
          </w:p>
        </w:tc>
        <w:tc>
          <w:tcPr>
            <w:tcW w:w="6577" w:type="dxa"/>
            <w:gridSpan w:val="4"/>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Noteikumu projekts</w:t>
            </w:r>
            <w:r w:rsidRPr="00B952E5">
              <w:rPr>
                <w:rFonts w:ascii="Times New Roman" w:eastAsia="Times New Roman" w:hAnsi="Times New Roman" w:cs="Times New Roman"/>
                <w:sz w:val="24"/>
                <w:szCs w:val="24"/>
                <w:lang w:eastAsia="lv-LV"/>
              </w:rPr>
              <w:t xml:space="preserve"> šo jomu neskar.</w:t>
            </w:r>
          </w:p>
          <w:p w:rsidR="00BB30C6" w:rsidRPr="00B952E5" w:rsidRDefault="00BB30C6" w:rsidP="00BB30C6">
            <w:pPr>
              <w:shd w:val="clear" w:color="auto" w:fill="FFFFFF"/>
              <w:spacing w:after="0" w:line="240" w:lineRule="auto"/>
              <w:ind w:right="234"/>
              <w:jc w:val="both"/>
              <w:textAlignment w:val="baseline"/>
              <w:rPr>
                <w:rFonts w:ascii="Times New Roman" w:eastAsia="Times New Roman" w:hAnsi="Times New Roman" w:cs="Times New Roman"/>
                <w:sz w:val="24"/>
                <w:szCs w:val="24"/>
                <w:lang w:eastAsia="lv-LV"/>
              </w:rPr>
            </w:pPr>
          </w:p>
        </w:tc>
      </w:tr>
      <w:tr w:rsidR="00BB30C6" w:rsidRPr="00B952E5" w:rsidTr="00BB30C6">
        <w:trPr>
          <w:tblCellSpacing w:w="20" w:type="dxa"/>
        </w:trPr>
        <w:tc>
          <w:tcPr>
            <w:tcW w:w="2368" w:type="dxa"/>
            <w:gridSpan w:val="2"/>
            <w:shd w:val="clear" w:color="auto" w:fill="auto"/>
            <w:vAlign w:val="center"/>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A </w:t>
            </w:r>
          </w:p>
        </w:tc>
        <w:tc>
          <w:tcPr>
            <w:tcW w:w="3105" w:type="dxa"/>
            <w:gridSpan w:val="2"/>
            <w:shd w:val="clear" w:color="auto" w:fill="auto"/>
            <w:vAlign w:val="center"/>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B </w:t>
            </w:r>
          </w:p>
        </w:tc>
        <w:tc>
          <w:tcPr>
            <w:tcW w:w="3432" w:type="dxa"/>
            <w:gridSpan w:val="2"/>
            <w:shd w:val="clear" w:color="auto" w:fill="auto"/>
            <w:vAlign w:val="center"/>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C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Starptautiskās saistības (pēc būtības), kas izriet no norādītā starptautiskā dokumenta. </w:t>
            </w:r>
            <w:r w:rsidRPr="00B952E5">
              <w:rPr>
                <w:rFonts w:ascii="Times New Roman" w:eastAsia="Times New Roman" w:hAnsi="Times New Roman" w:cs="Times New Roman"/>
                <w:sz w:val="24"/>
                <w:szCs w:val="24"/>
                <w:lang w:eastAsia="lv-LV"/>
              </w:rPr>
              <w:br/>
              <w:t>Konkrēti veicamie pasākumi vai uzdevumi, kas nepieciešami šo starptautisko saistību izpildei </w:t>
            </w:r>
          </w:p>
        </w:tc>
        <w:tc>
          <w:tcPr>
            <w:tcW w:w="3105"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 </w:t>
            </w:r>
          </w:p>
        </w:tc>
        <w:tc>
          <w:tcPr>
            <w:tcW w:w="3432"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Informācija par to, vai starptautiskās saistības, kas minētas šīs tabulas A ailē, tiek izpildītas pilnībā vai daļēji. </w:t>
            </w:r>
            <w:r w:rsidRPr="00B952E5">
              <w:rPr>
                <w:rFonts w:ascii="Times New Roman" w:eastAsia="Times New Roman" w:hAnsi="Times New Roman" w:cs="Times New Roman"/>
                <w:sz w:val="24"/>
                <w:szCs w:val="24"/>
                <w:lang w:eastAsia="lv-LV"/>
              </w:rPr>
              <w:br/>
              <w:t>Ja attiecīgās starptautiskās saistības tiek izpildītas daļēji, sniedz skaidrojumu, kā arī precīzi norāda, kad un kādā veidā starptautiskās saistības tiks izpildītas pilnībā. </w:t>
            </w:r>
            <w:r w:rsidRPr="00B952E5">
              <w:rPr>
                <w:rFonts w:ascii="Times New Roman" w:eastAsia="Times New Roman" w:hAnsi="Times New Roman" w:cs="Times New Roman"/>
                <w:sz w:val="24"/>
                <w:szCs w:val="24"/>
                <w:lang w:eastAsia="lv-LV"/>
              </w:rPr>
              <w:br/>
              <w:t>Norāda institūciju, kas ir atbildīga par šo saistību izpildi pilnībā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w:t>
            </w:r>
            <w:r w:rsidRPr="00B952E5">
              <w:rPr>
                <w:rFonts w:ascii="Times New Roman" w:eastAsia="Times New Roman" w:hAnsi="Times New Roman" w:cs="Times New Roman"/>
                <w:sz w:val="24"/>
                <w:szCs w:val="24"/>
                <w:lang w:eastAsia="lv-LV"/>
              </w:rPr>
              <w:t xml:space="preserve"> šo jomu neskar.</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tc>
        <w:tc>
          <w:tcPr>
            <w:tcW w:w="3105"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w:t>
            </w:r>
            <w:r w:rsidRPr="00B952E5">
              <w:rPr>
                <w:rFonts w:ascii="Times New Roman" w:eastAsia="Times New Roman" w:hAnsi="Times New Roman" w:cs="Times New Roman"/>
                <w:sz w:val="24"/>
                <w:szCs w:val="24"/>
                <w:lang w:eastAsia="lv-LV"/>
              </w:rPr>
              <w:t xml:space="preserve"> šo jomu neskar.</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tc>
        <w:tc>
          <w:tcPr>
            <w:tcW w:w="3432"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w:t>
            </w:r>
            <w:r w:rsidRPr="00B952E5">
              <w:rPr>
                <w:rFonts w:ascii="Times New Roman" w:eastAsia="Times New Roman" w:hAnsi="Times New Roman" w:cs="Times New Roman"/>
                <w:sz w:val="24"/>
                <w:szCs w:val="24"/>
                <w:lang w:eastAsia="lv-LV"/>
              </w:rPr>
              <w:t xml:space="preserve"> šo jomu neskar.</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Vai starptautiskajā dokumentā paredzētās saistības nav pretrunā ar jau esošajām Latvijas Republikas starptautiskajām saistībām </w:t>
            </w:r>
          </w:p>
        </w:tc>
        <w:tc>
          <w:tcPr>
            <w:tcW w:w="6577" w:type="dxa"/>
            <w:gridSpan w:val="4"/>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w:t>
            </w:r>
            <w:r w:rsidRPr="00B952E5">
              <w:rPr>
                <w:rFonts w:ascii="Times New Roman" w:eastAsia="Times New Roman" w:hAnsi="Times New Roman" w:cs="Times New Roman"/>
                <w:sz w:val="24"/>
                <w:szCs w:val="24"/>
                <w:lang w:eastAsia="lv-LV"/>
              </w:rPr>
              <w:t xml:space="preserve"> šo jomu neskar.</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tc>
      </w:tr>
      <w:tr w:rsidR="00BB30C6" w:rsidRPr="00B952E5" w:rsidTr="00BB30C6">
        <w:trPr>
          <w:tblCellSpacing w:w="20" w:type="dxa"/>
        </w:trPr>
        <w:tc>
          <w:tcPr>
            <w:tcW w:w="2368" w:type="dxa"/>
            <w:gridSpan w:val="2"/>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Cita informācija </w:t>
            </w:r>
          </w:p>
        </w:tc>
        <w:tc>
          <w:tcPr>
            <w:tcW w:w="6577" w:type="dxa"/>
            <w:gridSpan w:val="4"/>
            <w:shd w:val="clear" w:color="auto" w:fill="auto"/>
            <w:hideMark/>
          </w:tcPr>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Nav  </w:t>
            </w:r>
          </w:p>
          <w:p w:rsidR="00BB30C6" w:rsidRPr="00B952E5" w:rsidRDefault="00BB30C6" w:rsidP="00BB30C6">
            <w:pPr>
              <w:spacing w:after="0" w:line="240" w:lineRule="auto"/>
              <w:textAlignment w:val="baseline"/>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 </w:t>
            </w:r>
          </w:p>
        </w:tc>
      </w:tr>
    </w:tbl>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8"/>
        <w:gridCol w:w="1394"/>
        <w:gridCol w:w="7243"/>
      </w:tblGrid>
      <w:tr w:rsidR="00BB30C6" w:rsidRPr="00B952E5" w:rsidTr="00BB30C6">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rsidR="00BB30C6" w:rsidRPr="00B952E5" w:rsidRDefault="00BB30C6" w:rsidP="00BB30C6">
            <w:pPr>
              <w:spacing w:after="0" w:line="240" w:lineRule="auto"/>
              <w:jc w:val="center"/>
              <w:rPr>
                <w:rFonts w:ascii="Times New Roman" w:eastAsia="Times New Roman" w:hAnsi="Times New Roman" w:cs="Times New Roman"/>
                <w:b/>
                <w:bCs/>
                <w:iCs/>
                <w:sz w:val="24"/>
                <w:szCs w:val="24"/>
                <w:lang w:eastAsia="lv-LV"/>
              </w:rPr>
            </w:pPr>
            <w:r w:rsidRPr="00B952E5">
              <w:rPr>
                <w:rFonts w:ascii="Times New Roman" w:eastAsia="Times New Roman" w:hAnsi="Times New Roman" w:cs="Times New Roman"/>
                <w:b/>
                <w:bCs/>
                <w:iCs/>
                <w:sz w:val="24"/>
                <w:szCs w:val="24"/>
                <w:lang w:eastAsia="lv-LV"/>
              </w:rPr>
              <w:t>VI. Sabiedrības līdzdalība un komunikācijas aktivitātes</w:t>
            </w:r>
          </w:p>
        </w:tc>
      </w:tr>
      <w:tr w:rsidR="00BB30C6" w:rsidRPr="00B952E5" w:rsidTr="00BB30C6">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1.</w:t>
            </w:r>
          </w:p>
        </w:tc>
        <w:tc>
          <w:tcPr>
            <w:tcW w:w="1364" w:type="dxa"/>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Plānotās sabiedrības līdzdalības un komunikācijas aktivitātes saistībā ar projektu</w:t>
            </w:r>
          </w:p>
        </w:tc>
        <w:tc>
          <w:tcPr>
            <w:tcW w:w="7198" w:type="dxa"/>
            <w:tcBorders>
              <w:top w:val="outset" w:sz="6" w:space="0" w:color="auto"/>
              <w:left w:val="outset" w:sz="6" w:space="0" w:color="auto"/>
              <w:bottom w:val="outset" w:sz="6" w:space="0" w:color="auto"/>
              <w:right w:val="outset" w:sz="6" w:space="0" w:color="auto"/>
            </w:tcBorders>
          </w:tcPr>
          <w:p w:rsidR="00BB30C6" w:rsidRPr="00B952E5" w:rsidRDefault="00BB30C6" w:rsidP="00BB30C6">
            <w:pPr>
              <w:spacing w:after="0" w:line="240" w:lineRule="auto"/>
              <w:jc w:val="both"/>
              <w:rPr>
                <w:rFonts w:ascii="Times New Roman" w:eastAsia="Times New Roman" w:hAnsi="Times New Roman" w:cs="Times New Roman"/>
                <w:iCs/>
                <w:sz w:val="24"/>
                <w:szCs w:val="24"/>
                <w:lang w:eastAsia="lv-LV"/>
              </w:rPr>
            </w:pPr>
            <w:r w:rsidRPr="00B952E5">
              <w:rPr>
                <w:rFonts w:ascii="Times New Roman" w:hAnsi="Times New Roman" w:cs="Times New Roman"/>
                <w:sz w:val="24"/>
                <w:szCs w:val="24"/>
              </w:rPr>
              <w:t xml:space="preserve">Par </w:t>
            </w:r>
            <w:r>
              <w:rPr>
                <w:rFonts w:ascii="Times New Roman" w:hAnsi="Times New Roman" w:cs="Times New Roman"/>
                <w:sz w:val="24"/>
                <w:szCs w:val="24"/>
              </w:rPr>
              <w:t>Noteikumu projektu</w:t>
            </w:r>
            <w:r w:rsidRPr="00B952E5">
              <w:rPr>
                <w:rFonts w:ascii="Times New Roman" w:hAnsi="Times New Roman" w:cs="Times New Roman"/>
                <w:sz w:val="24"/>
                <w:szCs w:val="24"/>
              </w:rPr>
              <w:t xml:space="preserve"> informēta sabiedrība, informāciju publicējot Ministru kabineta tīmekļvietnē</w:t>
            </w:r>
            <w:r>
              <w:rPr>
                <w:rFonts w:ascii="Times New Roman" w:hAnsi="Times New Roman" w:cs="Times New Roman"/>
                <w:sz w:val="24"/>
                <w:szCs w:val="24"/>
              </w:rPr>
              <w:t>.</w:t>
            </w:r>
            <w:r w:rsidRPr="00B952E5">
              <w:rPr>
                <w:rFonts w:ascii="Times New Roman" w:hAnsi="Times New Roman" w:cs="Times New Roman"/>
                <w:sz w:val="24"/>
                <w:szCs w:val="24"/>
              </w:rPr>
              <w:t xml:space="preserve"> </w:t>
            </w:r>
          </w:p>
        </w:tc>
      </w:tr>
      <w:tr w:rsidR="00BB30C6" w:rsidRPr="00B952E5" w:rsidTr="00BB30C6">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2.</w:t>
            </w:r>
          </w:p>
        </w:tc>
        <w:tc>
          <w:tcPr>
            <w:tcW w:w="1364" w:type="dxa"/>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Sabiedrības līdzdalība projekta izstrādē</w:t>
            </w:r>
          </w:p>
        </w:tc>
        <w:tc>
          <w:tcPr>
            <w:tcW w:w="7198" w:type="dxa"/>
            <w:tcBorders>
              <w:top w:val="outset" w:sz="6" w:space="0" w:color="auto"/>
              <w:left w:val="outset" w:sz="6" w:space="0" w:color="auto"/>
              <w:bottom w:val="outset" w:sz="6" w:space="0" w:color="auto"/>
              <w:right w:val="outset" w:sz="6" w:space="0" w:color="auto"/>
            </w:tcBorders>
          </w:tcPr>
          <w:p w:rsidR="00BB30C6" w:rsidRPr="00B952E5" w:rsidRDefault="00BB30C6" w:rsidP="00BB30C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Noteikumu projekts </w:t>
            </w:r>
            <w:r w:rsidRPr="00B952E5">
              <w:rPr>
                <w:rFonts w:ascii="Times New Roman" w:eastAsia="Calibri" w:hAnsi="Times New Roman" w:cs="Times New Roman"/>
                <w:sz w:val="24"/>
                <w:szCs w:val="24"/>
              </w:rPr>
              <w:t>202</w:t>
            </w:r>
            <w:r>
              <w:rPr>
                <w:rFonts w:ascii="Times New Roman" w:eastAsia="Calibri" w:hAnsi="Times New Roman" w:cs="Times New Roman"/>
                <w:sz w:val="24"/>
                <w:szCs w:val="24"/>
              </w:rPr>
              <w:t>1</w:t>
            </w:r>
            <w:r w:rsidRPr="00B952E5">
              <w:rPr>
                <w:rFonts w:ascii="Times New Roman" w:eastAsia="Calibri" w:hAnsi="Times New Roman" w:cs="Times New Roman"/>
                <w:sz w:val="24"/>
                <w:szCs w:val="24"/>
              </w:rPr>
              <w:t xml:space="preserve">. gada </w:t>
            </w:r>
            <w:r w:rsidR="00D879B1">
              <w:rPr>
                <w:rFonts w:ascii="Times New Roman" w:eastAsia="Calibri" w:hAnsi="Times New Roman" w:cs="Times New Roman"/>
                <w:sz w:val="24"/>
                <w:szCs w:val="24"/>
              </w:rPr>
              <w:t xml:space="preserve">30. aprīlī </w:t>
            </w:r>
            <w:r w:rsidRPr="00B952E5">
              <w:rPr>
                <w:rFonts w:ascii="Times New Roman" w:eastAsia="Calibri" w:hAnsi="Times New Roman" w:cs="Times New Roman"/>
                <w:sz w:val="24"/>
                <w:szCs w:val="24"/>
              </w:rPr>
              <w:t>publicēts:</w:t>
            </w:r>
          </w:p>
          <w:p w:rsidR="00BB30C6" w:rsidRPr="00B952E5" w:rsidRDefault="00BB30C6" w:rsidP="00BB30C6">
            <w:pPr>
              <w:spacing w:after="0" w:line="240" w:lineRule="auto"/>
              <w:jc w:val="both"/>
              <w:rPr>
                <w:rFonts w:ascii="Times New Roman" w:eastAsia="Calibri" w:hAnsi="Times New Roman" w:cs="Times New Roman"/>
                <w:sz w:val="24"/>
                <w:szCs w:val="24"/>
              </w:rPr>
            </w:pPr>
            <w:r w:rsidRPr="00B952E5">
              <w:rPr>
                <w:rFonts w:ascii="Times New Roman" w:eastAsia="Calibri" w:hAnsi="Times New Roman" w:cs="Times New Roman"/>
                <w:sz w:val="24"/>
                <w:szCs w:val="24"/>
              </w:rPr>
              <w:t>Ministru kabineta tīmekļvietnē, adrese:</w:t>
            </w:r>
          </w:p>
          <w:p w:rsidR="00BB30C6" w:rsidRPr="00B952E5" w:rsidRDefault="00C873E5" w:rsidP="00BB30C6">
            <w:pPr>
              <w:spacing w:after="0" w:line="240" w:lineRule="auto"/>
              <w:jc w:val="both"/>
              <w:rPr>
                <w:rFonts w:ascii="Times New Roman" w:eastAsia="Calibri" w:hAnsi="Times New Roman" w:cs="Times New Roman"/>
                <w:sz w:val="24"/>
                <w:szCs w:val="24"/>
              </w:rPr>
            </w:pPr>
            <w:hyperlink r:id="rId9" w:history="1">
              <w:r w:rsidR="00BB30C6" w:rsidRPr="00B952E5">
                <w:rPr>
                  <w:rStyle w:val="Hyperlink"/>
                  <w:rFonts w:ascii="Times New Roman" w:eastAsia="Calibri" w:hAnsi="Times New Roman"/>
                  <w:sz w:val="24"/>
                  <w:szCs w:val="24"/>
                </w:rPr>
                <w:t>http://www.mk.gov.lv/content/ministru-kabineta-diskusiju-dokumenti</w:t>
              </w:r>
            </w:hyperlink>
          </w:p>
          <w:p w:rsidR="00BB30C6" w:rsidRPr="00BB30C6" w:rsidRDefault="00BB30C6" w:rsidP="00D879B1">
            <w:pPr>
              <w:spacing w:after="0" w:line="240" w:lineRule="auto"/>
              <w:jc w:val="both"/>
              <w:rPr>
                <w:rFonts w:ascii="Times New Roman" w:eastAsia="Calibri" w:hAnsi="Times New Roman" w:cs="Times New Roman"/>
                <w:sz w:val="24"/>
                <w:szCs w:val="24"/>
              </w:rPr>
            </w:pPr>
            <w:r w:rsidRPr="00B952E5">
              <w:rPr>
                <w:rFonts w:ascii="Times New Roman" w:eastAsia="Calibri" w:hAnsi="Times New Roman" w:cs="Times New Roman"/>
                <w:sz w:val="24"/>
                <w:szCs w:val="24"/>
              </w:rPr>
              <w:t xml:space="preserve">Sabiedrības pārstāvjiem tika dota iespēja līdzdarboties </w:t>
            </w:r>
            <w:r>
              <w:rPr>
                <w:rFonts w:ascii="Times New Roman" w:eastAsia="Calibri" w:hAnsi="Times New Roman" w:cs="Times New Roman"/>
                <w:sz w:val="24"/>
                <w:szCs w:val="24"/>
              </w:rPr>
              <w:t>Noteikumu projekta</w:t>
            </w:r>
            <w:r w:rsidRPr="00B952E5">
              <w:rPr>
                <w:rFonts w:ascii="Times New Roman" w:eastAsia="Calibri" w:hAnsi="Times New Roman" w:cs="Times New Roman"/>
                <w:sz w:val="24"/>
                <w:szCs w:val="24"/>
              </w:rPr>
              <w:t xml:space="preserve"> izstrādē, rakstveidā sniedzot viedokli par </w:t>
            </w:r>
            <w:r>
              <w:rPr>
                <w:rFonts w:ascii="Times New Roman" w:eastAsia="Calibri" w:hAnsi="Times New Roman" w:cs="Times New Roman"/>
                <w:sz w:val="24"/>
                <w:szCs w:val="24"/>
              </w:rPr>
              <w:t>to</w:t>
            </w:r>
            <w:r w:rsidRPr="00B952E5">
              <w:rPr>
                <w:rFonts w:ascii="Times New Roman" w:eastAsia="Calibri" w:hAnsi="Times New Roman" w:cs="Times New Roman"/>
                <w:sz w:val="24"/>
                <w:szCs w:val="24"/>
              </w:rPr>
              <w:t xml:space="preserve"> līdz 202</w:t>
            </w:r>
            <w:r>
              <w:rPr>
                <w:rFonts w:ascii="Times New Roman" w:eastAsia="Calibri" w:hAnsi="Times New Roman" w:cs="Times New Roman"/>
                <w:sz w:val="24"/>
                <w:szCs w:val="24"/>
              </w:rPr>
              <w:t>1</w:t>
            </w:r>
            <w:r w:rsidRPr="00B952E5">
              <w:rPr>
                <w:rFonts w:ascii="Times New Roman" w:eastAsia="Calibri" w:hAnsi="Times New Roman" w:cs="Times New Roman"/>
                <w:sz w:val="24"/>
                <w:szCs w:val="24"/>
              </w:rPr>
              <w:t xml:space="preserve">. gada </w:t>
            </w:r>
            <w:r w:rsidR="00D879B1">
              <w:rPr>
                <w:rFonts w:ascii="Times New Roman" w:eastAsia="Calibri" w:hAnsi="Times New Roman" w:cs="Times New Roman"/>
                <w:sz w:val="24"/>
                <w:szCs w:val="24"/>
              </w:rPr>
              <w:t>14. maijam</w:t>
            </w:r>
            <w:r w:rsidRPr="00B952E5">
              <w:rPr>
                <w:rFonts w:ascii="Times New Roman" w:eastAsia="Calibri" w:hAnsi="Times New Roman" w:cs="Times New Roman"/>
                <w:sz w:val="24"/>
                <w:szCs w:val="24"/>
              </w:rPr>
              <w:t>.</w:t>
            </w:r>
          </w:p>
        </w:tc>
      </w:tr>
      <w:tr w:rsidR="00BB30C6" w:rsidRPr="00B952E5" w:rsidTr="00BB30C6">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3.</w:t>
            </w:r>
          </w:p>
        </w:tc>
        <w:tc>
          <w:tcPr>
            <w:tcW w:w="1364" w:type="dxa"/>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Sabiedrības līdzdalības rezultāti</w:t>
            </w:r>
          </w:p>
        </w:tc>
        <w:tc>
          <w:tcPr>
            <w:tcW w:w="7198" w:type="dxa"/>
            <w:tcBorders>
              <w:top w:val="outset" w:sz="6" w:space="0" w:color="auto"/>
              <w:left w:val="outset" w:sz="6" w:space="0" w:color="auto"/>
              <w:bottom w:val="outset" w:sz="6" w:space="0" w:color="auto"/>
              <w:right w:val="outset" w:sz="6" w:space="0" w:color="auto"/>
            </w:tcBorders>
          </w:tcPr>
          <w:p w:rsidR="00BB30C6" w:rsidRPr="00B952E5" w:rsidRDefault="00BB30C6" w:rsidP="00BB30C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Tiks papildināts</w:t>
            </w:r>
          </w:p>
        </w:tc>
      </w:tr>
      <w:tr w:rsidR="00BB30C6" w:rsidRPr="00B952E5" w:rsidTr="00BB30C6">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lastRenderedPageBreak/>
              <w:t>4.</w:t>
            </w:r>
          </w:p>
        </w:tc>
        <w:tc>
          <w:tcPr>
            <w:tcW w:w="1364" w:type="dxa"/>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Cita informācija</w:t>
            </w:r>
          </w:p>
        </w:tc>
        <w:tc>
          <w:tcPr>
            <w:tcW w:w="7198" w:type="dxa"/>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jc w:val="both"/>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Nav</w:t>
            </w:r>
          </w:p>
        </w:tc>
      </w:tr>
    </w:tbl>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B30C6" w:rsidRPr="00B952E5" w:rsidTr="00BB30C6">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B30C6" w:rsidRPr="00B952E5" w:rsidRDefault="00BB30C6" w:rsidP="00BB30C6">
            <w:pPr>
              <w:spacing w:after="0" w:line="240" w:lineRule="auto"/>
              <w:jc w:val="center"/>
              <w:rPr>
                <w:rFonts w:ascii="Times New Roman" w:eastAsia="Times New Roman" w:hAnsi="Times New Roman" w:cs="Times New Roman"/>
                <w:b/>
                <w:bCs/>
                <w:iCs/>
                <w:sz w:val="24"/>
                <w:szCs w:val="24"/>
                <w:lang w:eastAsia="lv-LV"/>
              </w:rPr>
            </w:pPr>
            <w:r w:rsidRPr="00B952E5">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BB30C6" w:rsidRPr="00B952E5" w:rsidTr="00BB30C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jc w:val="both"/>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Publiskas personas institūcijas un privāto tiesību juridiskās personas.</w:t>
            </w:r>
          </w:p>
        </w:tc>
      </w:tr>
      <w:tr w:rsidR="00BB30C6" w:rsidRPr="00B952E5" w:rsidTr="00BB30C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Projekta izpildes ietekme uz pārvaldes funkcijām un institucionālo struktūru.</w:t>
            </w:r>
            <w:r w:rsidRPr="00B952E5">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jc w:val="both"/>
              <w:rPr>
                <w:rFonts w:ascii="Times New Roman" w:hAnsi="Times New Roman" w:cs="Times New Roman"/>
                <w:sz w:val="24"/>
                <w:szCs w:val="24"/>
              </w:rPr>
            </w:pPr>
            <w:r w:rsidRPr="00B952E5">
              <w:rPr>
                <w:rFonts w:ascii="Times New Roman" w:hAnsi="Times New Roman" w:cs="Times New Roman"/>
                <w:sz w:val="24"/>
                <w:szCs w:val="24"/>
              </w:rPr>
              <w:t>Projekta izpildes rezultātā nav paredzēta esošu institūciju likvidācija vai reorganizācija. Iestāžu institucionālā struktūra netiek ietekmēta, papildus cilvēkresursi nav nepieciešami.</w:t>
            </w:r>
          </w:p>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hAnsi="Times New Roman" w:cs="Times New Roman"/>
                <w:sz w:val="24"/>
                <w:szCs w:val="24"/>
              </w:rPr>
              <w:t>Projekta izpilde notiks esošo funkciju ietvaros.</w:t>
            </w:r>
          </w:p>
        </w:tc>
      </w:tr>
      <w:tr w:rsidR="00BB30C6" w:rsidRPr="00B952E5" w:rsidTr="00BB30C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iCs/>
                <w:sz w:val="24"/>
                <w:szCs w:val="24"/>
                <w:lang w:eastAsia="lv-LV"/>
              </w:rPr>
            </w:pPr>
            <w:r w:rsidRPr="00B952E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BB30C6" w:rsidRPr="00B952E5" w:rsidRDefault="00BB30C6" w:rsidP="00BB30C6">
            <w:pPr>
              <w:spacing w:after="0" w:line="240" w:lineRule="auto"/>
              <w:rPr>
                <w:rFonts w:ascii="Times New Roman" w:eastAsia="Times New Roman" w:hAnsi="Times New Roman" w:cs="Times New Roman"/>
                <w:sz w:val="24"/>
                <w:szCs w:val="24"/>
                <w:lang w:eastAsia="lv-LV"/>
              </w:rPr>
            </w:pPr>
            <w:r w:rsidRPr="00B952E5">
              <w:rPr>
                <w:rFonts w:ascii="Times New Roman" w:eastAsia="Times New Roman" w:hAnsi="Times New Roman" w:cs="Times New Roman"/>
                <w:sz w:val="24"/>
                <w:szCs w:val="24"/>
                <w:lang w:eastAsia="lv-LV"/>
              </w:rPr>
              <w:t>Nav.</w:t>
            </w:r>
          </w:p>
          <w:p w:rsidR="00BB30C6" w:rsidRPr="00B952E5" w:rsidRDefault="00BB30C6" w:rsidP="00BB30C6">
            <w:pPr>
              <w:spacing w:after="0" w:line="240" w:lineRule="auto"/>
              <w:rPr>
                <w:rFonts w:ascii="Times New Roman" w:eastAsia="Times New Roman" w:hAnsi="Times New Roman" w:cs="Times New Roman"/>
                <w:iCs/>
                <w:sz w:val="24"/>
                <w:szCs w:val="24"/>
                <w:lang w:eastAsia="lv-LV"/>
              </w:rPr>
            </w:pPr>
          </w:p>
        </w:tc>
      </w:tr>
    </w:tbl>
    <w:p w:rsidR="00BB30C6" w:rsidRDefault="00BB30C6" w:rsidP="00BB30C6">
      <w:pPr>
        <w:spacing w:after="0" w:line="240" w:lineRule="auto"/>
        <w:rPr>
          <w:rFonts w:ascii="Times New Roman" w:hAnsi="Times New Roman" w:cs="Times New Roman"/>
          <w:sz w:val="28"/>
          <w:szCs w:val="28"/>
        </w:rPr>
      </w:pPr>
    </w:p>
    <w:p w:rsidR="00CD6D8A" w:rsidRDefault="00CD6D8A" w:rsidP="00BB30C6">
      <w:pPr>
        <w:spacing w:after="0" w:line="240" w:lineRule="auto"/>
        <w:rPr>
          <w:rFonts w:ascii="Times New Roman" w:hAnsi="Times New Roman" w:cs="Times New Roman"/>
          <w:sz w:val="28"/>
          <w:szCs w:val="28"/>
        </w:rPr>
      </w:pPr>
    </w:p>
    <w:p w:rsidR="00CD6D8A" w:rsidRPr="00B952E5" w:rsidRDefault="00CD6D8A" w:rsidP="00BB30C6">
      <w:pPr>
        <w:spacing w:after="0" w:line="240" w:lineRule="auto"/>
        <w:rPr>
          <w:rFonts w:ascii="Times New Roman" w:hAnsi="Times New Roman" w:cs="Times New Roman"/>
          <w:sz w:val="28"/>
          <w:szCs w:val="28"/>
        </w:rPr>
      </w:pPr>
    </w:p>
    <w:p w:rsidR="00BB30C6" w:rsidRPr="00B952E5" w:rsidRDefault="00BB30C6" w:rsidP="00BB30C6">
      <w:pPr>
        <w:pStyle w:val="naisf"/>
        <w:tabs>
          <w:tab w:val="left" w:pos="6521"/>
          <w:tab w:val="right" w:pos="8820"/>
        </w:tabs>
        <w:spacing w:before="0" w:after="0"/>
        <w:rPr>
          <w:sz w:val="28"/>
          <w:szCs w:val="28"/>
        </w:rPr>
      </w:pPr>
      <w:r w:rsidRPr="00B952E5">
        <w:rPr>
          <w:sz w:val="28"/>
          <w:szCs w:val="28"/>
        </w:rPr>
        <w:t>Ministru prezidents</w:t>
      </w:r>
      <w:r w:rsidRPr="00B952E5">
        <w:rPr>
          <w:sz w:val="28"/>
          <w:szCs w:val="28"/>
        </w:rPr>
        <w:tab/>
        <w:t xml:space="preserve">               A. K. Kariņš</w:t>
      </w:r>
    </w:p>
    <w:p w:rsidR="00BB30C6" w:rsidRDefault="00BB30C6" w:rsidP="00BB30C6">
      <w:pPr>
        <w:jc w:val="both"/>
        <w:rPr>
          <w:rFonts w:ascii="Times New Roman" w:hAnsi="Times New Roman" w:cs="Times New Roman"/>
          <w:sz w:val="28"/>
          <w:szCs w:val="28"/>
        </w:rPr>
      </w:pPr>
    </w:p>
    <w:p w:rsidR="00CD6D8A" w:rsidRDefault="00CD6D8A" w:rsidP="00BB30C6">
      <w:pPr>
        <w:jc w:val="both"/>
        <w:rPr>
          <w:rFonts w:ascii="Times New Roman" w:hAnsi="Times New Roman" w:cs="Times New Roman"/>
          <w:sz w:val="28"/>
          <w:szCs w:val="28"/>
        </w:rPr>
      </w:pPr>
    </w:p>
    <w:p w:rsidR="00CD6D8A" w:rsidRPr="00B952E5" w:rsidRDefault="00CD6D8A" w:rsidP="00BB30C6">
      <w:pPr>
        <w:jc w:val="both"/>
        <w:rPr>
          <w:rFonts w:ascii="Times New Roman" w:hAnsi="Times New Roman" w:cs="Times New Roman"/>
          <w:sz w:val="28"/>
          <w:szCs w:val="28"/>
        </w:rPr>
      </w:pPr>
    </w:p>
    <w:p w:rsidR="00BB30C6" w:rsidRPr="00B952E5" w:rsidRDefault="00BB30C6" w:rsidP="00BB30C6">
      <w:pPr>
        <w:jc w:val="both"/>
        <w:rPr>
          <w:rFonts w:ascii="Times New Roman" w:hAnsi="Times New Roman" w:cs="Times New Roman"/>
          <w:sz w:val="28"/>
          <w:szCs w:val="28"/>
        </w:rPr>
      </w:pPr>
      <w:r w:rsidRPr="00B952E5">
        <w:rPr>
          <w:rFonts w:ascii="Times New Roman" w:hAnsi="Times New Roman" w:cs="Times New Roman"/>
          <w:sz w:val="28"/>
          <w:szCs w:val="28"/>
        </w:rPr>
        <w:t>Vīza: Valsts kancelejas direktors</w:t>
      </w:r>
      <w:r w:rsidRPr="00B952E5">
        <w:rPr>
          <w:rFonts w:ascii="Times New Roman" w:hAnsi="Times New Roman" w:cs="Times New Roman"/>
          <w:sz w:val="28"/>
          <w:szCs w:val="28"/>
        </w:rPr>
        <w:tab/>
      </w:r>
      <w:r w:rsidRPr="00B952E5">
        <w:rPr>
          <w:rFonts w:ascii="Times New Roman" w:hAnsi="Times New Roman" w:cs="Times New Roman"/>
          <w:sz w:val="28"/>
          <w:szCs w:val="28"/>
        </w:rPr>
        <w:tab/>
      </w:r>
      <w:r w:rsidRPr="00B952E5">
        <w:rPr>
          <w:rFonts w:ascii="Times New Roman" w:hAnsi="Times New Roman" w:cs="Times New Roman"/>
          <w:sz w:val="28"/>
          <w:szCs w:val="28"/>
        </w:rPr>
        <w:tab/>
      </w:r>
      <w:r w:rsidRPr="00B952E5">
        <w:rPr>
          <w:rFonts w:ascii="Times New Roman" w:hAnsi="Times New Roman" w:cs="Times New Roman"/>
          <w:sz w:val="28"/>
          <w:szCs w:val="28"/>
        </w:rPr>
        <w:tab/>
      </w:r>
      <w:r w:rsidRPr="00B952E5">
        <w:rPr>
          <w:rFonts w:ascii="Times New Roman" w:hAnsi="Times New Roman" w:cs="Times New Roman"/>
          <w:sz w:val="28"/>
          <w:szCs w:val="28"/>
        </w:rPr>
        <w:tab/>
        <w:t xml:space="preserve">    J. Citskovskis</w:t>
      </w:r>
    </w:p>
    <w:p w:rsidR="00BB30C6" w:rsidRPr="00B952E5" w:rsidRDefault="00BB30C6" w:rsidP="00BB30C6">
      <w:pPr>
        <w:pStyle w:val="naisf"/>
        <w:tabs>
          <w:tab w:val="left" w:pos="6521"/>
          <w:tab w:val="right" w:pos="8820"/>
        </w:tabs>
        <w:spacing w:before="0" w:after="0"/>
        <w:rPr>
          <w:sz w:val="20"/>
        </w:rPr>
      </w:pPr>
    </w:p>
    <w:p w:rsidR="00BB30C6" w:rsidRDefault="00BB30C6" w:rsidP="00BB30C6">
      <w:pPr>
        <w:pStyle w:val="naisf"/>
        <w:tabs>
          <w:tab w:val="left" w:pos="6521"/>
          <w:tab w:val="right" w:pos="8820"/>
        </w:tabs>
        <w:spacing w:before="0" w:after="0"/>
        <w:rPr>
          <w:sz w:val="20"/>
        </w:rPr>
      </w:pPr>
    </w:p>
    <w:p w:rsidR="00CD6D8A" w:rsidRDefault="00CD6D8A" w:rsidP="00BB30C6">
      <w:pPr>
        <w:pStyle w:val="naisf"/>
        <w:tabs>
          <w:tab w:val="left" w:pos="6521"/>
          <w:tab w:val="right" w:pos="8820"/>
        </w:tabs>
        <w:spacing w:before="0" w:after="0"/>
        <w:rPr>
          <w:sz w:val="20"/>
        </w:rPr>
      </w:pPr>
    </w:p>
    <w:p w:rsidR="00CD6D8A" w:rsidRDefault="00CD6D8A" w:rsidP="00BB30C6">
      <w:pPr>
        <w:pStyle w:val="naisf"/>
        <w:tabs>
          <w:tab w:val="left" w:pos="6521"/>
          <w:tab w:val="right" w:pos="8820"/>
        </w:tabs>
        <w:spacing w:before="0" w:after="0"/>
        <w:rPr>
          <w:sz w:val="20"/>
        </w:rPr>
      </w:pPr>
    </w:p>
    <w:p w:rsidR="00CD6D8A" w:rsidRPr="00B952E5" w:rsidRDefault="00CD6D8A" w:rsidP="00BB30C6">
      <w:pPr>
        <w:pStyle w:val="naisf"/>
        <w:tabs>
          <w:tab w:val="left" w:pos="6521"/>
          <w:tab w:val="right" w:pos="8820"/>
        </w:tabs>
        <w:spacing w:before="0" w:after="0"/>
        <w:rPr>
          <w:sz w:val="20"/>
        </w:rPr>
      </w:pPr>
    </w:p>
    <w:p w:rsidR="00BB30C6" w:rsidRPr="00B952E5" w:rsidRDefault="00BB30C6" w:rsidP="00BB30C6">
      <w:pPr>
        <w:pStyle w:val="naisf"/>
        <w:tabs>
          <w:tab w:val="left" w:pos="6521"/>
          <w:tab w:val="right" w:pos="8820"/>
        </w:tabs>
        <w:spacing w:before="0" w:after="0"/>
        <w:rPr>
          <w:sz w:val="20"/>
        </w:rPr>
      </w:pPr>
    </w:p>
    <w:p w:rsidR="00BB30C6" w:rsidRPr="00B952E5" w:rsidRDefault="00BB30C6" w:rsidP="00BB30C6">
      <w:pPr>
        <w:pStyle w:val="naisf"/>
        <w:tabs>
          <w:tab w:val="left" w:pos="6521"/>
          <w:tab w:val="right" w:pos="8820"/>
        </w:tabs>
        <w:spacing w:before="0" w:after="0"/>
        <w:rPr>
          <w:spacing w:val="6"/>
          <w:sz w:val="20"/>
        </w:rPr>
      </w:pPr>
      <w:r w:rsidRPr="00B952E5">
        <w:rPr>
          <w:sz w:val="20"/>
        </w:rPr>
        <w:t xml:space="preserve">Stone </w:t>
      </w:r>
      <w:r w:rsidRPr="00B952E5">
        <w:rPr>
          <w:spacing w:val="6"/>
          <w:sz w:val="20"/>
        </w:rPr>
        <w:t>67082954</w:t>
      </w:r>
    </w:p>
    <w:p w:rsidR="00BB30C6" w:rsidRPr="00B837F2" w:rsidRDefault="00C873E5" w:rsidP="00BB30C6">
      <w:pPr>
        <w:pStyle w:val="naisf"/>
        <w:tabs>
          <w:tab w:val="left" w:pos="6521"/>
          <w:tab w:val="right" w:pos="8820"/>
        </w:tabs>
        <w:spacing w:before="0" w:after="0"/>
        <w:rPr>
          <w:spacing w:val="6"/>
          <w:sz w:val="20"/>
        </w:rPr>
      </w:pPr>
      <w:hyperlink r:id="rId10" w:history="1">
        <w:r w:rsidR="00BB30C6" w:rsidRPr="00B952E5">
          <w:rPr>
            <w:rStyle w:val="Hyperlink"/>
            <w:spacing w:val="6"/>
            <w:sz w:val="20"/>
          </w:rPr>
          <w:t>kristine.stone@mk.gov.lv</w:t>
        </w:r>
      </w:hyperlink>
    </w:p>
    <w:p w:rsidR="00436456" w:rsidRDefault="00436456"/>
    <w:sectPr w:rsidR="00436456" w:rsidSect="00BB30C6">
      <w:headerReference w:type="default" r:id="rId11"/>
      <w:footerReference w:type="default" r:id="rId12"/>
      <w:footerReference w:type="first" r:id="rId13"/>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3E5" w:rsidRDefault="00C873E5" w:rsidP="00BB30C6">
      <w:pPr>
        <w:spacing w:after="0" w:line="240" w:lineRule="auto"/>
      </w:pPr>
      <w:r>
        <w:separator/>
      </w:r>
    </w:p>
  </w:endnote>
  <w:endnote w:type="continuationSeparator" w:id="0">
    <w:p w:rsidR="00C873E5" w:rsidRDefault="00C873E5" w:rsidP="00BB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F9" w:rsidRPr="009D78F0" w:rsidRDefault="001F6EF9" w:rsidP="00BB30C6">
    <w:pPr>
      <w:pStyle w:val="Footer"/>
    </w:pPr>
    <w:r>
      <w:rPr>
        <w:rFonts w:ascii="Times New Roman" w:hAnsi="Times New Roman" w:cs="Times New Roman"/>
        <w:sz w:val="20"/>
        <w:szCs w:val="20"/>
      </w:rPr>
      <w:t>MKAnot_290421_trauksme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F9" w:rsidRPr="009A2654" w:rsidRDefault="001F6EF9">
    <w:pPr>
      <w:pStyle w:val="Footer"/>
      <w:rPr>
        <w:rFonts w:ascii="Times New Roman" w:hAnsi="Times New Roman" w:cs="Times New Roman"/>
        <w:sz w:val="20"/>
        <w:szCs w:val="20"/>
      </w:rPr>
    </w:pPr>
    <w:r>
      <w:rPr>
        <w:rFonts w:ascii="Times New Roman" w:hAnsi="Times New Roman" w:cs="Times New Roman"/>
        <w:sz w:val="20"/>
        <w:szCs w:val="20"/>
      </w:rPr>
      <w:t>MKAnot_290421_trauksme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3E5" w:rsidRDefault="00C873E5" w:rsidP="00BB30C6">
      <w:pPr>
        <w:spacing w:after="0" w:line="240" w:lineRule="auto"/>
      </w:pPr>
      <w:r>
        <w:separator/>
      </w:r>
    </w:p>
  </w:footnote>
  <w:footnote w:type="continuationSeparator" w:id="0">
    <w:p w:rsidR="00C873E5" w:rsidRDefault="00C873E5" w:rsidP="00BB30C6">
      <w:pPr>
        <w:spacing w:after="0" w:line="240" w:lineRule="auto"/>
      </w:pPr>
      <w:r>
        <w:continuationSeparator/>
      </w:r>
    </w:p>
  </w:footnote>
  <w:footnote w:id="1">
    <w:p w:rsidR="001F6EF9" w:rsidRDefault="001F6EF9">
      <w:pPr>
        <w:pStyle w:val="FootnoteText"/>
      </w:pPr>
      <w:r>
        <w:rPr>
          <w:rStyle w:val="FootnoteReference"/>
        </w:rPr>
        <w:footnoteRef/>
      </w:r>
      <w:r>
        <w:t xml:space="preserve"> Minētais deleģējums noteikts likumprojektā "Grozījumi Trauksmes celšanas likumā" (VSS-654).</w:t>
      </w:r>
    </w:p>
  </w:footnote>
  <w:footnote w:id="2">
    <w:p w:rsidR="001F6EF9" w:rsidRPr="00B952E5" w:rsidRDefault="001F6EF9" w:rsidP="002D2C36">
      <w:pPr>
        <w:pStyle w:val="Normal1"/>
        <w:shd w:val="clear" w:color="auto" w:fill="FFFFFF"/>
        <w:spacing w:before="0" w:beforeAutospacing="0" w:after="0" w:afterAutospacing="0"/>
        <w:jc w:val="both"/>
        <w:rPr>
          <w:sz w:val="20"/>
          <w:szCs w:val="20"/>
        </w:rPr>
      </w:pPr>
      <w:r w:rsidRPr="00B952E5">
        <w:rPr>
          <w:rStyle w:val="FootnoteReference"/>
        </w:rPr>
        <w:footnoteRef/>
      </w:r>
      <w:r w:rsidRPr="00B952E5">
        <w:t xml:space="preserve"> </w:t>
      </w:r>
      <w:r w:rsidRPr="00B952E5">
        <w:rPr>
          <w:sz w:val="20"/>
          <w:szCs w:val="20"/>
        </w:rPr>
        <w:t>1.   Savienība un dalībvalstis apkaro krāpšanu un citādu nelikumīgu rīcību, kas apdraud Savienības finanšu intereses, saskaņā ar šo pantu veicot pasākumus, kuriem jāattur no šādas rīcības, kā arī jānodrošina efektīva aizsardzība dalībvalstīs, kā arī Savienības iestādēs un struktūrās.</w:t>
      </w:r>
    </w:p>
    <w:p w:rsidR="001F6EF9" w:rsidRPr="00B952E5" w:rsidRDefault="001F6EF9" w:rsidP="002D2C36">
      <w:pPr>
        <w:pStyle w:val="Normal1"/>
        <w:shd w:val="clear" w:color="auto" w:fill="FFFFFF"/>
        <w:spacing w:before="0" w:beforeAutospacing="0" w:after="0" w:afterAutospacing="0"/>
        <w:jc w:val="both"/>
        <w:rPr>
          <w:sz w:val="20"/>
          <w:szCs w:val="20"/>
        </w:rPr>
      </w:pPr>
      <w:r w:rsidRPr="00B952E5">
        <w:rPr>
          <w:sz w:val="20"/>
          <w:szCs w:val="20"/>
        </w:rPr>
        <w:t>2.   Lai novērstu krāpšanu, kas apdraud Savienības finanšu intereses, dalībvalstis veic tādus pašus pasākumus, kādus tās veic, lai novērstu krāpšanu, kas apdraud viņu pašu finanšu intereses.</w:t>
      </w:r>
    </w:p>
    <w:p w:rsidR="001F6EF9" w:rsidRPr="00B952E5" w:rsidRDefault="001F6EF9" w:rsidP="002D2C36">
      <w:pPr>
        <w:pStyle w:val="Normal1"/>
        <w:shd w:val="clear" w:color="auto" w:fill="FFFFFF"/>
        <w:spacing w:before="0" w:beforeAutospacing="0" w:after="0" w:afterAutospacing="0"/>
        <w:jc w:val="both"/>
        <w:rPr>
          <w:sz w:val="20"/>
          <w:szCs w:val="20"/>
        </w:rPr>
      </w:pPr>
      <w:r w:rsidRPr="00B952E5">
        <w:rPr>
          <w:sz w:val="20"/>
          <w:szCs w:val="20"/>
        </w:rPr>
        <w:t>3.   Neskarot citus Līgumu noteikumus, dalībvalstis koordinē rīcību, kuras mērķis ir aizsargāt pret krāpšanu Savienības finanšu intereses. Šajā nolūkā tās kopā ar Komisiju izvērš ciešu un regulāru kompetento iestāžu sadarbību.</w:t>
      </w:r>
    </w:p>
    <w:p w:rsidR="001F6EF9" w:rsidRPr="00B952E5" w:rsidRDefault="001F6EF9" w:rsidP="002D2C36">
      <w:pPr>
        <w:pStyle w:val="Normal1"/>
        <w:shd w:val="clear" w:color="auto" w:fill="FFFFFF"/>
        <w:spacing w:before="0" w:beforeAutospacing="0" w:after="0" w:afterAutospacing="0"/>
        <w:jc w:val="both"/>
        <w:rPr>
          <w:sz w:val="20"/>
          <w:szCs w:val="20"/>
        </w:rPr>
      </w:pPr>
      <w:r w:rsidRPr="00B952E5">
        <w:rPr>
          <w:sz w:val="20"/>
          <w:szCs w:val="20"/>
        </w:rPr>
        <w:t>4.   Lai panāktu efektīvu un līdzvērtīgu aizsardzību dalībvalstīs, kā arī Savienības iestādēs un struktūrās, Eiropas Parlaments un Padome saskaņā ar parasto likumdošanas procedūru pēc apspriešanās ar Revīzijas palātu paredz novēršanas un apkarošanas pasākumus cīņai pret krāpšanu, kas apdraud Savienības finanšu intereses.</w:t>
      </w:r>
    </w:p>
    <w:p w:rsidR="001F6EF9" w:rsidRPr="00B952E5" w:rsidRDefault="001F6EF9" w:rsidP="002D2C36">
      <w:pPr>
        <w:pStyle w:val="Normal1"/>
        <w:shd w:val="clear" w:color="auto" w:fill="FFFFFF"/>
        <w:spacing w:before="0" w:beforeAutospacing="0" w:after="0" w:afterAutospacing="0"/>
        <w:jc w:val="both"/>
        <w:rPr>
          <w:sz w:val="20"/>
          <w:szCs w:val="20"/>
        </w:rPr>
      </w:pPr>
      <w:r w:rsidRPr="00B952E5">
        <w:rPr>
          <w:sz w:val="20"/>
          <w:szCs w:val="20"/>
        </w:rPr>
        <w:t>5.   Komisija sadarbībā ar dalībvalstīm katru gadu iesniedz Eiropas Parlamentam un Padomei ziņojumu par pasākumiem, kas veikti, lai īstenotu šo pantu.</w:t>
      </w:r>
    </w:p>
    <w:p w:rsidR="001F6EF9" w:rsidRPr="00B952E5" w:rsidRDefault="001F6EF9" w:rsidP="002D2C36">
      <w:pPr>
        <w:pStyle w:val="FootnoteText"/>
        <w:jc w:val="both"/>
      </w:pPr>
    </w:p>
  </w:footnote>
  <w:footnote w:id="3">
    <w:p w:rsidR="001F6EF9" w:rsidRPr="00B952E5" w:rsidRDefault="001F6EF9" w:rsidP="002D2C36">
      <w:pPr>
        <w:pStyle w:val="FootnoteText"/>
        <w:jc w:val="both"/>
        <w:rPr>
          <w:color w:val="000000"/>
          <w:shd w:val="clear" w:color="auto" w:fill="FFFFFF"/>
        </w:rPr>
      </w:pPr>
      <w:r w:rsidRPr="00B952E5">
        <w:rPr>
          <w:rStyle w:val="FootnoteReference"/>
        </w:rPr>
        <w:footnoteRef/>
      </w:r>
      <w:r w:rsidRPr="00B952E5">
        <w:t xml:space="preserve"> </w:t>
      </w:r>
      <w:r w:rsidRPr="00B952E5">
        <w:rPr>
          <w:color w:val="000000"/>
          <w:shd w:val="clear" w:color="auto" w:fill="FFFFFF"/>
        </w:rPr>
        <w:t> Iekšējais tirgus aptver telpu bez iekšējām robežām, kurā saskaņā ar Līgumiem ir nodrošināta preču, personu, pakalpojumu un kapitāla brīva aprite.</w:t>
      </w:r>
    </w:p>
    <w:p w:rsidR="001F6EF9" w:rsidRPr="00B952E5" w:rsidRDefault="001F6EF9" w:rsidP="002D2C36">
      <w:pPr>
        <w:pStyle w:val="FootnoteText"/>
        <w:jc w:val="both"/>
      </w:pPr>
    </w:p>
  </w:footnote>
  <w:footnote w:id="4">
    <w:p w:rsidR="001F6EF9" w:rsidRPr="00B952E5" w:rsidRDefault="001F6EF9" w:rsidP="002D2C36">
      <w:pPr>
        <w:pStyle w:val="FootnoteText"/>
        <w:jc w:val="both"/>
      </w:pPr>
      <w:r w:rsidRPr="00B952E5">
        <w:rPr>
          <w:rStyle w:val="FootnoteReference"/>
        </w:rPr>
        <w:footnoteRef/>
      </w:r>
      <w:r w:rsidRPr="00B952E5">
        <w:t xml:space="preserve"> Ministru kabineta 2009. gada 3. februāra noteikumu Nr. 108 "Normatīvo aktu projektu sagatavošanas noteikumi" 4. nodaļa.</w:t>
      </w:r>
    </w:p>
  </w:footnote>
  <w:footnote w:id="5">
    <w:p w:rsidR="001F6EF9" w:rsidRPr="00B952E5" w:rsidRDefault="001F6EF9" w:rsidP="002D2C36">
      <w:pPr>
        <w:pStyle w:val="FootnoteText"/>
        <w:jc w:val="both"/>
      </w:pPr>
      <w:r w:rsidRPr="00B952E5">
        <w:rPr>
          <w:rStyle w:val="FootnoteReference"/>
        </w:rPr>
        <w:footnoteRef/>
      </w:r>
      <w:r w:rsidRPr="00B952E5">
        <w:t xml:space="preserve"> Līdzīgi kā noteikts, piemēram, šādos Ministru kabineta noteikumos:</w:t>
      </w:r>
    </w:p>
    <w:p w:rsidR="001F6EF9" w:rsidRPr="00B952E5" w:rsidRDefault="001F6EF9" w:rsidP="002D2C36">
      <w:pPr>
        <w:pStyle w:val="FootnoteText"/>
        <w:jc w:val="both"/>
      </w:pPr>
      <w:r w:rsidRPr="00B952E5">
        <w:t>Ministru kabineta 2010. gada 14. decembra noteikumi Nr. 1121 "Noteikumi par kārtību, kādā izsniedz dzīvnieku un dzīvnieku izcelsmes produktu veterināros (veselības) sertifikātus, un vispārīgajām veterinārajām prasībām dzīvnieku izcelsmes pārtikas produktu apritei";</w:t>
      </w:r>
    </w:p>
    <w:p w:rsidR="001F6EF9" w:rsidRPr="00B952E5" w:rsidRDefault="001F6EF9" w:rsidP="002D2C36">
      <w:pPr>
        <w:pStyle w:val="FootnoteText"/>
        <w:jc w:val="both"/>
      </w:pPr>
      <w:r w:rsidRPr="00B952E5">
        <w:t>Ministru kabineta 2006. gada 27. jūnija noteikumi Nr. 535 "Lauksaimniecībā vai mežsaimniecībā izmantojamo traktoru, piekabju un to sastāvdaļu atbilstības novērtēšanas noteikumi".</w:t>
      </w:r>
    </w:p>
  </w:footnote>
  <w:footnote w:id="6">
    <w:p w:rsidR="001F6EF9" w:rsidRPr="00864C85" w:rsidRDefault="001F6EF9" w:rsidP="00864C85">
      <w:pPr>
        <w:pStyle w:val="FootnoteText"/>
        <w:jc w:val="both"/>
      </w:pPr>
      <w:r>
        <w:rPr>
          <w:rStyle w:val="FootnoteReference"/>
        </w:rPr>
        <w:footnoteRef/>
      </w:r>
      <w:r>
        <w:t xml:space="preserve"> Papildināts ar </w:t>
      </w:r>
      <w:r w:rsidRPr="00864C85">
        <w:rPr>
          <w:rFonts w:cs="Times New Roman"/>
          <w:shd w:val="clear" w:color="auto" w:fill="FFFFFF"/>
        </w:rPr>
        <w:t>Eiropas Parlamenta un Padomes 2020. gada 7. oktobra Regulas (ES) 2020/1503 par Eiropas kolektīvās finansēšanas pakalpojumu sniedzējiem uzņēmējdarbībai un ar ko groza Regulu (ES) 2017/1129 un Direktīvu (ES) 2019/1937</w:t>
      </w:r>
      <w:r>
        <w:rPr>
          <w:rFonts w:cs="Times New Roman"/>
          <w:shd w:val="clear" w:color="auto" w:fill="FFFFFF"/>
        </w:rPr>
        <w:t xml:space="preserve"> 47. pantu.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rsidR="001F6EF9" w:rsidRPr="00C25B49" w:rsidRDefault="001F6EF9">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221468">
          <w:rPr>
            <w:rFonts w:ascii="Times New Roman" w:hAnsi="Times New Roman" w:cs="Times New Roman"/>
            <w:noProof/>
            <w:sz w:val="24"/>
            <w:szCs w:val="20"/>
          </w:rPr>
          <w:t>18</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0835"/>
    <w:multiLevelType w:val="hybridMultilevel"/>
    <w:tmpl w:val="F2E4CB60"/>
    <w:lvl w:ilvl="0" w:tplc="B42E013A">
      <w:start w:val="1"/>
      <w:numFmt w:val="decimal"/>
      <w:lvlText w:val="%1)"/>
      <w:lvlJc w:val="left"/>
      <w:pPr>
        <w:ind w:left="660" w:hanging="360"/>
      </w:pPr>
      <w:rPr>
        <w:rFonts w:ascii="Times New Roman" w:eastAsia="Times New Roman" w:hAnsi="Times New Roman" w:cs="Times New Roman"/>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 w15:restartNumberingAfterBreak="0">
    <w:nsid w:val="1BC5024A"/>
    <w:multiLevelType w:val="hybridMultilevel"/>
    <w:tmpl w:val="830CE9DA"/>
    <w:lvl w:ilvl="0" w:tplc="20D63B9E">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5866E2"/>
    <w:multiLevelType w:val="hybridMultilevel"/>
    <w:tmpl w:val="C1E4CEEA"/>
    <w:lvl w:ilvl="0" w:tplc="87E2493A">
      <w:numFmt w:val="bullet"/>
      <w:lvlText w:val="-"/>
      <w:lvlJc w:val="left"/>
      <w:pPr>
        <w:ind w:left="388" w:hanging="360"/>
      </w:pPr>
      <w:rPr>
        <w:rFonts w:ascii="Times New Roman" w:eastAsiaTheme="minorHAnsi" w:hAnsi="Times New Roman" w:cs="Times New Roman" w:hint="default"/>
      </w:rPr>
    </w:lvl>
    <w:lvl w:ilvl="1" w:tplc="04260003" w:tentative="1">
      <w:start w:val="1"/>
      <w:numFmt w:val="bullet"/>
      <w:lvlText w:val="o"/>
      <w:lvlJc w:val="left"/>
      <w:pPr>
        <w:ind w:left="1108" w:hanging="360"/>
      </w:pPr>
      <w:rPr>
        <w:rFonts w:ascii="Courier New" w:hAnsi="Courier New" w:cs="Courier New" w:hint="default"/>
      </w:rPr>
    </w:lvl>
    <w:lvl w:ilvl="2" w:tplc="04260005" w:tentative="1">
      <w:start w:val="1"/>
      <w:numFmt w:val="bullet"/>
      <w:lvlText w:val=""/>
      <w:lvlJc w:val="left"/>
      <w:pPr>
        <w:ind w:left="1828" w:hanging="360"/>
      </w:pPr>
      <w:rPr>
        <w:rFonts w:ascii="Wingdings" w:hAnsi="Wingdings" w:hint="default"/>
      </w:rPr>
    </w:lvl>
    <w:lvl w:ilvl="3" w:tplc="04260001" w:tentative="1">
      <w:start w:val="1"/>
      <w:numFmt w:val="bullet"/>
      <w:lvlText w:val=""/>
      <w:lvlJc w:val="left"/>
      <w:pPr>
        <w:ind w:left="2548" w:hanging="360"/>
      </w:pPr>
      <w:rPr>
        <w:rFonts w:ascii="Symbol" w:hAnsi="Symbol" w:hint="default"/>
      </w:rPr>
    </w:lvl>
    <w:lvl w:ilvl="4" w:tplc="04260003" w:tentative="1">
      <w:start w:val="1"/>
      <w:numFmt w:val="bullet"/>
      <w:lvlText w:val="o"/>
      <w:lvlJc w:val="left"/>
      <w:pPr>
        <w:ind w:left="3268" w:hanging="360"/>
      </w:pPr>
      <w:rPr>
        <w:rFonts w:ascii="Courier New" w:hAnsi="Courier New" w:cs="Courier New" w:hint="default"/>
      </w:rPr>
    </w:lvl>
    <w:lvl w:ilvl="5" w:tplc="04260005" w:tentative="1">
      <w:start w:val="1"/>
      <w:numFmt w:val="bullet"/>
      <w:lvlText w:val=""/>
      <w:lvlJc w:val="left"/>
      <w:pPr>
        <w:ind w:left="3988" w:hanging="360"/>
      </w:pPr>
      <w:rPr>
        <w:rFonts w:ascii="Wingdings" w:hAnsi="Wingdings" w:hint="default"/>
      </w:rPr>
    </w:lvl>
    <w:lvl w:ilvl="6" w:tplc="04260001" w:tentative="1">
      <w:start w:val="1"/>
      <w:numFmt w:val="bullet"/>
      <w:lvlText w:val=""/>
      <w:lvlJc w:val="left"/>
      <w:pPr>
        <w:ind w:left="4708" w:hanging="360"/>
      </w:pPr>
      <w:rPr>
        <w:rFonts w:ascii="Symbol" w:hAnsi="Symbol" w:hint="default"/>
      </w:rPr>
    </w:lvl>
    <w:lvl w:ilvl="7" w:tplc="04260003" w:tentative="1">
      <w:start w:val="1"/>
      <w:numFmt w:val="bullet"/>
      <w:lvlText w:val="o"/>
      <w:lvlJc w:val="left"/>
      <w:pPr>
        <w:ind w:left="5428" w:hanging="360"/>
      </w:pPr>
      <w:rPr>
        <w:rFonts w:ascii="Courier New" w:hAnsi="Courier New" w:cs="Courier New" w:hint="default"/>
      </w:rPr>
    </w:lvl>
    <w:lvl w:ilvl="8" w:tplc="04260005" w:tentative="1">
      <w:start w:val="1"/>
      <w:numFmt w:val="bullet"/>
      <w:lvlText w:val=""/>
      <w:lvlJc w:val="left"/>
      <w:pPr>
        <w:ind w:left="6148" w:hanging="360"/>
      </w:pPr>
      <w:rPr>
        <w:rFonts w:ascii="Wingdings" w:hAnsi="Wingdings" w:hint="default"/>
      </w:rPr>
    </w:lvl>
  </w:abstractNum>
  <w:abstractNum w:abstractNumId="3" w15:restartNumberingAfterBreak="0">
    <w:nsid w:val="2B644907"/>
    <w:multiLevelType w:val="multilevel"/>
    <w:tmpl w:val="BA0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B26A0C"/>
    <w:multiLevelType w:val="hybridMultilevel"/>
    <w:tmpl w:val="5784BC9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41EA6E53"/>
    <w:multiLevelType w:val="multilevel"/>
    <w:tmpl w:val="4C90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516771"/>
    <w:multiLevelType w:val="hybridMultilevel"/>
    <w:tmpl w:val="E0B87740"/>
    <w:lvl w:ilvl="0" w:tplc="781A111C">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48082787"/>
    <w:multiLevelType w:val="hybridMultilevel"/>
    <w:tmpl w:val="60AAC8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5828392C"/>
    <w:multiLevelType w:val="multilevel"/>
    <w:tmpl w:val="F97E1A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1073CA"/>
    <w:multiLevelType w:val="hybridMultilevel"/>
    <w:tmpl w:val="92AA1310"/>
    <w:lvl w:ilvl="0" w:tplc="04260011">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6BB308D6"/>
    <w:multiLevelType w:val="multilevel"/>
    <w:tmpl w:val="3072D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3378EE"/>
    <w:multiLevelType w:val="hybridMultilevel"/>
    <w:tmpl w:val="A02679E4"/>
    <w:lvl w:ilvl="0" w:tplc="267CD00A">
      <w:start w:val="1"/>
      <w:numFmt w:val="upperRoman"/>
      <w:lvlText w:val="%1."/>
      <w:lvlJc w:val="left"/>
      <w:pPr>
        <w:ind w:left="1080" w:hanging="720"/>
      </w:pPr>
      <w:rPr>
        <w:rFonts w:eastAsiaTheme="minorHAns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2"/>
  </w:num>
  <w:num w:numId="3">
    <w:abstractNumId w:val="11"/>
  </w:num>
  <w:num w:numId="4">
    <w:abstractNumId w:val="1"/>
  </w:num>
  <w:num w:numId="5">
    <w:abstractNumId w:val="6"/>
  </w:num>
  <w:num w:numId="6">
    <w:abstractNumId w:val="7"/>
  </w:num>
  <w:num w:numId="7">
    <w:abstractNumId w:val="5"/>
  </w:num>
  <w:num w:numId="8">
    <w:abstractNumId w:val="10"/>
  </w:num>
  <w:num w:numId="9">
    <w:abstractNumId w:val="8"/>
  </w:num>
  <w:num w:numId="10">
    <w:abstractNumId w:val="3"/>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C6"/>
    <w:rsid w:val="001627C0"/>
    <w:rsid w:val="001C1F04"/>
    <w:rsid w:val="001F6EF9"/>
    <w:rsid w:val="00221468"/>
    <w:rsid w:val="00260032"/>
    <w:rsid w:val="002D2C36"/>
    <w:rsid w:val="003E25B7"/>
    <w:rsid w:val="00436456"/>
    <w:rsid w:val="004D44FF"/>
    <w:rsid w:val="0053353E"/>
    <w:rsid w:val="005F5182"/>
    <w:rsid w:val="007F4384"/>
    <w:rsid w:val="00864C85"/>
    <w:rsid w:val="00893EC6"/>
    <w:rsid w:val="00A771C7"/>
    <w:rsid w:val="00B314A4"/>
    <w:rsid w:val="00BB30C6"/>
    <w:rsid w:val="00C873E5"/>
    <w:rsid w:val="00CA1E48"/>
    <w:rsid w:val="00CD6D8A"/>
    <w:rsid w:val="00D233B0"/>
    <w:rsid w:val="00D879B1"/>
    <w:rsid w:val="00DF070B"/>
    <w:rsid w:val="00E5075A"/>
    <w:rsid w:val="00ED5150"/>
    <w:rsid w:val="00F30A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A4B14-2E7E-44E6-AD88-D05B22F4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0C6"/>
    <w:rPr>
      <w:rFonts w:asciiTheme="minorHAnsi" w:hAnsiTheme="minorHAnsi"/>
      <w:sz w:val="22"/>
    </w:rPr>
  </w:style>
  <w:style w:type="paragraph" w:styleId="Heading1">
    <w:name w:val="heading 1"/>
    <w:basedOn w:val="Normal"/>
    <w:next w:val="Normal"/>
    <w:link w:val="Heading1Char"/>
    <w:uiPriority w:val="9"/>
    <w:qFormat/>
    <w:rsid w:val="00BB30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B30C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0C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B30C6"/>
    <w:rPr>
      <w:rFonts w:eastAsia="Times New Roman" w:cs="Times New Roman"/>
      <w:b/>
      <w:bCs/>
      <w:sz w:val="27"/>
      <w:szCs w:val="27"/>
      <w:lang w:eastAsia="lv-LV"/>
    </w:rPr>
  </w:style>
  <w:style w:type="character" w:styleId="Hyperlink">
    <w:name w:val="Hyperlink"/>
    <w:basedOn w:val="DefaultParagraphFont"/>
    <w:uiPriority w:val="99"/>
    <w:unhideWhenUsed/>
    <w:rsid w:val="00BB30C6"/>
    <w:rPr>
      <w:color w:val="0000FF"/>
      <w:u w:val="single"/>
    </w:rPr>
  </w:style>
  <w:style w:type="paragraph" w:styleId="Header">
    <w:name w:val="header"/>
    <w:basedOn w:val="Normal"/>
    <w:link w:val="HeaderChar"/>
    <w:uiPriority w:val="99"/>
    <w:unhideWhenUsed/>
    <w:rsid w:val="00BB30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30C6"/>
    <w:rPr>
      <w:rFonts w:asciiTheme="minorHAnsi" w:hAnsiTheme="minorHAnsi"/>
      <w:sz w:val="22"/>
    </w:rPr>
  </w:style>
  <w:style w:type="paragraph" w:styleId="Footer">
    <w:name w:val="footer"/>
    <w:basedOn w:val="Normal"/>
    <w:link w:val="FooterChar"/>
    <w:uiPriority w:val="99"/>
    <w:unhideWhenUsed/>
    <w:rsid w:val="00BB30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B30C6"/>
    <w:rPr>
      <w:rFonts w:asciiTheme="minorHAnsi" w:hAnsiTheme="minorHAnsi"/>
      <w:sz w:val="22"/>
    </w:rPr>
  </w:style>
  <w:style w:type="paragraph" w:customStyle="1" w:styleId="naiskr">
    <w:name w:val="naiskr"/>
    <w:basedOn w:val="Normal"/>
    <w:rsid w:val="00BB30C6"/>
    <w:pPr>
      <w:spacing w:before="75" w:after="75" w:line="240" w:lineRule="auto"/>
    </w:pPr>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unhideWhenUsed/>
    <w:rsid w:val="00BB30C6"/>
    <w:pPr>
      <w:spacing w:line="240" w:lineRule="auto"/>
    </w:pPr>
    <w:rPr>
      <w:sz w:val="20"/>
      <w:szCs w:val="20"/>
    </w:rPr>
  </w:style>
  <w:style w:type="character" w:customStyle="1" w:styleId="CommentTextChar">
    <w:name w:val="Comment Text Char"/>
    <w:basedOn w:val="DefaultParagraphFont"/>
    <w:link w:val="CommentText"/>
    <w:uiPriority w:val="99"/>
    <w:rsid w:val="00BB30C6"/>
    <w:rPr>
      <w:rFonts w:asciiTheme="minorHAnsi" w:hAnsiTheme="minorHAnsi"/>
      <w:sz w:val="20"/>
      <w:szCs w:val="20"/>
    </w:rPr>
  </w:style>
  <w:style w:type="paragraph" w:customStyle="1" w:styleId="tv213">
    <w:name w:val="tv213"/>
    <w:basedOn w:val="Normal"/>
    <w:rsid w:val="00BB30C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BB30C6"/>
  </w:style>
  <w:style w:type="character" w:customStyle="1" w:styleId="findhit">
    <w:name w:val="findhit"/>
    <w:basedOn w:val="DefaultParagraphFont"/>
    <w:rsid w:val="00BB30C6"/>
  </w:style>
  <w:style w:type="paragraph" w:styleId="FootnoteText">
    <w:name w:val="footnote text"/>
    <w:basedOn w:val="Normal"/>
    <w:link w:val="FootnoteTextChar"/>
    <w:uiPriority w:val="99"/>
    <w:semiHidden/>
    <w:unhideWhenUsed/>
    <w:rsid w:val="00BB30C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B30C6"/>
    <w:rPr>
      <w:sz w:val="20"/>
      <w:szCs w:val="20"/>
    </w:rPr>
  </w:style>
  <w:style w:type="character" w:styleId="FootnoteReference">
    <w:name w:val="footnote reference"/>
    <w:basedOn w:val="DefaultParagraphFont"/>
    <w:uiPriority w:val="99"/>
    <w:semiHidden/>
    <w:unhideWhenUsed/>
    <w:rsid w:val="00BB30C6"/>
    <w:rPr>
      <w:vertAlign w:val="superscript"/>
    </w:rPr>
  </w:style>
  <w:style w:type="paragraph" w:customStyle="1" w:styleId="naisf">
    <w:name w:val="naisf"/>
    <w:basedOn w:val="Normal"/>
    <w:link w:val="naisfChar"/>
    <w:rsid w:val="00BB30C6"/>
    <w:pPr>
      <w:spacing w:before="100" w:after="100" w:line="240" w:lineRule="auto"/>
    </w:pPr>
    <w:rPr>
      <w:rFonts w:ascii="Times New Roman" w:eastAsia="Times New Roman" w:hAnsi="Times New Roman" w:cs="Times New Roman"/>
      <w:sz w:val="24"/>
      <w:szCs w:val="20"/>
      <w:lang w:eastAsia="lv-LV"/>
    </w:rPr>
  </w:style>
  <w:style w:type="character" w:customStyle="1" w:styleId="naisfChar">
    <w:name w:val="naisf Char"/>
    <w:link w:val="naisf"/>
    <w:locked/>
    <w:rsid w:val="00BB30C6"/>
    <w:rPr>
      <w:rFonts w:eastAsia="Times New Roman" w:cs="Times New Roman"/>
      <w:sz w:val="24"/>
      <w:szCs w:val="20"/>
      <w:lang w:eastAsia="lv-LV"/>
    </w:rPr>
  </w:style>
  <w:style w:type="character" w:customStyle="1" w:styleId="spellingerror">
    <w:name w:val="spellingerror"/>
    <w:basedOn w:val="DefaultParagraphFont"/>
    <w:rsid w:val="00BB30C6"/>
  </w:style>
  <w:style w:type="character" w:customStyle="1" w:styleId="FontStyle11">
    <w:name w:val="Font Style11"/>
    <w:basedOn w:val="DefaultParagraphFont"/>
    <w:rsid w:val="00BB30C6"/>
    <w:rPr>
      <w:rFonts w:ascii="Microsoft Sans Serif" w:hAnsi="Microsoft Sans Serif" w:cs="Microsoft Sans Serif" w:hint="default"/>
      <w:b/>
      <w:bCs/>
      <w:sz w:val="16"/>
      <w:szCs w:val="16"/>
    </w:rPr>
  </w:style>
  <w:style w:type="character" w:customStyle="1" w:styleId="BalloonTextChar">
    <w:name w:val="Balloon Text Char"/>
    <w:basedOn w:val="DefaultParagraphFont"/>
    <w:link w:val="BalloonText"/>
    <w:uiPriority w:val="99"/>
    <w:semiHidden/>
    <w:rsid w:val="00BB30C6"/>
    <w:rPr>
      <w:rFonts w:ascii="Segoe UI" w:hAnsi="Segoe UI" w:cs="Segoe UI"/>
      <w:sz w:val="18"/>
      <w:szCs w:val="18"/>
    </w:rPr>
  </w:style>
  <w:style w:type="paragraph" w:styleId="BalloonText">
    <w:name w:val="Balloon Text"/>
    <w:basedOn w:val="Normal"/>
    <w:link w:val="BalloonTextChar"/>
    <w:uiPriority w:val="99"/>
    <w:semiHidden/>
    <w:unhideWhenUsed/>
    <w:rsid w:val="00BB30C6"/>
    <w:pPr>
      <w:spacing w:after="0" w:line="240" w:lineRule="auto"/>
    </w:pPr>
    <w:rPr>
      <w:rFonts w:ascii="Segoe UI" w:hAnsi="Segoe UI" w:cs="Segoe UI"/>
      <w:sz w:val="18"/>
      <w:szCs w:val="18"/>
    </w:rPr>
  </w:style>
  <w:style w:type="paragraph" w:styleId="ListParagraph">
    <w:name w:val="List Paragraph"/>
    <w:basedOn w:val="Normal"/>
    <w:uiPriority w:val="34"/>
    <w:qFormat/>
    <w:rsid w:val="00BB30C6"/>
    <w:pPr>
      <w:ind w:left="720"/>
      <w:contextualSpacing/>
    </w:pPr>
  </w:style>
  <w:style w:type="character" w:customStyle="1" w:styleId="CommentSubjectChar">
    <w:name w:val="Comment Subject Char"/>
    <w:basedOn w:val="CommentTextChar"/>
    <w:link w:val="CommentSubject"/>
    <w:uiPriority w:val="99"/>
    <w:semiHidden/>
    <w:rsid w:val="00BB30C6"/>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BB30C6"/>
    <w:rPr>
      <w:b/>
      <w:bCs/>
    </w:rPr>
  </w:style>
  <w:style w:type="character" w:customStyle="1" w:styleId="rightitem">
    <w:name w:val="rightitem"/>
    <w:basedOn w:val="DefaultParagraphFont"/>
    <w:rsid w:val="00BB30C6"/>
  </w:style>
  <w:style w:type="paragraph" w:customStyle="1" w:styleId="doc-ti">
    <w:name w:val="doc-ti"/>
    <w:basedOn w:val="Normal"/>
    <w:rsid w:val="00BB30C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1">
    <w:name w:val="Normal1"/>
    <w:basedOn w:val="Normal"/>
    <w:rsid w:val="00BB30C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BB30C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BB30C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BB30C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DefaultParagraphFont"/>
    <w:rsid w:val="00BB30C6"/>
  </w:style>
  <w:style w:type="character" w:customStyle="1" w:styleId="eop">
    <w:name w:val="eop"/>
    <w:basedOn w:val="DefaultParagraphFont"/>
    <w:rsid w:val="00BB30C6"/>
  </w:style>
  <w:style w:type="paragraph" w:customStyle="1" w:styleId="outlineelement">
    <w:name w:val="outlineelement"/>
    <w:basedOn w:val="Normal"/>
    <w:rsid w:val="00BB30C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nebreakblob">
    <w:name w:val="linebreakblob"/>
    <w:basedOn w:val="DefaultParagraphFont"/>
    <w:rsid w:val="00BB30C6"/>
  </w:style>
  <w:style w:type="character" w:customStyle="1" w:styleId="scxw186378796">
    <w:name w:val="scxw186378796"/>
    <w:basedOn w:val="DefaultParagraphFont"/>
    <w:rsid w:val="00BB30C6"/>
  </w:style>
  <w:style w:type="character" w:customStyle="1" w:styleId="highlight">
    <w:name w:val="highlight"/>
    <w:basedOn w:val="DefaultParagraphFont"/>
    <w:rsid w:val="00BB30C6"/>
  </w:style>
  <w:style w:type="paragraph" w:styleId="NormalWeb">
    <w:name w:val="Normal (Web)"/>
    <w:basedOn w:val="Normal"/>
    <w:uiPriority w:val="99"/>
    <w:semiHidden/>
    <w:unhideWhenUsed/>
    <w:rsid w:val="005F518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oj-super">
    <w:name w:val="oj-super"/>
    <w:basedOn w:val="DefaultParagraphFont"/>
    <w:rsid w:val="00ED5150"/>
  </w:style>
  <w:style w:type="paragraph" w:customStyle="1" w:styleId="oj-normal">
    <w:name w:val="oj-normal"/>
    <w:basedOn w:val="Normal"/>
    <w:rsid w:val="00ED515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89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AUTO/?uri=OJ:L:2020:347:T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istine.stone@mk.gov.lv" TargetMode="External"/><Relationship Id="rId4" Type="http://schemas.openxmlformats.org/officeDocument/2006/relationships/settings" Target="settings.xml"/><Relationship Id="rId9" Type="http://schemas.openxmlformats.org/officeDocument/2006/relationships/hyperlink" Target="http://www.mk.gov.lv/content/ministru-kabineta-diskusiju-dokumen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DC118-8164-4B35-8E53-01CF1ACE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21194</Words>
  <Characters>12082</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Ministru kabineta noteikumu projekta "Eiropas Savienības tiesību akti, par kuru pārkāpumiem ceļama trauksme, vai kuros ir paredzēta citāda ziņošanas kārtība, to regulējošās jomas un normatīvie akti" sākotnējās ietekmes novērtējuma ziņojums (anotācija)</vt:lpstr>
    </vt:vector>
  </TitlesOfParts>
  <Company>Valsts kanceleja</Company>
  <LinksUpToDate>false</LinksUpToDate>
  <CharactersWithSpaces>33210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"Eiropas Savienības tiesību akti, par kuru pārkāpumiem ceļama trauksme, vai kuros ir paredzēta citāda ziņošanas kārtība, to regulējošās jomas un normatīvie akti" sākotnējās ietekmes novērtējuma ziņojums (anotācija)</dc:title>
  <dc:subject>Anotācija</dc:subject>
  <dc:creator>Kristīne Stone</dc:creator>
  <cp:keywords/>
  <dc:description>kristine.stone@mk.gov.lv_x000d_
tālr.:67082954</dc:description>
  <cp:lastModifiedBy>Mētra Aržanovska</cp:lastModifiedBy>
  <cp:revision>3</cp:revision>
  <dcterms:created xsi:type="dcterms:W3CDTF">2021-04-30T09:37:00Z</dcterms:created>
  <dcterms:modified xsi:type="dcterms:W3CDTF">2021-04-30T09:37:00Z</dcterms:modified>
</cp:coreProperties>
</file>