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F17" w:rsidRDefault="00EF2F17">
      <w:pPr>
        <w:pStyle w:val="Title"/>
        <w:outlineLvl w:val="0"/>
      </w:pPr>
      <w:r>
        <w:t>LATVIJAS REPUBLIKAS MINISTRU KABINETA SĒDE</w:t>
      </w:r>
    </w:p>
    <w:p w:rsidR="00EF2F17" w:rsidRDefault="00EF2F17">
      <w:pPr>
        <w:pStyle w:val="Title"/>
      </w:pPr>
      <w:r>
        <w:t>___________________________________________________________</w:t>
      </w:r>
    </w:p>
    <w:p w:rsidR="00EF2F17" w:rsidRDefault="00EF2F17">
      <w:pPr>
        <w:pStyle w:val="Title"/>
        <w:outlineLvl w:val="0"/>
      </w:pPr>
      <w:smartTag w:uri="schemas-tilde-lv/tildestengine" w:element="veidnes">
        <w:smartTagPr>
          <w:attr w:name="baseform" w:val="protokol|s"/>
          <w:attr w:name="id" w:val="-1"/>
          <w:attr w:name="text" w:val="protokola"/>
        </w:smartTagPr>
        <w:r>
          <w:rPr>
            <w:i/>
          </w:rPr>
          <w:t>protokola</w:t>
        </w:r>
      </w:smartTag>
      <w:r>
        <w:rPr>
          <w:i/>
        </w:rPr>
        <w:t xml:space="preserve"> </w:t>
      </w:r>
      <w:smartTag w:uri="schemas-tilde-lv/tildestengine" w:element="veidnes">
        <w:smartTagPr>
          <w:attr w:name="baseform" w:val="izrakst|s"/>
          <w:attr w:name="id" w:val="-1"/>
          <w:attr w:name="text" w:val="izraksts"/>
        </w:smartTagPr>
        <w:r>
          <w:rPr>
            <w:i/>
          </w:rPr>
          <w:t>izraksts</w:t>
        </w:r>
      </w:smartTag>
    </w:p>
    <w:p w:rsidR="00EF2F17" w:rsidRDefault="00EF2F17">
      <w:pPr>
        <w:tabs>
          <w:tab w:val="left" w:pos="6804"/>
        </w:tabs>
        <w:ind w:firstLine="709"/>
      </w:pPr>
    </w:p>
    <w:tbl>
      <w:tblPr>
        <w:tblW w:w="9214" w:type="dxa"/>
        <w:tblInd w:w="250" w:type="dxa"/>
        <w:tblLayout w:type="fixed"/>
        <w:tblLook w:val="0000" w:firstRow="0" w:lastRow="0" w:firstColumn="0" w:lastColumn="0" w:noHBand="0" w:noVBand="0"/>
      </w:tblPr>
      <w:tblGrid>
        <w:gridCol w:w="3967"/>
        <w:gridCol w:w="886"/>
        <w:gridCol w:w="4361"/>
      </w:tblGrid>
      <w:tr w:rsidR="00EF2F17">
        <w:trPr>
          <w:cantSplit/>
        </w:trPr>
        <w:tc>
          <w:tcPr>
            <w:tcW w:w="3967" w:type="dxa"/>
          </w:tcPr>
          <w:p w:rsidR="00EF2F17" w:rsidRDefault="00EF2F17">
            <w:r>
              <w:t>Rīgā</w:t>
            </w:r>
          </w:p>
        </w:tc>
        <w:tc>
          <w:tcPr>
            <w:tcW w:w="886" w:type="dxa"/>
          </w:tcPr>
          <w:p w:rsidR="00EF2F17" w:rsidRDefault="00EF2F17">
            <w:r>
              <w:t>Nr.28</w:t>
            </w:r>
          </w:p>
        </w:tc>
        <w:tc>
          <w:tcPr>
            <w:tcW w:w="4361" w:type="dxa"/>
          </w:tcPr>
          <w:p w:rsidR="00EF2F17" w:rsidRDefault="00EF2F17">
            <w:pPr>
              <w:jc w:val="right"/>
            </w:pPr>
            <w:smartTag w:uri="schemas-tilde-lv/tildestengine" w:element="date">
              <w:smartTagPr>
                <w:attr w:name="Day" w:val="1"/>
                <w:attr w:name="Month" w:val="6"/>
                <w:attr w:name="Year" w:val="2010"/>
              </w:smartTagPr>
              <w:r>
                <w:t>2010.gada  1.jūnijā</w:t>
              </w:r>
            </w:smartTag>
          </w:p>
        </w:tc>
      </w:tr>
    </w:tbl>
    <w:p w:rsidR="00EF2F17" w:rsidRPr="0068719C" w:rsidRDefault="00EF2F17">
      <w:pPr>
        <w:tabs>
          <w:tab w:val="left" w:pos="6804"/>
        </w:tabs>
        <w:ind w:firstLine="709"/>
        <w:rPr>
          <w:sz w:val="24"/>
          <w:szCs w:val="24"/>
        </w:rPr>
      </w:pPr>
    </w:p>
    <w:p w:rsidR="00EF2F17" w:rsidRDefault="00EF2F17">
      <w:pPr>
        <w:pStyle w:val="BodyText"/>
        <w:jc w:val="center"/>
        <w:rPr>
          <w:b/>
          <w:szCs w:val="28"/>
        </w:rPr>
      </w:pPr>
      <w:r>
        <w:rPr>
          <w:b/>
          <w:szCs w:val="28"/>
        </w:rPr>
        <w:t>57.§</w:t>
      </w:r>
    </w:p>
    <w:p w:rsidR="00EF2F17" w:rsidRPr="0068719C" w:rsidRDefault="00EF2F17">
      <w:pPr>
        <w:pStyle w:val="BodyText"/>
        <w:jc w:val="center"/>
        <w:rPr>
          <w:sz w:val="24"/>
          <w:szCs w:val="24"/>
        </w:rPr>
      </w:pPr>
    </w:p>
    <w:p w:rsidR="00EF2F17" w:rsidRDefault="00EF2F17">
      <w:pPr>
        <w:pStyle w:val="BodyText"/>
        <w:jc w:val="center"/>
        <w:outlineLvl w:val="0"/>
        <w:rPr>
          <w:b/>
          <w:szCs w:val="28"/>
        </w:rPr>
      </w:pPr>
      <w:r>
        <w:rPr>
          <w:b/>
          <w:szCs w:val="28"/>
        </w:rPr>
        <w:t>Par akciju sabiedrību „Parex banka”</w:t>
      </w:r>
    </w:p>
    <w:p w:rsidR="00EF2F17" w:rsidRDefault="00EF2F17">
      <w:pPr>
        <w:pStyle w:val="BodyText"/>
        <w:rPr>
          <w:b/>
          <w:sz w:val="24"/>
          <w:szCs w:val="24"/>
        </w:rPr>
      </w:pPr>
      <w:r>
        <w:rPr>
          <w:b/>
          <w:sz w:val="24"/>
          <w:szCs w:val="24"/>
        </w:rPr>
        <w:t xml:space="preserve">     TA-1488-DV </w:t>
      </w:r>
    </w:p>
    <w:p w:rsidR="00EF2F17" w:rsidRDefault="00EF2F17">
      <w:pPr>
        <w:pStyle w:val="Header"/>
        <w:tabs>
          <w:tab w:val="left" w:pos="720"/>
        </w:tabs>
        <w:ind w:firstLine="720"/>
        <w:jc w:val="both"/>
        <w:rPr>
          <w:szCs w:val="20"/>
        </w:rPr>
      </w:pPr>
      <w:r>
        <w:t>______________________________________________________</w:t>
      </w:r>
    </w:p>
    <w:p w:rsidR="00EF2F17" w:rsidRDefault="00EF2F17">
      <w:pPr>
        <w:jc w:val="center"/>
        <w:rPr>
          <w:sz w:val="24"/>
        </w:rPr>
      </w:pPr>
      <w:r>
        <w:rPr>
          <w:sz w:val="24"/>
        </w:rPr>
        <w:t>(</w:t>
      </w:r>
      <w:proofErr w:type="spellStart"/>
      <w:r>
        <w:rPr>
          <w:sz w:val="24"/>
        </w:rPr>
        <w:t>M.Bičevskis</w:t>
      </w:r>
      <w:proofErr w:type="spellEnd"/>
      <w:r>
        <w:rPr>
          <w:sz w:val="24"/>
        </w:rPr>
        <w:t>, J.Jākobsons, M.Lazdovskis, R.Vējonis, E.Dreimane, E.Repše, E.Kušners, V.Dombrovskis)</w:t>
      </w:r>
    </w:p>
    <w:p w:rsidR="00EF2F17" w:rsidRDefault="00EF2F17">
      <w:pPr>
        <w:tabs>
          <w:tab w:val="left" w:pos="6804"/>
        </w:tabs>
        <w:ind w:firstLine="709"/>
        <w:jc w:val="both"/>
      </w:pPr>
    </w:p>
    <w:p w:rsidR="00EF2F17" w:rsidRDefault="00EF2F17">
      <w:pPr>
        <w:ind w:firstLine="720"/>
        <w:jc w:val="both"/>
      </w:pPr>
      <w:r>
        <w:t>1.</w:t>
      </w:r>
      <w:r w:rsidR="00766D1D">
        <w:t> </w:t>
      </w:r>
      <w:r>
        <w:rPr>
          <w:strike/>
        </w:rPr>
        <w:t>(DV)</w:t>
      </w:r>
      <w:r>
        <w:rPr>
          <w:rStyle w:val="FootnoteReference"/>
        </w:rPr>
        <w:footnoteReference w:customMarkFollows="1" w:id="1"/>
        <w:t>1</w:t>
      </w:r>
      <w:r>
        <w:t xml:space="preserve"> Ņemot vērā akciju sabiedrības „Parex banka”, valsts akciju sabiedrības „Privatizācijas aģentūra”, Latvijas Bankas, Finanšu un kapitāla tirgus komisijas, kā arī Finanšu ministrijas informāciju, ka sekmīgam akciju sabiedrības „Parex banka” restrukturizācijas procesam nepieciešama tūlītēja jaunas kredītiestādes izveidošana sadarbības līgumu slēgšanai ar akciju sabiedrības „Parex banka” sadarbības partneriem, atbilstoši ar Ministru kabineta </w:t>
      </w:r>
      <w:smartTag w:uri="schemas-tilde-lv/tildestengine" w:element="date">
        <w:smartTagPr>
          <w:attr w:name="Day" w:val="14"/>
          <w:attr w:name="Month" w:val="4"/>
          <w:attr w:name="Year" w:val="2010"/>
        </w:smartTagPr>
        <w:r>
          <w:t>2010. gada 14. aprīļa</w:t>
        </w:r>
      </w:smartTag>
      <w:r>
        <w:t xml:space="preserve"> rīkojumu Nr.208 „Par koncepciju „Par akciju sabiedrības „Parex banka” restrukturizāciju””</w:t>
      </w:r>
      <w:r>
        <w:rPr>
          <w:b/>
        </w:rPr>
        <w:t xml:space="preserve"> </w:t>
      </w:r>
      <w:r>
        <w:t xml:space="preserve">atbalstītajam akciju sabiedrības „Parex banka” restrukturizācijas modelim „Jaunās bankas nodalīšana” un saskaņā ar likuma „Par valsts un pašvaldību kapitāla daļām un kapitālsabiedrībām” 7. panta otro daļu un 98. panta trešo daļu valsts akciju sabiedrībai „Privatizācijas aģentūra” iegūt izšķirošu ietekmi un līdzdalību jaunā kapitālsabiedrībā, nodibinot to kā valsts akciju sabiedrībai „Privatizācijas aģentūra” 100% piederošu kredītiestādi ar pamatkapitālu 4 miljoni latu saskaņā ar Kredītiestāžu likumu. </w:t>
      </w:r>
    </w:p>
    <w:p w:rsidR="00EF2F17" w:rsidRDefault="00EF2F17">
      <w:pPr>
        <w:ind w:firstLine="720"/>
        <w:jc w:val="both"/>
      </w:pPr>
      <w:r>
        <w:rPr>
          <w:strike/>
        </w:rPr>
        <w:t>(DV)</w:t>
      </w:r>
      <w:r>
        <w:rPr>
          <w:rStyle w:val="FootnoteReference"/>
        </w:rPr>
        <w:footnoteReference w:customMarkFollows="1" w:id="2"/>
        <w:t>2</w:t>
      </w:r>
      <w:r>
        <w:t xml:space="preserve"> Pieņemt zināšanai akciju sabiedrības „Parex banka”, valsts akciju sabiedrības „Privatizācijas aģentūra”, Latvijas Bankas, Finanšu un kapitāla tirgus komisijas, kā arī Finanšu ministrijas informāciju, ka jebkādi akciju sabiedrības „Parex banka” aktīvi vai pasīvi uz jauno kredītiestādi tiks pārnesti vai jaunās kredītiestādes saistību uzņemšanās akciju sabiedrības „Parex banka” interesēs (piemēram, galvojumi) tiks veikta tikai pēc tam, kad tiks saņemta Eiropas Komisijas atļauja. </w:t>
      </w:r>
    </w:p>
    <w:p w:rsidR="00EF2F17" w:rsidRDefault="00EF2F17">
      <w:pPr>
        <w:ind w:firstLine="720"/>
        <w:jc w:val="both"/>
      </w:pPr>
      <w:r>
        <w:t>2.</w:t>
      </w:r>
      <w:r w:rsidR="00766D1D">
        <w:t> </w:t>
      </w:r>
      <w:r>
        <w:rPr>
          <w:strike/>
        </w:rPr>
        <w:t>(DV)</w:t>
      </w:r>
      <w:r w:rsidR="00E667C3" w:rsidRPr="00E667C3">
        <w:rPr>
          <w:vertAlign w:val="superscript"/>
        </w:rPr>
        <w:t>2</w:t>
      </w:r>
      <w:r w:rsidR="007D7366" w:rsidRPr="007D7366">
        <w:t> </w:t>
      </w:r>
      <w:r>
        <w:t xml:space="preserve">Valsts akciju sabiedrībai „Privatizācijas aģentūra” šī </w:t>
      </w:r>
      <w:proofErr w:type="spellStart"/>
      <w:r>
        <w:t>protokollēmuma</w:t>
      </w:r>
      <w:proofErr w:type="spellEnd"/>
      <w:r>
        <w:t xml:space="preserve"> 1. punktā minētās jaundibināmās kredītiestādes dibināšanas dokumentus saskaņot ar darba grupu (izveidota ar Ministru kabineta </w:t>
      </w:r>
      <w:smartTag w:uri="schemas-tilde-lv/tildestengine" w:element="date">
        <w:smartTagPr>
          <w:attr w:name="Day" w:val="3"/>
          <w:attr w:name="Month" w:val="12"/>
          <w:attr w:name="Year" w:val="2009"/>
        </w:smartTagPr>
        <w:r>
          <w:t>2009. gada 3. decembra</w:t>
        </w:r>
      </w:smartTag>
      <w:r>
        <w:t xml:space="preserve"> rīkojumu Nr.821) (turpmāk – darba grupa).</w:t>
      </w:r>
    </w:p>
    <w:p w:rsidR="00EF2F17" w:rsidRDefault="00EF2F17">
      <w:pPr>
        <w:ind w:firstLine="720"/>
        <w:jc w:val="both"/>
      </w:pPr>
      <w:r>
        <w:lastRenderedPageBreak/>
        <w:t>3.</w:t>
      </w:r>
      <w:r w:rsidR="00766D1D">
        <w:t> </w:t>
      </w:r>
      <w:r>
        <w:rPr>
          <w:strike/>
        </w:rPr>
        <w:t>(DV)</w:t>
      </w:r>
      <w:r w:rsidR="00E667C3" w:rsidRPr="00E667C3">
        <w:rPr>
          <w:vertAlign w:val="superscript"/>
        </w:rPr>
        <w:t>1</w:t>
      </w:r>
      <w:r w:rsidR="00E667C3">
        <w:t xml:space="preserve"> </w:t>
      </w:r>
      <w:r>
        <w:t xml:space="preserve">Saskaņā ar likuma „Par valsts un pašvaldību kapitāla daļām un kapitālsabiedrībām” 98.panta trešo daļu valsts akciju sabiedrībai „Privatizācijas aģentūra” pēc Eiropas Komisijas atļaujas saņemšanas akciju sabiedrības „Parex banka” Valsts atbalsta restrukturizācijas </w:t>
      </w:r>
      <w:smartTag w:uri="schemas-tilde-lv/tildestengine" w:element="veidnes">
        <w:smartTagPr>
          <w:attr w:name="baseform" w:val="plān|s"/>
          <w:attr w:name="id" w:val="-1"/>
          <w:attr w:name="text" w:val="plāna"/>
        </w:smartTagPr>
        <w:r>
          <w:t>plāna</w:t>
        </w:r>
      </w:smartTag>
      <w:r>
        <w:t xml:space="preserve"> (turpmāk – Valsts atbalsta restrukturizācijas </w:t>
      </w:r>
      <w:smartTag w:uri="schemas-tilde-lv/tildestengine" w:element="veidnes">
        <w:smartTagPr>
          <w:attr w:name="baseform" w:val="plān|s"/>
          <w:attr w:name="id" w:val="-1"/>
          <w:attr w:name="text" w:val="plāns"/>
        </w:smartTagPr>
        <w:r>
          <w:t>plāns</w:t>
        </w:r>
      </w:smartTag>
      <w:r>
        <w:t xml:space="preserve">) ieviešanai palielināt līdzdalību saskaņā ar šī </w:t>
      </w:r>
      <w:proofErr w:type="spellStart"/>
      <w:r>
        <w:t>protokollēmuma</w:t>
      </w:r>
      <w:proofErr w:type="spellEnd"/>
      <w:r>
        <w:t xml:space="preserve"> 1.punktu dibināmā kredītiestādē, palielinot tās pamatkapitālu līdz Valsts atbalsta restrukturizācijas </w:t>
      </w:r>
      <w:smartTag w:uri="schemas-tilde-lv/tildestengine" w:element="veidnes">
        <w:smartTagPr>
          <w:attr w:name="baseform" w:val="plān|s"/>
          <w:attr w:name="id" w:val="-1"/>
          <w:attr w:name="text" w:val="plānā"/>
        </w:smartTagPr>
        <w:r>
          <w:t>plānā</w:t>
        </w:r>
      </w:smartTag>
      <w:r>
        <w:t xml:space="preserve"> paredzētajam apmēram, kas iepriekš saskaņots ar darba grupu.</w:t>
      </w:r>
    </w:p>
    <w:p w:rsidR="00EF2F17" w:rsidRPr="00766D1D" w:rsidRDefault="00EF2F17" w:rsidP="00766D1D">
      <w:pPr>
        <w:ind w:firstLine="709"/>
        <w:jc w:val="both"/>
      </w:pPr>
      <w:r w:rsidRPr="00766D1D">
        <w:t>4.</w:t>
      </w:r>
      <w:r w:rsidR="00766D1D" w:rsidRPr="00766D1D">
        <w:t> </w:t>
      </w:r>
      <w:r w:rsidRPr="00766D1D">
        <w:rPr>
          <w:strike/>
        </w:rPr>
        <w:t>(DV)</w:t>
      </w:r>
      <w:r w:rsidR="00E667C3" w:rsidRPr="00766D1D">
        <w:rPr>
          <w:vertAlign w:val="superscript"/>
        </w:rPr>
        <w:t>1</w:t>
      </w:r>
      <w:r w:rsidRPr="00766D1D">
        <w:t xml:space="preserve"> Lai īstenotu šī </w:t>
      </w:r>
      <w:proofErr w:type="spellStart"/>
      <w:r w:rsidRPr="00766D1D">
        <w:t>protokollēmuma</w:t>
      </w:r>
      <w:proofErr w:type="spellEnd"/>
      <w:r w:rsidRPr="00766D1D">
        <w:t xml:space="preserve"> 1. un 3. punktā noteikto, finanšu ministram atbilstoši Likuma par budžetu un finanšu vadību 36. panta sestajai daļai izsniegt aizdevumu valsts akciju sabiedrībai „Privatizācijas aģentūra” saskaņā ar šī </w:t>
      </w:r>
      <w:proofErr w:type="spellStart"/>
      <w:r w:rsidRPr="00766D1D">
        <w:t>protokollēmuma</w:t>
      </w:r>
      <w:proofErr w:type="spellEnd"/>
      <w:r w:rsidRPr="00766D1D">
        <w:t xml:space="preserve"> 1.punktu nodibinātās kredītiestādes pamatkapitāla finansēšanai līdz Valsts atbalsta restrukturizācijas plānā paredzētajam apmēram, ievērojot šādus nosacījumus:</w:t>
      </w:r>
    </w:p>
    <w:p w:rsidR="00EF2F17" w:rsidRDefault="00EF2F17">
      <w:pPr>
        <w:ind w:left="360" w:firstLine="360"/>
        <w:jc w:val="both"/>
      </w:pPr>
      <w:r>
        <w:t>4.1.</w:t>
      </w:r>
      <w:r w:rsidR="00766D1D" w:rsidRPr="00766D1D">
        <w:t> </w:t>
      </w:r>
      <w:r w:rsidR="00766D1D" w:rsidRPr="00766D1D">
        <w:rPr>
          <w:strike/>
        </w:rPr>
        <w:t>(DV)</w:t>
      </w:r>
      <w:r w:rsidR="00766D1D" w:rsidRPr="00766D1D">
        <w:rPr>
          <w:vertAlign w:val="superscript"/>
        </w:rPr>
        <w:t>1</w:t>
      </w:r>
      <w:r w:rsidR="00766D1D" w:rsidRPr="00766D1D">
        <w:t xml:space="preserve"> </w:t>
      </w:r>
      <w:r>
        <w:t>aizdevums tiek izsniegts uz septiņiem gadiem;</w:t>
      </w:r>
    </w:p>
    <w:p w:rsidR="00EF2F17" w:rsidRDefault="00EF2F17">
      <w:pPr>
        <w:ind w:firstLine="720"/>
        <w:jc w:val="both"/>
      </w:pPr>
      <w:r>
        <w:t>4.2.</w:t>
      </w:r>
      <w:r w:rsidR="00766D1D" w:rsidRPr="00766D1D">
        <w:t> </w:t>
      </w:r>
      <w:r w:rsidR="00766D1D" w:rsidRPr="00766D1D">
        <w:rPr>
          <w:strike/>
        </w:rPr>
        <w:t>(DV)</w:t>
      </w:r>
      <w:r w:rsidR="00766D1D" w:rsidRPr="00766D1D">
        <w:rPr>
          <w:vertAlign w:val="superscript"/>
        </w:rPr>
        <w:t>1</w:t>
      </w:r>
      <w:r w:rsidR="00766D1D" w:rsidRPr="00766D1D">
        <w:t xml:space="preserve"> </w:t>
      </w:r>
      <w:r>
        <w:rPr>
          <w:rStyle w:val="spelle"/>
        </w:rPr>
        <w:t xml:space="preserve">aizdevumam tiek piemērota procentu likme, kas noteikta, pamatojoties uz Valsts kases aizņemšanās procentu likmēm, kuras nosaka atbilstoši Ministru kabineta </w:t>
      </w:r>
      <w:smartTag w:uri="schemas-tilde-lv/tildestengine" w:element="date">
        <w:smartTagPr>
          <w:attr w:name="Day" w:val="19"/>
          <w:attr w:name="Month" w:val="1"/>
          <w:attr w:name="Year" w:val="2010"/>
        </w:smartTagPr>
        <w:r>
          <w:rPr>
            <w:rStyle w:val="spelle"/>
          </w:rPr>
          <w:t>2010.gada 19.janvāra</w:t>
        </w:r>
      </w:smartTag>
      <w:r>
        <w:rPr>
          <w:rStyle w:val="spelle"/>
        </w:rPr>
        <w:t xml:space="preserve"> noteikumiem „Valsts aizdevumu izsniegšanas un apkalpošanas kārtība” un kurām pieskaitīti 0,5 procenti gadā;</w:t>
      </w:r>
    </w:p>
    <w:p w:rsidR="00EF2F17" w:rsidRDefault="00766D1D">
      <w:pPr>
        <w:ind w:firstLine="720"/>
        <w:jc w:val="both"/>
      </w:pPr>
      <w:r>
        <w:t>4.3.</w:t>
      </w:r>
      <w:r w:rsidRPr="00766D1D">
        <w:t> </w:t>
      </w:r>
      <w:r w:rsidRPr="00766D1D">
        <w:rPr>
          <w:strike/>
        </w:rPr>
        <w:t>(DV)</w:t>
      </w:r>
      <w:r w:rsidRPr="00766D1D">
        <w:rPr>
          <w:vertAlign w:val="superscript"/>
        </w:rPr>
        <w:t>1</w:t>
      </w:r>
      <w:r w:rsidRPr="00766D1D">
        <w:t xml:space="preserve"> </w:t>
      </w:r>
      <w:r w:rsidR="00EF2F17">
        <w:t>aizdevums tiek izsniegts, paredzot nodrošinājumu ar attiecīgu skaitu valsts akciju sabiedrības „Privatizācijas aģentūra” īpašumā esošajām „Parex banka” (pēc restrukturizācijas realizēšanas – „Risinājuma bankas”) un „Jaunās bankas” akcijām un attiecīgajiem prasījumiem, kas izriet no valsts akciju sabiedrības „Privatizācijas aģentūra” ieguldījuma attiecīgo banku subordinētajā kapitālā.</w:t>
      </w:r>
    </w:p>
    <w:p w:rsidR="00EF2F17" w:rsidRDefault="00EF2F17" w:rsidP="003B7AF9">
      <w:pPr>
        <w:ind w:firstLine="720"/>
        <w:jc w:val="both"/>
      </w:pPr>
      <w:r>
        <w:t xml:space="preserve">5. </w:t>
      </w:r>
      <w:r w:rsidRPr="00CA6393">
        <w:rPr>
          <w:strike/>
        </w:rPr>
        <w:t>(DV)</w:t>
      </w:r>
      <w:r w:rsidR="00CA6393" w:rsidRPr="00CA6393">
        <w:t xml:space="preserve"> </w:t>
      </w:r>
      <w:r w:rsidR="00E667C3">
        <w:rPr>
          <w:rStyle w:val="FootnoteReference"/>
          <w:strike/>
        </w:rPr>
        <w:footnoteReference w:id="3"/>
      </w:r>
      <w:r w:rsidR="00766D1D">
        <w:t xml:space="preserve"> </w:t>
      </w:r>
      <w:r w:rsidR="00FC7CE6" w:rsidRPr="0055440B">
        <w:rPr>
          <w:strike/>
        </w:rPr>
        <w:t>IP</w:t>
      </w:r>
      <w:r w:rsidR="0055440B">
        <w:rPr>
          <w:rStyle w:val="FootnoteReference"/>
        </w:rPr>
        <w:footnoteReference w:id="4"/>
      </w:r>
      <w:r w:rsidR="0055440B">
        <w:rPr>
          <w:strike/>
        </w:rPr>
        <w:t xml:space="preserve"> </w:t>
      </w:r>
      <w:r w:rsidR="003B7AF9">
        <w:t xml:space="preserve">5. Finanšu ministram, izsniedzot šī </w:t>
      </w:r>
      <w:proofErr w:type="spellStart"/>
      <w:r w:rsidR="003B7AF9">
        <w:t>protokollēmuma</w:t>
      </w:r>
      <w:proofErr w:type="spellEnd"/>
      <w:r w:rsidR="003B7AF9">
        <w:t xml:space="preserve"> 4. punktā norādīto aizdevumu valsts akciju sabiedrībai „Privatizācijas aģentūra”, līdz 2010. gada beigām nepiemērot aizdevumam šī </w:t>
      </w:r>
      <w:proofErr w:type="spellStart"/>
      <w:r w:rsidR="003B7AF9">
        <w:t>protokollēmuma</w:t>
      </w:r>
      <w:proofErr w:type="spellEnd"/>
      <w:proofErr w:type="gramStart"/>
      <w:r w:rsidR="003B7AF9">
        <w:t xml:space="preserve">  </w:t>
      </w:r>
      <w:proofErr w:type="gramEnd"/>
      <w:r w:rsidR="003B7AF9">
        <w:t>4.2. apakšpunktā noteikto procentu likmi, kā arī vienoties  par „Jaunajā bankā” valsts atbalsta pasākumu ietvaros izvietoto Valsts kases termiņnoguldījumu likmju palielināšanu uz tādiem nosacījumiem, lai paaugstinātie valsts budžeta ieņēmumi no termiņnoguldījumu procentiem būtu līdzvērtīgi iespējamajiem valsts budžeta ieņēmumiem no 4. punktā norādītā aizdevuma valsts akciju sabiedrībai „Privatizācijas aģentūra”.</w:t>
      </w:r>
      <w:r w:rsidR="0055440B">
        <w:rPr>
          <w:strike/>
        </w:rPr>
        <w:t xml:space="preserve"> </w:t>
      </w:r>
    </w:p>
    <w:p w:rsidR="00EF2F17" w:rsidRDefault="00EF2F17">
      <w:pPr>
        <w:ind w:firstLine="720"/>
        <w:jc w:val="both"/>
      </w:pPr>
      <w:r>
        <w:t xml:space="preserve">6. </w:t>
      </w:r>
      <w:r w:rsidRPr="00CA6393">
        <w:rPr>
          <w:strike/>
        </w:rPr>
        <w:t>(DV)</w:t>
      </w:r>
      <w:r w:rsidR="00CA6393" w:rsidRPr="00CA6393">
        <w:rPr>
          <w:vertAlign w:val="superscript"/>
        </w:rPr>
        <w:t xml:space="preserve"> 3</w:t>
      </w:r>
      <w:r>
        <w:t xml:space="preserve"> </w:t>
      </w:r>
      <w:r w:rsidR="00FC7CE6" w:rsidRPr="0055440B">
        <w:rPr>
          <w:strike/>
        </w:rPr>
        <w:t>IP</w:t>
      </w:r>
      <w:r w:rsidR="0055440B" w:rsidRPr="0055440B">
        <w:rPr>
          <w:vertAlign w:val="superscript"/>
        </w:rPr>
        <w:t>4</w:t>
      </w:r>
      <w:r w:rsidR="0055440B">
        <w:t xml:space="preserve"> </w:t>
      </w:r>
      <w:r w:rsidR="003B7AF9">
        <w:t xml:space="preserve">Valsts akciju sabiedrībai „Privatizācijas aģentūra” pieņemt nepieciešamos lēmumus, lai nodrošinātu šī </w:t>
      </w:r>
      <w:proofErr w:type="spellStart"/>
      <w:r w:rsidR="003B7AF9">
        <w:t>protokollēmuma</w:t>
      </w:r>
      <w:proofErr w:type="spellEnd"/>
      <w:r w:rsidR="003B7AF9">
        <w:t xml:space="preserve"> izpildi.</w:t>
      </w:r>
      <w:proofErr w:type="gramStart"/>
      <w:r w:rsidR="0055440B">
        <w:t xml:space="preserve">   </w:t>
      </w:r>
      <w:proofErr w:type="gramEnd"/>
    </w:p>
    <w:p w:rsidR="00EF2F17" w:rsidRDefault="00EF2F17">
      <w:pPr>
        <w:ind w:firstLine="720"/>
        <w:jc w:val="both"/>
      </w:pPr>
      <w:r>
        <w:lastRenderedPageBreak/>
        <w:t xml:space="preserve">7. </w:t>
      </w:r>
      <w:r w:rsidRPr="00CA6393">
        <w:rPr>
          <w:strike/>
        </w:rPr>
        <w:t>(DV)</w:t>
      </w:r>
      <w:r w:rsidR="001B2A1A" w:rsidRPr="00E667C3">
        <w:rPr>
          <w:vertAlign w:val="superscript"/>
        </w:rPr>
        <w:t xml:space="preserve"> </w:t>
      </w:r>
      <w:r w:rsidR="00E667C3" w:rsidRPr="00CA6393">
        <w:rPr>
          <w:vertAlign w:val="superscript"/>
        </w:rPr>
        <w:t>3</w:t>
      </w:r>
      <w:r w:rsidR="00766D1D" w:rsidRPr="00766D1D">
        <w:t xml:space="preserve"> </w:t>
      </w:r>
      <w:r w:rsidR="0055440B" w:rsidRPr="0055440B">
        <w:rPr>
          <w:strike/>
        </w:rPr>
        <w:t>IP</w:t>
      </w:r>
      <w:r w:rsidR="0055440B" w:rsidRPr="0055440B">
        <w:rPr>
          <w:vertAlign w:val="superscript"/>
        </w:rPr>
        <w:t>4</w:t>
      </w:r>
      <w:r w:rsidR="0055440B">
        <w:t xml:space="preserve"> </w:t>
      </w:r>
      <w:r w:rsidR="003B7AF9">
        <w:t xml:space="preserve">Ņemot vērā valsts akciju sabiedrības „Privatizācija aģentūra” sniegto informāciju, Ekonomikas ministrijai sadarbībā ar Finanšu ministriju izvērtēt un līdz 2010.gada 1.jūlijam iesniegt Ministru kabinetā priekšlikumus par akciju sabiedrībai „Parex banka” un šī </w:t>
      </w:r>
      <w:proofErr w:type="spellStart"/>
      <w:r w:rsidR="003B7AF9">
        <w:t>protokollēmuma</w:t>
      </w:r>
      <w:proofErr w:type="spellEnd"/>
      <w:r w:rsidR="003B7AF9">
        <w:t xml:space="preserve"> 1.punktā minētās kredītiestādes turpmāko akciju pārvaldības modeli, kā arī sniegtā un restrukturizācijas ietvaros paredzamā valsts atbalsta atspoguļošanu kārtējā gada valsts budžeta likumā, lai pēc iespējas mazinātu ietekmi uz valsts budžeta deficītu.</w:t>
      </w:r>
      <w:proofErr w:type="gramStart"/>
      <w:r w:rsidR="0055440B">
        <w:t xml:space="preserve">  </w:t>
      </w:r>
      <w:proofErr w:type="gramEnd"/>
    </w:p>
    <w:p w:rsidR="00EF2F17" w:rsidRDefault="00EF2F17">
      <w:pPr>
        <w:ind w:firstLine="720"/>
        <w:jc w:val="both"/>
      </w:pPr>
      <w:r>
        <w:t xml:space="preserve">8. </w:t>
      </w:r>
      <w:r w:rsidRPr="00CA6393">
        <w:rPr>
          <w:strike/>
        </w:rPr>
        <w:t>(DV)</w:t>
      </w:r>
      <w:r>
        <w:t xml:space="preserve"> </w:t>
      </w:r>
      <w:r w:rsidR="00CA6393" w:rsidRPr="00CA6393">
        <w:rPr>
          <w:vertAlign w:val="superscript"/>
        </w:rPr>
        <w:t>3</w:t>
      </w:r>
      <w:r w:rsidR="00FC7CE6">
        <w:rPr>
          <w:vertAlign w:val="superscript"/>
        </w:rPr>
        <w:t xml:space="preserve"> </w:t>
      </w:r>
      <w:r w:rsidR="0055440B" w:rsidRPr="0055440B">
        <w:rPr>
          <w:strike/>
        </w:rPr>
        <w:t>IP</w:t>
      </w:r>
      <w:r w:rsidR="0055440B" w:rsidRPr="0055440B">
        <w:rPr>
          <w:vertAlign w:val="superscript"/>
        </w:rPr>
        <w:t>4</w:t>
      </w:r>
      <w:r w:rsidR="0055440B">
        <w:t xml:space="preserve"> </w:t>
      </w:r>
      <w:r w:rsidR="003B7AF9">
        <w:t>Valsts atbalsta restrukturizācijas plāna saskaņošanas procesā ar Eiropas Komisiju valsts akciju sabiedrībai „Privatizācija aģentūra” sadarbībā ar vadošo finanšu konsultantu „</w:t>
      </w:r>
      <w:proofErr w:type="spellStart"/>
      <w:r w:rsidR="003B7AF9">
        <w:t>Nomura</w:t>
      </w:r>
      <w:proofErr w:type="spellEnd"/>
      <w:r w:rsidR="003B7AF9">
        <w:t xml:space="preserve"> </w:t>
      </w:r>
      <w:proofErr w:type="spellStart"/>
      <w:r w:rsidR="003B7AF9">
        <w:t>International</w:t>
      </w:r>
      <w:proofErr w:type="spellEnd"/>
      <w:r w:rsidR="003B7AF9">
        <w:t xml:space="preserve"> </w:t>
      </w:r>
      <w:proofErr w:type="spellStart"/>
      <w:r w:rsidR="003B7AF9">
        <w:t>plc</w:t>
      </w:r>
      <w:proofErr w:type="spellEnd"/>
      <w:r w:rsidR="003B7AF9">
        <w:t>” un akciju sabiedrību „Parex banka” izstrādāt ar darba grupu saskaņotus priekšlikumus par aktīvu un pasīvu kopumu, kas ir saistīti ar akciju sabiedrības „Parex banka” darbību Neatkarīgo valstu sadraudzības valstīs, ātrākas atsavināšanas iespējām. Pēc saskaņošanas ar darba grupu Finanšu ministrijai minētos priekšlikumus iesniegt Eiropas Komisijā. Līdz 2010.gada 1.jūlijam Finanšu ministrijai izstrādāt un iesniegt izskatīšanai Ministru kabineta sēdē informatīvo ziņojumu par Valsts atbalsta restrukturizācijas plāna saskaņošanas gaitu ar Eiropas Komisiju.</w:t>
      </w:r>
      <w:proofErr w:type="gramStart"/>
      <w:r w:rsidR="0055440B">
        <w:t xml:space="preserve">  </w:t>
      </w:r>
      <w:proofErr w:type="gramEnd"/>
    </w:p>
    <w:p w:rsidR="00EF2F17" w:rsidRDefault="00EF2F17" w:rsidP="0016050B">
      <w:pPr>
        <w:ind w:firstLine="720"/>
        <w:jc w:val="both"/>
      </w:pPr>
      <w:r>
        <w:t xml:space="preserve">9. </w:t>
      </w:r>
      <w:r w:rsidRPr="00CA6393">
        <w:rPr>
          <w:strike/>
        </w:rPr>
        <w:t>(DV)</w:t>
      </w:r>
      <w:r w:rsidR="00CA6393" w:rsidRPr="00CA6393">
        <w:t xml:space="preserve"> </w:t>
      </w:r>
      <w:r w:rsidR="00CA6393" w:rsidRPr="00CA6393">
        <w:rPr>
          <w:vertAlign w:val="superscript"/>
        </w:rPr>
        <w:t>3</w:t>
      </w:r>
      <w:r w:rsidR="00FC7CE6">
        <w:rPr>
          <w:vertAlign w:val="superscript"/>
        </w:rPr>
        <w:t xml:space="preserve"> </w:t>
      </w:r>
      <w:r w:rsidR="0055440B" w:rsidRPr="0055440B">
        <w:rPr>
          <w:strike/>
        </w:rPr>
        <w:t>IP</w:t>
      </w:r>
      <w:r w:rsidR="0055440B" w:rsidRPr="0055440B">
        <w:rPr>
          <w:vertAlign w:val="superscript"/>
        </w:rPr>
        <w:t>4</w:t>
      </w:r>
      <w:r w:rsidR="0055440B">
        <w:t xml:space="preserve"> </w:t>
      </w:r>
      <w:r w:rsidR="003B7AF9">
        <w:t>Noteikt, ka valsts akciju sabiedrības „Privatizācijas aģentūra” valdes locekļi neatbild par zaudējumiem, kas nodarīti valsts akciju sabiedrībai,</w:t>
      </w:r>
      <w:proofErr w:type="gramStart"/>
      <w:r w:rsidR="003B7AF9">
        <w:t xml:space="preserve">  </w:t>
      </w:r>
      <w:proofErr w:type="gramEnd"/>
      <w:r w:rsidR="003B7AF9">
        <w:t xml:space="preserve">ja šī </w:t>
      </w:r>
      <w:proofErr w:type="spellStart"/>
      <w:r w:rsidR="003B7AF9">
        <w:t>protokollēmuma</w:t>
      </w:r>
      <w:proofErr w:type="spellEnd"/>
      <w:r w:rsidR="003B7AF9">
        <w:t xml:space="preserve"> 4.punktā minētā aizdevuma atdošana nav iespējama no valsts akciju sabiedrības „Privatizācijas aģentūra” valdes locekļiem neatkarīgu iemeslu dēļ, ņemot vērā, ka valsts akciju sabiedrības „Privatizācijas aģentūra” valdes locekļi rīkojas saskaņā ar Ministru kabineta lēmumu. Ekonomikas ministrijai kā valsts akciju sabiedrības „Privatizācijas aģentūra” akciju turētājam saskaņā ar likuma “Par valsts un pašvaldību kapitāla daļām un kapitālsabiedrībām” 34.pantu un Komerclikuma 173.pantu lemt par valsts akciju sabiedrības „Privatizācijas aģentūra” valdes locekļu atbrīvošanu no atbildības, ja šī </w:t>
      </w:r>
      <w:proofErr w:type="spellStart"/>
      <w:r w:rsidR="003B7AF9">
        <w:t>protokollēmuma</w:t>
      </w:r>
      <w:proofErr w:type="spellEnd"/>
      <w:r w:rsidR="003B7AF9">
        <w:t xml:space="preserve"> 4.punktā minētā aizdevuma atdošana nav iespējama no valsts akciju sabiedrības „Privatizācijas aģentūra” valdes locekļiem neatkarīgu iemeslu dēļ.</w:t>
      </w:r>
      <w:proofErr w:type="gramStart"/>
      <w:r w:rsidR="003B7AF9">
        <w:t xml:space="preserve"> </w:t>
      </w:r>
      <w:r w:rsidR="0055440B">
        <w:t xml:space="preserve">  </w:t>
      </w:r>
      <w:proofErr w:type="gramEnd"/>
    </w:p>
    <w:p w:rsidR="00EF2F17" w:rsidRDefault="00EF2F17" w:rsidP="0016050B">
      <w:pPr>
        <w:ind w:firstLine="720"/>
        <w:jc w:val="both"/>
      </w:pPr>
      <w:r>
        <w:t>10</w:t>
      </w:r>
      <w:r w:rsidRPr="00766D1D">
        <w:t>.</w:t>
      </w:r>
      <w:r w:rsidR="00766D1D" w:rsidRPr="00766D1D">
        <w:t xml:space="preserve"> </w:t>
      </w:r>
      <w:r w:rsidRPr="00CA6393">
        <w:rPr>
          <w:strike/>
        </w:rPr>
        <w:t>(DV)</w:t>
      </w:r>
      <w:r w:rsidR="00CA6393" w:rsidRPr="00CA6393">
        <w:t xml:space="preserve"> </w:t>
      </w:r>
      <w:r w:rsidR="00CA6393" w:rsidRPr="00CA6393">
        <w:rPr>
          <w:vertAlign w:val="superscript"/>
        </w:rPr>
        <w:t>3</w:t>
      </w:r>
      <w:r w:rsidR="00FC7CE6">
        <w:rPr>
          <w:vertAlign w:val="superscript"/>
        </w:rPr>
        <w:t xml:space="preserve"> </w:t>
      </w:r>
      <w:r w:rsidR="0055440B" w:rsidRPr="0055440B">
        <w:rPr>
          <w:strike/>
        </w:rPr>
        <w:t>IP</w:t>
      </w:r>
      <w:r w:rsidR="0055440B" w:rsidRPr="0055440B">
        <w:rPr>
          <w:vertAlign w:val="superscript"/>
        </w:rPr>
        <w:t>4</w:t>
      </w:r>
      <w:r w:rsidR="003B7AF9">
        <w:rPr>
          <w:vertAlign w:val="superscript"/>
        </w:rPr>
        <w:t xml:space="preserve"> </w:t>
      </w:r>
      <w:r w:rsidR="003B7AF9">
        <w:t xml:space="preserve">Finanšu ministrijai izstrādāt un līdz 2010.gada 15.jūnijam iesniegt izskatīšanai Ministru kabineta sēdē grozījumus Ministru kabineta 2009.gada 3.decembra rīkojumā Nr.821 „Par darba grupu”, lai precizētu darba grupai noteiktos uzdevumus atbilstoši šajā </w:t>
      </w:r>
      <w:proofErr w:type="spellStart"/>
      <w:r w:rsidR="003B7AF9">
        <w:t>protokollēmumā</w:t>
      </w:r>
      <w:proofErr w:type="spellEnd"/>
      <w:r w:rsidR="003B7AF9">
        <w:t xml:space="preserve"> noteiktajam.</w:t>
      </w:r>
    </w:p>
    <w:p w:rsidR="00EF2F17" w:rsidRPr="0068719C" w:rsidRDefault="00EF2F17">
      <w:pPr>
        <w:tabs>
          <w:tab w:val="left" w:pos="6804"/>
        </w:tabs>
        <w:ind w:firstLine="709"/>
        <w:jc w:val="both"/>
        <w:rPr>
          <w:sz w:val="24"/>
          <w:szCs w:val="24"/>
        </w:rPr>
      </w:pPr>
    </w:p>
    <w:p w:rsidR="00EF2F17" w:rsidRDefault="00EF2F17">
      <w:pPr>
        <w:pStyle w:val="naisf"/>
        <w:tabs>
          <w:tab w:val="left" w:pos="6840"/>
        </w:tabs>
        <w:spacing w:before="0" w:after="0"/>
        <w:ind w:firstLine="720"/>
        <w:rPr>
          <w:sz w:val="28"/>
          <w:szCs w:val="28"/>
        </w:rPr>
      </w:pPr>
      <w:r>
        <w:rPr>
          <w:sz w:val="28"/>
          <w:szCs w:val="28"/>
        </w:rPr>
        <w:t xml:space="preserve">Ministru prezidents </w:t>
      </w:r>
      <w:r>
        <w:rPr>
          <w:sz w:val="28"/>
          <w:szCs w:val="28"/>
        </w:rPr>
        <w:tab/>
        <w:t>V.Dombrovskis</w:t>
      </w:r>
    </w:p>
    <w:p w:rsidR="00EF2F17" w:rsidRPr="0068719C" w:rsidRDefault="00EF2F17">
      <w:pPr>
        <w:tabs>
          <w:tab w:val="left" w:pos="6804"/>
        </w:tabs>
        <w:ind w:firstLine="709"/>
        <w:jc w:val="both"/>
        <w:rPr>
          <w:sz w:val="24"/>
          <w:szCs w:val="24"/>
        </w:rPr>
      </w:pPr>
    </w:p>
    <w:p w:rsidR="00EF2F17" w:rsidRDefault="00EF2F17">
      <w:pPr>
        <w:tabs>
          <w:tab w:val="left" w:pos="6804"/>
        </w:tabs>
        <w:ind w:firstLine="709"/>
        <w:jc w:val="both"/>
      </w:pPr>
      <w:r>
        <w:t>Finanšu ministrs</w:t>
      </w:r>
      <w:r>
        <w:tab/>
        <w:t xml:space="preserve">E.Repše </w:t>
      </w:r>
    </w:p>
    <w:p w:rsidR="00EF2F17" w:rsidRPr="0068719C" w:rsidRDefault="00EF2F17">
      <w:pPr>
        <w:tabs>
          <w:tab w:val="left" w:pos="6804"/>
        </w:tabs>
        <w:ind w:firstLine="709"/>
        <w:jc w:val="both"/>
        <w:rPr>
          <w:sz w:val="24"/>
          <w:szCs w:val="24"/>
          <w:lang w:val="sv-SE"/>
        </w:rPr>
      </w:pPr>
    </w:p>
    <w:p w:rsidR="00EF2F17" w:rsidRDefault="00EF2F17">
      <w:pPr>
        <w:tabs>
          <w:tab w:val="left" w:pos="6804"/>
        </w:tabs>
        <w:ind w:firstLine="709"/>
        <w:jc w:val="both"/>
        <w:rPr>
          <w:lang w:val="de-DE"/>
        </w:rPr>
      </w:pPr>
      <w:r>
        <w:rPr>
          <w:lang w:val="sv-SE"/>
        </w:rPr>
        <w:t>Valsts kan</w:t>
      </w:r>
      <w:r>
        <w:rPr>
          <w:lang w:val="de-DE"/>
        </w:rPr>
        <w:t>celejas direktora vietā</w:t>
      </w:r>
      <w:r>
        <w:t xml:space="preserve"> –</w:t>
      </w:r>
    </w:p>
    <w:p w:rsidR="00EF2F17" w:rsidRDefault="00EF2F17">
      <w:pPr>
        <w:tabs>
          <w:tab w:val="left" w:pos="6804"/>
        </w:tabs>
        <w:ind w:firstLine="709"/>
        <w:jc w:val="both"/>
      </w:pPr>
      <w:r>
        <w:rPr>
          <w:lang w:val="de-DE"/>
        </w:rPr>
        <w:t>Direktora vietniece tiesību aktu lietās</w:t>
      </w:r>
      <w:r>
        <w:rPr>
          <w:lang w:val="de-DE"/>
        </w:rPr>
        <w:tab/>
        <w:t>E.Dreimane</w:t>
      </w:r>
    </w:p>
    <w:sectPr w:rsidR="00EF2F17" w:rsidSect="0068719C">
      <w:headerReference w:type="even" r:id="rId8"/>
      <w:headerReference w:type="default" r:id="rId9"/>
      <w:footerReference w:type="even" r:id="rId10"/>
      <w:footerReference w:type="default" r:id="rId11"/>
      <w:headerReference w:type="first" r:id="rId12"/>
      <w:footerReference w:type="first" r:id="rId13"/>
      <w:footnotePr>
        <w:numStart w:val="3"/>
      </w:footnotePr>
      <w:type w:val="continuous"/>
      <w:pgSz w:w="11906" w:h="16838" w:code="9"/>
      <w:pgMar w:top="1276" w:right="1134" w:bottom="568" w:left="1701" w:header="709" w:footer="5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7C3" w:rsidRDefault="00E667C3">
      <w:r>
        <w:separator/>
      </w:r>
    </w:p>
  </w:endnote>
  <w:endnote w:type="continuationSeparator" w:id="0">
    <w:p w:rsidR="00E667C3" w:rsidRDefault="00E6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36" w:rsidRDefault="00E97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7C3" w:rsidRDefault="00E667C3">
    <w:pPr>
      <w:pStyle w:val="Footer"/>
      <w:tabs>
        <w:tab w:val="left" w:pos="3686"/>
      </w:tabs>
      <w:jc w:val="right"/>
    </w:pPr>
    <w:r>
      <w:rPr>
        <w:rStyle w:val="PageNumber"/>
        <w:sz w:val="20"/>
      </w:rPr>
      <w:fldChar w:fldCharType="begin"/>
    </w:r>
    <w:r>
      <w:rPr>
        <w:rStyle w:val="PageNumber"/>
        <w:sz w:val="20"/>
      </w:rPr>
      <w:instrText xml:space="preserve"> PAGE </w:instrText>
    </w:r>
    <w:r>
      <w:rPr>
        <w:rStyle w:val="PageNumber"/>
        <w:sz w:val="20"/>
      </w:rPr>
      <w:fldChar w:fldCharType="separate"/>
    </w:r>
    <w:r w:rsidR="00E97036">
      <w:rPr>
        <w:rStyle w:val="PageNumber"/>
        <w:noProof/>
        <w:sz w:val="20"/>
      </w:rPr>
      <w:t>1</w:t>
    </w:r>
    <w:r>
      <w:rPr>
        <w:rStyle w:val="PageNumber"/>
        <w:sz w:val="20"/>
      </w:rPr>
      <w:fldChar w:fldCharType="end"/>
    </w:r>
    <w:r>
      <w:rPr>
        <w:rStyle w:val="PageNumber"/>
        <w:sz w:val="20"/>
      </w:rPr>
      <w:t>-</w:t>
    </w:r>
    <w:r>
      <w:rPr>
        <w:rStyle w:val="PageNumber"/>
        <w:sz w:val="20"/>
      </w:rPr>
      <w:fldChar w:fldCharType="begin"/>
    </w:r>
    <w:r>
      <w:rPr>
        <w:rStyle w:val="PageNumber"/>
        <w:sz w:val="20"/>
      </w:rPr>
      <w:instrText xml:space="preserve"> NUMPAGES </w:instrText>
    </w:r>
    <w:r>
      <w:rPr>
        <w:rStyle w:val="PageNumber"/>
        <w:sz w:val="20"/>
      </w:rPr>
      <w:fldChar w:fldCharType="separate"/>
    </w:r>
    <w:r w:rsidR="00E97036">
      <w:rPr>
        <w:rStyle w:val="PageNumber"/>
        <w:noProof/>
        <w:sz w:val="20"/>
      </w:rPr>
      <w:t>3</w:t>
    </w:r>
    <w:r>
      <w:rPr>
        <w:rStyle w:val="PageNumber"/>
        <w:sz w:val="20"/>
      </w:rPr>
      <w:fldChar w:fldCharType="end"/>
    </w:r>
  </w:p>
  <w:p w:rsidR="00C85C30" w:rsidRDefault="00E667C3" w:rsidP="00C85C30">
    <w:pPr>
      <w:jc w:val="center"/>
      <w:rPr>
        <w:b/>
        <w:bCs/>
        <w:strike/>
      </w:rPr>
    </w:pPr>
    <w:r w:rsidRPr="00A359EC">
      <w:rPr>
        <w:b/>
        <w:bCs/>
        <w:strike/>
      </w:rPr>
      <w:t>DIENESTA VAJADZĪBĀM</w:t>
    </w:r>
  </w:p>
  <w:p w:rsidR="00E667C3" w:rsidRPr="00A359EC" w:rsidRDefault="00C85C30" w:rsidP="00C85C30">
    <w:pPr>
      <w:jc w:val="center"/>
      <w:rPr>
        <w:b/>
        <w:bCs/>
        <w:strike/>
      </w:rPr>
    </w:pPr>
    <w:r>
      <w:rPr>
        <w:lang w:val="de-DE"/>
      </w:rPr>
      <w:t>Nav klasificēts</w:t>
    </w:r>
  </w:p>
  <w:p w:rsidR="00E667C3" w:rsidRPr="00A359EC" w:rsidRDefault="00E667C3">
    <w:pPr>
      <w:pStyle w:val="Footer"/>
      <w:rPr>
        <w:strike/>
        <w:sz w:val="16"/>
      </w:rPr>
    </w:pPr>
  </w:p>
  <w:p w:rsidR="00E667C3" w:rsidRDefault="00E667C3">
    <w:pPr>
      <w:pStyle w:val="Footer"/>
      <w:rPr>
        <w:sz w:val="16"/>
        <w:szCs w:val="20"/>
      </w:rPr>
    </w:pPr>
    <w:r>
      <w:rPr>
        <w:sz w:val="16"/>
        <w:szCs w:val="20"/>
      </w:rPr>
      <w:fldChar w:fldCharType="begin"/>
    </w:r>
    <w:r>
      <w:rPr>
        <w:sz w:val="16"/>
        <w:szCs w:val="20"/>
      </w:rPr>
      <w:instrText xml:space="preserve"> FILENAME </w:instrText>
    </w:r>
    <w:r>
      <w:rPr>
        <w:sz w:val="16"/>
        <w:szCs w:val="20"/>
      </w:rPr>
      <w:fldChar w:fldCharType="separate"/>
    </w:r>
    <w:r w:rsidR="001768A2">
      <w:rPr>
        <w:noProof/>
        <w:sz w:val="16"/>
        <w:szCs w:val="20"/>
      </w:rPr>
      <w:t>Prot_izr_28_57_DV_dekl</w:t>
    </w:r>
    <w:r>
      <w:rPr>
        <w:sz w:val="16"/>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36" w:rsidRDefault="00E97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7C3" w:rsidRDefault="00E667C3">
      <w:r>
        <w:separator/>
      </w:r>
    </w:p>
  </w:footnote>
  <w:footnote w:type="continuationSeparator" w:id="0">
    <w:p w:rsidR="00E667C3" w:rsidRDefault="00E667C3">
      <w:r>
        <w:continuationSeparator/>
      </w:r>
    </w:p>
  </w:footnote>
  <w:footnote w:id="1">
    <w:p w:rsidR="00E667C3" w:rsidRDefault="00E667C3">
      <w:pPr>
        <w:pStyle w:val="FootnoteText"/>
      </w:pPr>
      <w:r>
        <w:rPr>
          <w:rStyle w:val="FootnoteReference"/>
        </w:rPr>
        <w:t>1</w:t>
      </w:r>
      <w:r>
        <w:t xml:space="preserve"> </w:t>
      </w:r>
      <w:proofErr w:type="spellStart"/>
      <w:r w:rsidR="00D73B38">
        <w:t>deklasificēts</w:t>
      </w:r>
      <w:proofErr w:type="spellEnd"/>
      <w:r w:rsidR="00D73B38">
        <w:t xml:space="preserve"> </w:t>
      </w:r>
      <w:r>
        <w:t xml:space="preserve">1.punkta pirmais teikums, 3. un 4.punkts saskaņā ar Finanšu ministrijas </w:t>
      </w:r>
      <w:smartTag w:uri="schemas-tilde-lv/tildestengine" w:element="date">
        <w:smartTagPr>
          <w:attr w:name="Day" w:val="14"/>
          <w:attr w:name="Month" w:val="6"/>
          <w:attr w:name="Year" w:val="2010"/>
        </w:smartTagPr>
        <w:r>
          <w:t>14.06.2010</w:t>
        </w:r>
      </w:smartTag>
      <w:r>
        <w:t>. vēstuli Nr.</w:t>
      </w:r>
      <w:smartTag w:uri="schemas-tilde-lv/tildestengine" w:element="date">
        <w:smartTagPr>
          <w:attr w:name="Day" w:val="1"/>
          <w:attr w:name="Month" w:val="1"/>
          <w:attr w:name="Year" w:val="2007"/>
        </w:smartTagPr>
        <w:r>
          <w:t>7-1-01</w:t>
        </w:r>
      </w:smartTag>
      <w:r>
        <w:t>/5040</w:t>
      </w:r>
    </w:p>
  </w:footnote>
  <w:footnote w:id="2">
    <w:p w:rsidR="00E667C3" w:rsidRDefault="00E667C3">
      <w:pPr>
        <w:pStyle w:val="FootnoteText"/>
      </w:pPr>
      <w:r>
        <w:rPr>
          <w:rStyle w:val="FootnoteReference"/>
        </w:rPr>
        <w:t>2</w:t>
      </w:r>
      <w:r>
        <w:t xml:space="preserve">  </w:t>
      </w:r>
      <w:proofErr w:type="spellStart"/>
      <w:r w:rsidR="00D73B38">
        <w:t>deklasificēts</w:t>
      </w:r>
      <w:proofErr w:type="spellEnd"/>
      <w:r w:rsidR="00D73B38">
        <w:t xml:space="preserve"> </w:t>
      </w:r>
      <w:r>
        <w:t xml:space="preserve">1.punkta otrais teikums un 2.punkts saskaņā ar Finanšu ministrijas </w:t>
      </w:r>
      <w:smartTag w:uri="schemas-tilde-lv/tildestengine" w:element="date">
        <w:smartTagPr>
          <w:attr w:name="Day" w:val="1"/>
          <w:attr w:name="Month" w:val="4"/>
          <w:attr w:name="Year" w:val="2011"/>
        </w:smartTagPr>
        <w:r>
          <w:t>01.04.2011</w:t>
        </w:r>
      </w:smartTag>
      <w:r>
        <w:t>. vēstuli Nr.</w:t>
      </w:r>
      <w:smartTag w:uri="schemas-tilde-lv/tildestengine" w:element="date">
        <w:smartTagPr>
          <w:attr w:name="Day" w:val="5"/>
          <w:attr w:name="Month" w:val="1"/>
          <w:attr w:name="Year" w:val="2017"/>
        </w:smartTagPr>
        <w:r>
          <w:t>17-1-05</w:t>
        </w:r>
      </w:smartTag>
      <w:r>
        <w:t>/40-dv</w:t>
      </w:r>
    </w:p>
  </w:footnote>
  <w:footnote w:id="3">
    <w:p w:rsidR="00E667C3" w:rsidRDefault="00E667C3" w:rsidP="00E667C3">
      <w:pPr>
        <w:pStyle w:val="FootnoteText"/>
      </w:pPr>
      <w:r>
        <w:rPr>
          <w:rStyle w:val="FootnoteReference"/>
        </w:rPr>
        <w:footnoteRef/>
      </w:r>
      <w:r>
        <w:t xml:space="preserve"> </w:t>
      </w:r>
      <w:proofErr w:type="spellStart"/>
      <w:r>
        <w:t>protokollēmumam</w:t>
      </w:r>
      <w:proofErr w:type="spellEnd"/>
      <w:r>
        <w:t xml:space="preserve"> mainīts statuss, nosakot statusu "Ierobežotas pieejamības informācija" pastāvīgi saskaņā ar Informācijas atklātības likuma 5.panta otrās daļas 1.punktu un ņemot vērā Finanšu ministrijas 13.04.2012. vēstuli Nr.17-1-03/2451</w:t>
      </w:r>
    </w:p>
  </w:footnote>
  <w:footnote w:id="4">
    <w:p w:rsidR="0055440B" w:rsidRDefault="0055440B">
      <w:pPr>
        <w:pStyle w:val="FootnoteText"/>
      </w:pPr>
      <w:r>
        <w:rPr>
          <w:rStyle w:val="FootnoteReference"/>
        </w:rPr>
        <w:footnoteRef/>
      </w:r>
      <w:r>
        <w:t xml:space="preserve"> </w:t>
      </w:r>
      <w:proofErr w:type="spellStart"/>
      <w:r w:rsidRPr="000970C2">
        <w:t>deklasificēts</w:t>
      </w:r>
      <w:proofErr w:type="spellEnd"/>
      <w:r w:rsidRPr="000970C2">
        <w:t xml:space="preserve"> </w:t>
      </w:r>
      <w:r w:rsidR="003B7AF9">
        <w:t xml:space="preserve">5., 6., 7., 8., 9. Un 10.punkts </w:t>
      </w:r>
      <w:r w:rsidRPr="000970C2">
        <w:t>saskaņā ar FM 0</w:t>
      </w:r>
      <w:r>
        <w:t>6</w:t>
      </w:r>
      <w:r w:rsidRPr="000970C2">
        <w:t>.</w:t>
      </w:r>
      <w:r>
        <w:t>07</w:t>
      </w:r>
      <w:r w:rsidRPr="000970C2">
        <w:t>.20</w:t>
      </w:r>
      <w:r>
        <w:t>12</w:t>
      </w:r>
      <w:r w:rsidRPr="000970C2">
        <w:t>. vēstuli Nr.</w:t>
      </w:r>
      <w:r>
        <w:t>17-1-03/4412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36" w:rsidRDefault="00E970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30" w:rsidRPr="004C491B" w:rsidRDefault="00C85C30" w:rsidP="00C85C30">
    <w:pPr>
      <w:jc w:val="center"/>
      <w:rPr>
        <w:b/>
        <w:bCs/>
        <w:caps/>
        <w:strike/>
      </w:rPr>
    </w:pPr>
    <w:r>
      <w:rPr>
        <w:lang w:val="de-DE"/>
      </w:rPr>
      <w:t>Nav klasificēts</w:t>
    </w:r>
  </w:p>
  <w:p w:rsidR="00E667C3" w:rsidRPr="00A359EC" w:rsidRDefault="00E667C3">
    <w:pPr>
      <w:pStyle w:val="Header"/>
      <w:jc w:val="center"/>
      <w:rPr>
        <w:b/>
        <w:bCs/>
        <w:strike/>
      </w:rPr>
    </w:pPr>
    <w:r w:rsidRPr="00A359EC">
      <w:rPr>
        <w:b/>
        <w:bCs/>
        <w:strike/>
      </w:rPr>
      <w:t>DIENESTA VAJADZĪBĀM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36" w:rsidRDefault="00E97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C8"/>
    <w:rsid w:val="0016050B"/>
    <w:rsid w:val="001768A2"/>
    <w:rsid w:val="001B2A1A"/>
    <w:rsid w:val="002B1E68"/>
    <w:rsid w:val="003077C8"/>
    <w:rsid w:val="003B7AF9"/>
    <w:rsid w:val="004D5EB0"/>
    <w:rsid w:val="0055440B"/>
    <w:rsid w:val="0068719C"/>
    <w:rsid w:val="00766D1D"/>
    <w:rsid w:val="007734AB"/>
    <w:rsid w:val="007C7313"/>
    <w:rsid w:val="007D7366"/>
    <w:rsid w:val="00A359EC"/>
    <w:rsid w:val="00B00AC1"/>
    <w:rsid w:val="00C85C30"/>
    <w:rsid w:val="00CA6393"/>
    <w:rsid w:val="00D73B38"/>
    <w:rsid w:val="00E667C3"/>
    <w:rsid w:val="00E97036"/>
    <w:rsid w:val="00EF2F17"/>
    <w:rsid w:val="00FC7C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date"/>
  <w:smartTagType w:namespaceuri="schemas-tilde-lv/tildestengine" w:name="veidn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4">
    <w:name w:val="heading 4"/>
    <w:basedOn w:val="Normal"/>
    <w:next w:val="Normal"/>
    <w:qFormat/>
    <w:pPr>
      <w:keepNext/>
      <w:spacing w:before="120"/>
      <w:jc w:val="center"/>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semiHidden/>
    <w:pPr>
      <w:spacing w:after="160" w:line="240" w:lineRule="exact"/>
    </w:pPr>
    <w:rPr>
      <w:rFonts w:ascii="Verdana" w:hAnsi="Verdana"/>
      <w:sz w:val="20"/>
      <w:szCs w:val="20"/>
      <w:lang w:eastAsia="ko-KR" w:bidi="bo-C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RakstzCharCharRakstzCharCharRakstz">
    <w:name w:val="Rakstz. Char Char Rakstz. Char Char Rakstz."/>
    <w:basedOn w:val="Normal"/>
    <w:pPr>
      <w:spacing w:after="160" w:line="240" w:lineRule="exact"/>
    </w:pPr>
    <w:rPr>
      <w:rFonts w:ascii="Tahoma" w:hAnsi="Tahoma"/>
      <w:sz w:val="20"/>
      <w:szCs w:val="20"/>
      <w:lang w:val="en-US" w:eastAsia="en-US"/>
    </w:rPr>
  </w:style>
  <w:style w:type="paragraph" w:styleId="BodyText">
    <w:name w:val="Body Text"/>
    <w:basedOn w:val="Normal"/>
    <w:pPr>
      <w:jc w:val="both"/>
    </w:pPr>
    <w:rPr>
      <w:szCs w:val="20"/>
    </w:rPr>
  </w:style>
  <w:style w:type="character" w:styleId="CommentReference">
    <w:name w:val="annotation reference"/>
    <w:basedOn w:val="DefaultParagraphFont"/>
    <w:semiHidden/>
    <w:rPr>
      <w:sz w:val="16"/>
      <w:szCs w:val="16"/>
    </w:rPr>
  </w:style>
  <w:style w:type="paragraph" w:customStyle="1" w:styleId="naisf">
    <w:name w:val="naisf"/>
    <w:basedOn w:val="Normal"/>
    <w:pPr>
      <w:spacing w:before="63" w:after="63"/>
      <w:ind w:firstLine="313"/>
      <w:jc w:val="both"/>
    </w:pPr>
    <w:rPr>
      <w:sz w:val="24"/>
      <w:szCs w:val="24"/>
    </w:rPr>
  </w:style>
  <w:style w:type="paragraph" w:styleId="Title">
    <w:name w:val="Title"/>
    <w:basedOn w:val="Normal"/>
    <w:qFormat/>
    <w:pPr>
      <w:jc w:val="center"/>
    </w:pPr>
    <w:rPr>
      <w:lang w:eastAsia="ko-KR" w:bidi="bo-CN"/>
    </w:rPr>
  </w:style>
  <w:style w:type="paragraph" w:customStyle="1" w:styleId="RakstzCharCharRakstz">
    <w:name w:val="Rakstz. Char Char Rakstz."/>
    <w:basedOn w:val="Normal"/>
    <w:semiHidden/>
    <w:pPr>
      <w:spacing w:after="160" w:line="240" w:lineRule="exact"/>
    </w:pPr>
    <w:rPr>
      <w:rFonts w:ascii="Verdana" w:hAnsi="Verdana"/>
      <w:sz w:val="20"/>
      <w:szCs w:val="20"/>
      <w:lang w:eastAsia="ko-KR" w:bidi="bo-CN"/>
    </w:rPr>
  </w:style>
  <w:style w:type="character" w:customStyle="1" w:styleId="spelle">
    <w:name w:val="spelle"/>
    <w:basedOn w:val="DefaultParagraphFon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4">
    <w:name w:val="heading 4"/>
    <w:basedOn w:val="Normal"/>
    <w:next w:val="Normal"/>
    <w:qFormat/>
    <w:pPr>
      <w:keepNext/>
      <w:spacing w:before="120"/>
      <w:jc w:val="center"/>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semiHidden/>
    <w:pPr>
      <w:spacing w:after="160" w:line="240" w:lineRule="exact"/>
    </w:pPr>
    <w:rPr>
      <w:rFonts w:ascii="Verdana" w:hAnsi="Verdana"/>
      <w:sz w:val="20"/>
      <w:szCs w:val="20"/>
      <w:lang w:eastAsia="ko-KR" w:bidi="bo-C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RakstzCharCharRakstzCharCharRakstz">
    <w:name w:val="Rakstz. Char Char Rakstz. Char Char Rakstz."/>
    <w:basedOn w:val="Normal"/>
    <w:pPr>
      <w:spacing w:after="160" w:line="240" w:lineRule="exact"/>
    </w:pPr>
    <w:rPr>
      <w:rFonts w:ascii="Tahoma" w:hAnsi="Tahoma"/>
      <w:sz w:val="20"/>
      <w:szCs w:val="20"/>
      <w:lang w:val="en-US" w:eastAsia="en-US"/>
    </w:rPr>
  </w:style>
  <w:style w:type="paragraph" w:styleId="BodyText">
    <w:name w:val="Body Text"/>
    <w:basedOn w:val="Normal"/>
    <w:pPr>
      <w:jc w:val="both"/>
    </w:pPr>
    <w:rPr>
      <w:szCs w:val="20"/>
    </w:rPr>
  </w:style>
  <w:style w:type="character" w:styleId="CommentReference">
    <w:name w:val="annotation reference"/>
    <w:basedOn w:val="DefaultParagraphFont"/>
    <w:semiHidden/>
    <w:rPr>
      <w:sz w:val="16"/>
      <w:szCs w:val="16"/>
    </w:rPr>
  </w:style>
  <w:style w:type="paragraph" w:customStyle="1" w:styleId="naisf">
    <w:name w:val="naisf"/>
    <w:basedOn w:val="Normal"/>
    <w:pPr>
      <w:spacing w:before="63" w:after="63"/>
      <w:ind w:firstLine="313"/>
      <w:jc w:val="both"/>
    </w:pPr>
    <w:rPr>
      <w:sz w:val="24"/>
      <w:szCs w:val="24"/>
    </w:rPr>
  </w:style>
  <w:style w:type="paragraph" w:styleId="Title">
    <w:name w:val="Title"/>
    <w:basedOn w:val="Normal"/>
    <w:qFormat/>
    <w:pPr>
      <w:jc w:val="center"/>
    </w:pPr>
    <w:rPr>
      <w:lang w:eastAsia="ko-KR" w:bidi="bo-CN"/>
    </w:rPr>
  </w:style>
  <w:style w:type="paragraph" w:customStyle="1" w:styleId="RakstzCharCharRakstz">
    <w:name w:val="Rakstz. Char Char Rakstz."/>
    <w:basedOn w:val="Normal"/>
    <w:semiHidden/>
    <w:pPr>
      <w:spacing w:after="160" w:line="240" w:lineRule="exact"/>
    </w:pPr>
    <w:rPr>
      <w:rFonts w:ascii="Verdana" w:hAnsi="Verdana"/>
      <w:sz w:val="20"/>
      <w:szCs w:val="20"/>
      <w:lang w:eastAsia="ko-KR" w:bidi="bo-CN"/>
    </w:rPr>
  </w:style>
  <w:style w:type="character" w:customStyle="1" w:styleId="spelle">
    <w:name w:val="spelle"/>
    <w:basedOn w:val="DefaultParagraphFon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D3DE-1C21-494E-8212-4FB60A78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872</Words>
  <Characters>6524</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Par Latvijas ekonomiskās stabilizācijas programmu</vt:lpstr>
    </vt:vector>
  </TitlesOfParts>
  <Company>Valsts kanceleja</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ekonomiskās stabilizācijas programmu</dc:title>
  <dc:creator>L.Peinberga</dc:creator>
  <cp:lastModifiedBy>Linda Milenberga</cp:lastModifiedBy>
  <cp:revision>12</cp:revision>
  <cp:lastPrinted>2012-08-14T10:10:00Z</cp:lastPrinted>
  <dcterms:created xsi:type="dcterms:W3CDTF">2012-08-10T12:48:00Z</dcterms:created>
  <dcterms:modified xsi:type="dcterms:W3CDTF">2012-08-14T12:48:00Z</dcterms:modified>
</cp:coreProperties>
</file>