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AB" w:rsidRDefault="00421C36">
      <w:pPr>
        <w:pStyle w:val="Title"/>
        <w:outlineLvl w:val="0"/>
      </w:pPr>
      <w:r>
        <w:t>LATVIJAS REPUBLIKAS MINISTRU KABINETA SĒDE</w:t>
      </w:r>
    </w:p>
    <w:p w:rsidR="001B00AB" w:rsidRDefault="00421C36">
      <w:pPr>
        <w:pStyle w:val="Title"/>
      </w:pPr>
      <w:r>
        <w:t>___________________________________________________________</w:t>
      </w:r>
    </w:p>
    <w:p w:rsidR="001B00AB" w:rsidRDefault="00421C36">
      <w:pPr>
        <w:pStyle w:val="Title"/>
        <w:outlineLvl w:val="0"/>
      </w:pPr>
      <w:r>
        <w:rPr>
          <w:i/>
        </w:rPr>
        <w:t>protokola izraksts</w:t>
      </w:r>
    </w:p>
    <w:p w:rsidR="001B00AB" w:rsidRDefault="001B00AB">
      <w:pPr>
        <w:jc w:val="center"/>
      </w:pPr>
    </w:p>
    <w:p w:rsidR="001B00AB" w:rsidRDefault="001B00AB">
      <w:pPr>
        <w:jc w:val="center"/>
      </w:pPr>
    </w:p>
    <w:p w:rsidR="001B00AB" w:rsidRDefault="001B00AB">
      <w:pPr>
        <w:jc w:val="center"/>
      </w:pPr>
    </w:p>
    <w:p w:rsidR="001B00AB" w:rsidRDefault="001B00AB">
      <w:pPr>
        <w:tabs>
          <w:tab w:val="left" w:pos="6804"/>
        </w:tabs>
        <w:ind w:firstLine="709"/>
      </w:pPr>
    </w:p>
    <w:tbl>
      <w:tblPr>
        <w:tblW w:w="9214" w:type="dxa"/>
        <w:tblInd w:w="250" w:type="dxa"/>
        <w:tblLayout w:type="fixed"/>
        <w:tblLook w:val="0000" w:firstRow="0" w:lastRow="0" w:firstColumn="0" w:lastColumn="0" w:noHBand="0" w:noVBand="0"/>
      </w:tblPr>
      <w:tblGrid>
        <w:gridCol w:w="3967"/>
        <w:gridCol w:w="886"/>
        <w:gridCol w:w="4361"/>
      </w:tblGrid>
      <w:tr w:rsidR="001B00AB">
        <w:trPr>
          <w:cantSplit/>
        </w:trPr>
        <w:tc>
          <w:tcPr>
            <w:tcW w:w="3967" w:type="dxa"/>
          </w:tcPr>
          <w:p w:rsidR="001B00AB" w:rsidRDefault="00421C36">
            <w:r>
              <w:t>Rīgā</w:t>
            </w:r>
          </w:p>
        </w:tc>
        <w:tc>
          <w:tcPr>
            <w:tcW w:w="886" w:type="dxa"/>
          </w:tcPr>
          <w:p w:rsidR="001B00AB" w:rsidRDefault="00421C36">
            <w:r>
              <w:t>Nr.43</w:t>
            </w:r>
          </w:p>
        </w:tc>
        <w:tc>
          <w:tcPr>
            <w:tcW w:w="4361" w:type="dxa"/>
          </w:tcPr>
          <w:p w:rsidR="001B00AB" w:rsidRDefault="00421C36">
            <w:pPr>
              <w:jc w:val="right"/>
            </w:pPr>
            <w:r>
              <w:t>2010. gada  24.augustā</w:t>
            </w:r>
          </w:p>
        </w:tc>
      </w:tr>
    </w:tbl>
    <w:p w:rsidR="001B00AB" w:rsidRDefault="001B00AB">
      <w:pPr>
        <w:tabs>
          <w:tab w:val="left" w:pos="6804"/>
        </w:tabs>
        <w:ind w:firstLine="709"/>
      </w:pPr>
    </w:p>
    <w:p w:rsidR="001B00AB" w:rsidRDefault="00421C36">
      <w:pPr>
        <w:pStyle w:val="BodyText"/>
        <w:jc w:val="center"/>
        <w:rPr>
          <w:b/>
          <w:szCs w:val="28"/>
        </w:rPr>
      </w:pPr>
      <w:r>
        <w:rPr>
          <w:b/>
          <w:szCs w:val="28"/>
        </w:rPr>
        <w:t>53.§</w:t>
      </w:r>
    </w:p>
    <w:p w:rsidR="001B00AB" w:rsidRDefault="001B00AB">
      <w:pPr>
        <w:pStyle w:val="BodyText"/>
        <w:jc w:val="center"/>
        <w:rPr>
          <w:b/>
          <w:szCs w:val="28"/>
        </w:rPr>
      </w:pPr>
    </w:p>
    <w:p w:rsidR="001B00AB" w:rsidRDefault="00421C36">
      <w:pPr>
        <w:pStyle w:val="BodyText"/>
        <w:jc w:val="center"/>
        <w:outlineLvl w:val="0"/>
        <w:rPr>
          <w:b/>
          <w:szCs w:val="28"/>
        </w:rPr>
      </w:pPr>
      <w:r>
        <w:rPr>
          <w:b/>
        </w:rPr>
        <w:t>Par akciju sabiedrību „Parex banka”</w:t>
      </w:r>
    </w:p>
    <w:p w:rsidR="001B00AB" w:rsidRDefault="00421C36">
      <w:pPr>
        <w:pStyle w:val="BodyText"/>
        <w:rPr>
          <w:b/>
          <w:sz w:val="24"/>
          <w:szCs w:val="24"/>
        </w:rPr>
      </w:pPr>
      <w:r>
        <w:rPr>
          <w:b/>
          <w:sz w:val="24"/>
          <w:szCs w:val="24"/>
        </w:rPr>
        <w:t xml:space="preserve">     TA-2060-DV </w:t>
      </w:r>
    </w:p>
    <w:p w:rsidR="001B00AB" w:rsidRDefault="00421C36">
      <w:pPr>
        <w:pStyle w:val="Header"/>
        <w:tabs>
          <w:tab w:val="left" w:pos="720"/>
        </w:tabs>
        <w:ind w:firstLine="720"/>
        <w:jc w:val="both"/>
        <w:rPr>
          <w:szCs w:val="20"/>
        </w:rPr>
      </w:pPr>
      <w:r>
        <w:t>______________________________________________________</w:t>
      </w:r>
    </w:p>
    <w:p w:rsidR="001B00AB" w:rsidRDefault="00421C36">
      <w:pPr>
        <w:jc w:val="center"/>
        <w:rPr>
          <w:sz w:val="24"/>
        </w:rPr>
      </w:pPr>
      <w:r>
        <w:rPr>
          <w:sz w:val="24"/>
        </w:rPr>
        <w:t>(J.Pūce, M.Lazdovskis, V.Dombrovskis)</w:t>
      </w:r>
    </w:p>
    <w:p w:rsidR="001B00AB" w:rsidRDefault="001B00AB">
      <w:pPr>
        <w:tabs>
          <w:tab w:val="left" w:pos="6804"/>
        </w:tabs>
        <w:ind w:firstLine="709"/>
        <w:jc w:val="both"/>
      </w:pPr>
    </w:p>
    <w:p w:rsidR="001B00AB" w:rsidRDefault="00421C36" w:rsidP="008B187B">
      <w:pPr>
        <w:ind w:firstLine="709"/>
        <w:jc w:val="both"/>
      </w:pPr>
      <w:r>
        <w:t>1. (</w:t>
      </w:r>
      <w:r>
        <w:rPr>
          <w:strike/>
        </w:rPr>
        <w:t>DV</w:t>
      </w:r>
      <w:r>
        <w:t>)</w:t>
      </w:r>
      <w:r>
        <w:rPr>
          <w:rStyle w:val="FootnoteReference"/>
        </w:rPr>
        <w:footnoteReference w:id="1"/>
      </w:r>
      <w:r>
        <w:t xml:space="preserve"> Pieņemt iesniegto rīkojuma projektu.</w:t>
      </w:r>
    </w:p>
    <w:p w:rsidR="001B00AB" w:rsidRDefault="00421C36" w:rsidP="008B187B">
      <w:pPr>
        <w:ind w:firstLine="709"/>
        <w:jc w:val="both"/>
      </w:pPr>
      <w:r>
        <w:t>Valsts kancelejai sagatavot rīkojuma projektu parakstīšanai.</w:t>
      </w:r>
    </w:p>
    <w:p w:rsidR="001B00AB" w:rsidRDefault="00421C36" w:rsidP="008B187B">
      <w:pPr>
        <w:ind w:firstLine="709"/>
        <w:jc w:val="both"/>
      </w:pPr>
      <w:r>
        <w:t xml:space="preserve">2. (DV) </w:t>
      </w:r>
    </w:p>
    <w:p w:rsidR="001B00AB" w:rsidRDefault="00421C36" w:rsidP="008B187B">
      <w:pPr>
        <w:ind w:firstLine="709"/>
        <w:jc w:val="both"/>
      </w:pPr>
      <w:r>
        <w:t>3. (</w:t>
      </w:r>
      <w:r>
        <w:rPr>
          <w:strike/>
        </w:rPr>
        <w:t>DV</w:t>
      </w:r>
      <w:r>
        <w:t>)</w:t>
      </w:r>
      <w:r w:rsidR="008B187B" w:rsidRPr="008B187B">
        <w:rPr>
          <w:vertAlign w:val="superscript"/>
        </w:rPr>
        <w:t>1</w:t>
      </w:r>
      <w:r>
        <w:t xml:space="preserve"> Saskaņā ar Ministru kabineta 2009.gada 7.aprīļa noteikumu Nr.300 „Ministru kabineta kārtības rullis” 11.punktu valsts akciju sabiedrības „Privatizācijas aģentūra” (turpmāk – Aģentūra) izstrādātos plānošanas dokumenta projektus, tiesību akta projektus vai informatīvos ziņojumus (turpmāk – dokumenta projekts), kas saistīti ar akciju sabiedrības „Parex banka” (turpmāk – banka) restrukturizācijas plāna ieviešanu, iesniedz izskatīšanai Ministru kabineta sēdē ar tā Ministru kabineta locekļa starpniecību, kurš ir politiski atbildīgs par attiecīgo jomu, nozari vai apakšnozari, attiecīgi:</w:t>
      </w:r>
    </w:p>
    <w:p w:rsidR="001B00AB" w:rsidRDefault="008B187B" w:rsidP="008B187B">
      <w:pPr>
        <w:ind w:firstLine="709"/>
        <w:jc w:val="both"/>
      </w:pPr>
      <w:r>
        <w:t>3.1. </w:t>
      </w:r>
      <w:r w:rsidRPr="008B187B">
        <w:rPr>
          <w:strike/>
        </w:rPr>
        <w:t>(DV)</w:t>
      </w:r>
      <w:r w:rsidRPr="008B187B">
        <w:rPr>
          <w:vertAlign w:val="superscript"/>
        </w:rPr>
        <w:t>1</w:t>
      </w:r>
      <w:r>
        <w:t xml:space="preserve"> </w:t>
      </w:r>
      <w:r w:rsidR="00421C36">
        <w:t>dokumenta projektu, kas attiecas uz komercdarbības atbalstu un</w:t>
      </w:r>
      <w:proofErr w:type="gramStart"/>
      <w:r w:rsidR="00421C36">
        <w:t xml:space="preserve">  </w:t>
      </w:r>
      <w:proofErr w:type="gramEnd"/>
      <w:r w:rsidR="00421C36">
        <w:t>finansējuma pietiekamību, – ar finanšu ministra starpniecību;</w:t>
      </w:r>
    </w:p>
    <w:p w:rsidR="001B00AB" w:rsidRDefault="00421C36" w:rsidP="008B187B">
      <w:pPr>
        <w:ind w:firstLine="709"/>
        <w:jc w:val="both"/>
      </w:pPr>
      <w:r>
        <w:t>3.2.</w:t>
      </w:r>
      <w:r w:rsidR="008B187B">
        <w:t> </w:t>
      </w:r>
      <w:r w:rsidR="008B187B" w:rsidRPr="008B187B">
        <w:rPr>
          <w:strike/>
        </w:rPr>
        <w:t>(DV)</w:t>
      </w:r>
      <w:r w:rsidR="008B187B" w:rsidRPr="008B187B">
        <w:rPr>
          <w:vertAlign w:val="superscript"/>
        </w:rPr>
        <w:t>1</w:t>
      </w:r>
      <w:r w:rsidR="008B187B">
        <w:t xml:space="preserve"> </w:t>
      </w:r>
      <w:r>
        <w:t>dokumenta projektu, kas attiecas uz lēmuma pieņemšanu, kas saistīts ar Aģentūras kapitāla daļu turētāja lēmumiem, kā arī akciju sabiedrības „Parex banka” un akciju sabiedrības „Citadele banka” kapitāla daļu un aktīvu pārdošanu, – ar ekonomikas ministra starpniecību.</w:t>
      </w:r>
    </w:p>
    <w:p w:rsidR="001B00AB" w:rsidRDefault="00421C36" w:rsidP="008B187B">
      <w:pPr>
        <w:ind w:firstLine="709"/>
        <w:jc w:val="both"/>
      </w:pPr>
      <w:r>
        <w:t>4. (</w:t>
      </w:r>
      <w:r>
        <w:rPr>
          <w:strike/>
        </w:rPr>
        <w:t>DV</w:t>
      </w:r>
      <w:r>
        <w:t>)</w:t>
      </w:r>
      <w:r w:rsidR="008B187B" w:rsidRPr="008B187B">
        <w:rPr>
          <w:vertAlign w:val="superscript"/>
        </w:rPr>
        <w:t>1</w:t>
      </w:r>
      <w:r>
        <w:t xml:space="preserve"> Citas institūcijas, izstrādājot dokumenta projektu, kas saistīts ar bankas restrukturizācijas plāna ieviešanu, sākotnēji noskaidro Aģentūras viedokli, kuru pievieno, iesniedzot dokumenta projektu izskatīšanai Ministru kabineta sēdē.</w:t>
      </w:r>
    </w:p>
    <w:p w:rsidR="001B00AB" w:rsidRDefault="00421C36" w:rsidP="008B187B">
      <w:pPr>
        <w:ind w:firstLine="709"/>
        <w:jc w:val="both"/>
      </w:pPr>
      <w:r>
        <w:t>5. (</w:t>
      </w:r>
      <w:r>
        <w:rPr>
          <w:strike/>
        </w:rPr>
        <w:t>DV</w:t>
      </w:r>
      <w:r>
        <w:t>)</w:t>
      </w:r>
      <w:r w:rsidR="008B187B" w:rsidRPr="008B187B">
        <w:rPr>
          <w:vertAlign w:val="superscript"/>
        </w:rPr>
        <w:t>1</w:t>
      </w:r>
      <w:r>
        <w:t xml:space="preserve"> Šī </w:t>
      </w:r>
      <w:proofErr w:type="spellStart"/>
      <w:r>
        <w:t>protokollēmuma</w:t>
      </w:r>
      <w:proofErr w:type="spellEnd"/>
      <w:r>
        <w:t xml:space="preserve"> 3. un 4.punktā minēto dokumenta projektu saskaņo ar Tieslietu ministriju, Finanšu ministriju un Ekonomikas ministriju, kā arī nosūta Latvijas Bankai un Finanšu un kapitāla tirgus komisijai viedokļa sniegšanai, un iesniedz izskatīšanai Ministru kabineta sēdē Ministru kabineta </w:t>
      </w:r>
      <w:r>
        <w:lastRenderedPageBreak/>
        <w:t>2009.gada 7.aprīļa noteikumos Nr.300 „Ministru kabineta kārtības rullis” noteiktajā kārtībā kā Ministru kabineta lietu.</w:t>
      </w:r>
    </w:p>
    <w:p w:rsidR="001B00AB" w:rsidRDefault="00421C36" w:rsidP="008B187B">
      <w:pPr>
        <w:ind w:firstLine="709"/>
        <w:jc w:val="both"/>
      </w:pPr>
      <w:r>
        <w:t xml:space="preserve">6. </w:t>
      </w:r>
      <w:r w:rsidRPr="008B187B">
        <w:rPr>
          <w:strike/>
        </w:rPr>
        <w:t>(DV)</w:t>
      </w:r>
      <w:r w:rsidR="008B187B">
        <w:rPr>
          <w:rStyle w:val="FootnoteReference"/>
          <w:strike/>
        </w:rPr>
        <w:footnoteReference w:id="2"/>
      </w:r>
      <w:r>
        <w:t xml:space="preserve"> </w:t>
      </w:r>
      <w:r w:rsidR="000A0422">
        <w:t>Lai nodrošinātu tieslietu ministra tiesiskā atzinuma sniegšanu saskaņā ar Akciju pirkuma līguma starp valsts akciju sabiedrību „Privatizācijas aģentūra”, akciju sabiedrību „Citadele banka”, Eiropas Rekonstrukcijas un attīstības banku un Latvijas Republiku 4.01 (j) (a) punktu, Finanšu ministrijai, Finanšu un kapitāla tirgus komisijai, Valsts kasei un Ekonomikas ministrijai vienas darba dienas laikā pēc Tieslietu ministrijas lūguma savas kompetences ietvaros sniegt informāciju, kas nepieciešama Tieslietu ministrijai tiesiskā atzinuma sagatavošanai.</w:t>
      </w:r>
      <w:proofErr w:type="gramStart"/>
      <w:r w:rsidR="008B187B">
        <w:t xml:space="preserve">  </w:t>
      </w:r>
      <w:proofErr w:type="gramEnd"/>
    </w:p>
    <w:p w:rsidR="001B00AB" w:rsidRDefault="001B00AB">
      <w:pPr>
        <w:spacing w:after="120"/>
        <w:ind w:firstLine="720"/>
        <w:jc w:val="both"/>
      </w:pPr>
    </w:p>
    <w:p w:rsidR="001B00AB" w:rsidRDefault="001B00AB">
      <w:pPr>
        <w:tabs>
          <w:tab w:val="left" w:pos="6804"/>
        </w:tabs>
        <w:ind w:firstLine="709"/>
        <w:jc w:val="both"/>
      </w:pPr>
    </w:p>
    <w:p w:rsidR="001B00AB" w:rsidRDefault="00421C36">
      <w:pPr>
        <w:pStyle w:val="naisf"/>
        <w:tabs>
          <w:tab w:val="left" w:pos="6840"/>
        </w:tabs>
        <w:spacing w:before="0" w:after="0"/>
        <w:ind w:firstLine="720"/>
        <w:rPr>
          <w:sz w:val="28"/>
          <w:szCs w:val="28"/>
        </w:rPr>
      </w:pPr>
      <w:r>
        <w:rPr>
          <w:sz w:val="28"/>
          <w:szCs w:val="28"/>
        </w:rPr>
        <w:t xml:space="preserve">Ministru prezidents </w:t>
      </w:r>
      <w:r>
        <w:rPr>
          <w:sz w:val="28"/>
          <w:szCs w:val="28"/>
        </w:rPr>
        <w:tab/>
        <w:t>V.Dombrovskis</w:t>
      </w:r>
    </w:p>
    <w:p w:rsidR="001B00AB" w:rsidRDefault="001B00AB">
      <w:pPr>
        <w:tabs>
          <w:tab w:val="left" w:pos="6804"/>
        </w:tabs>
        <w:ind w:firstLine="709"/>
        <w:jc w:val="both"/>
      </w:pPr>
    </w:p>
    <w:p w:rsidR="001B00AB" w:rsidRDefault="001B00AB">
      <w:pPr>
        <w:tabs>
          <w:tab w:val="left" w:pos="6804"/>
        </w:tabs>
        <w:ind w:firstLine="709"/>
        <w:jc w:val="both"/>
      </w:pPr>
    </w:p>
    <w:p w:rsidR="001B00AB" w:rsidRDefault="00421C36">
      <w:pPr>
        <w:tabs>
          <w:tab w:val="left" w:pos="6804"/>
        </w:tabs>
        <w:ind w:firstLine="709"/>
        <w:jc w:val="both"/>
      </w:pPr>
      <w:r>
        <w:rPr>
          <w:lang w:val="sv-SE"/>
        </w:rPr>
        <w:t>Valsts kan</w:t>
      </w:r>
      <w:r>
        <w:rPr>
          <w:lang w:val="de-DE"/>
        </w:rPr>
        <w:t>celejas direktore</w:t>
      </w:r>
      <w:r>
        <w:rPr>
          <w:lang w:val="de-DE"/>
        </w:rPr>
        <w:tab/>
        <w:t>G.Veismane</w:t>
      </w:r>
    </w:p>
    <w:sectPr w:rsidR="001B00AB">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117" w:rsidRDefault="00792117">
      <w:r>
        <w:separator/>
      </w:r>
    </w:p>
  </w:endnote>
  <w:endnote w:type="continuationSeparator" w:id="0">
    <w:p w:rsidR="00792117" w:rsidRDefault="0079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194" w:rsidRDefault="004651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117" w:rsidRDefault="00792117">
    <w:pPr>
      <w:pStyle w:val="Footer"/>
      <w:tabs>
        <w:tab w:val="left" w:pos="3686"/>
      </w:tabs>
      <w:jc w:val="right"/>
    </w:pPr>
    <w:r>
      <w:rPr>
        <w:rStyle w:val="PageNumber"/>
        <w:sz w:val="20"/>
      </w:rPr>
      <w:fldChar w:fldCharType="begin"/>
    </w:r>
    <w:r>
      <w:rPr>
        <w:rStyle w:val="PageNumber"/>
        <w:sz w:val="20"/>
      </w:rPr>
      <w:instrText xml:space="preserve"> PAGE </w:instrText>
    </w:r>
    <w:r>
      <w:rPr>
        <w:rStyle w:val="PageNumber"/>
        <w:sz w:val="20"/>
      </w:rPr>
      <w:fldChar w:fldCharType="separate"/>
    </w:r>
    <w:r w:rsidR="00465194">
      <w:rPr>
        <w:rStyle w:val="PageNumber"/>
        <w:noProof/>
        <w:sz w:val="20"/>
      </w:rPr>
      <w:t>2</w:t>
    </w:r>
    <w:r>
      <w:rPr>
        <w:rStyle w:val="PageNumber"/>
        <w:sz w:val="20"/>
      </w:rPr>
      <w:fldChar w:fldCharType="end"/>
    </w:r>
    <w:r>
      <w:rPr>
        <w:rStyle w:val="PageNumber"/>
        <w:sz w:val="20"/>
      </w:rPr>
      <w:t>-</w:t>
    </w:r>
    <w:r>
      <w:rPr>
        <w:rStyle w:val="PageNumber"/>
        <w:sz w:val="20"/>
      </w:rPr>
      <w:fldChar w:fldCharType="begin"/>
    </w:r>
    <w:r>
      <w:rPr>
        <w:rStyle w:val="PageNumber"/>
        <w:sz w:val="20"/>
      </w:rPr>
      <w:instrText xml:space="preserve"> NUMPAGES </w:instrText>
    </w:r>
    <w:r>
      <w:rPr>
        <w:rStyle w:val="PageNumber"/>
        <w:sz w:val="20"/>
      </w:rPr>
      <w:fldChar w:fldCharType="separate"/>
    </w:r>
    <w:r w:rsidR="00465194">
      <w:rPr>
        <w:rStyle w:val="PageNumber"/>
        <w:noProof/>
        <w:sz w:val="20"/>
      </w:rPr>
      <w:t>2</w:t>
    </w:r>
    <w:r>
      <w:rPr>
        <w:rStyle w:val="PageNumber"/>
        <w:sz w:val="20"/>
      </w:rPr>
      <w:fldChar w:fldCharType="end"/>
    </w:r>
  </w:p>
  <w:p w:rsidR="00792117" w:rsidRDefault="00792117">
    <w:pPr>
      <w:pStyle w:val="Header"/>
      <w:jc w:val="center"/>
      <w:rPr>
        <w:b/>
        <w:bCs/>
      </w:rPr>
    </w:pPr>
  </w:p>
  <w:p w:rsidR="00792117" w:rsidRDefault="00792117">
    <w:pPr>
      <w:pStyle w:val="Footer"/>
      <w:rPr>
        <w:sz w:val="16"/>
      </w:rPr>
    </w:pPr>
  </w:p>
  <w:p w:rsidR="00792117" w:rsidRDefault="00792117">
    <w:pPr>
      <w:pStyle w:val="Footer"/>
      <w:rPr>
        <w:sz w:val="16"/>
        <w:szCs w:val="20"/>
      </w:rPr>
    </w:pPr>
    <w:r>
      <w:rPr>
        <w:sz w:val="16"/>
        <w:szCs w:val="20"/>
      </w:rPr>
      <w:fldChar w:fldCharType="begin"/>
    </w:r>
    <w:r>
      <w:rPr>
        <w:sz w:val="16"/>
        <w:szCs w:val="20"/>
      </w:rPr>
      <w:instrText xml:space="preserve"> FILENAME </w:instrText>
    </w:r>
    <w:r>
      <w:rPr>
        <w:sz w:val="16"/>
        <w:szCs w:val="20"/>
      </w:rPr>
      <w:fldChar w:fldCharType="separate"/>
    </w:r>
    <w:bookmarkStart w:id="0" w:name="_GoBack"/>
    <w:bookmarkEnd w:id="0"/>
    <w:r>
      <w:rPr>
        <w:noProof/>
        <w:sz w:val="16"/>
        <w:szCs w:val="20"/>
      </w:rPr>
      <w:t>Prot_izr_43_53_DV_dekl</w:t>
    </w:r>
    <w:r>
      <w:rPr>
        <w:sz w:val="16"/>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194" w:rsidRDefault="004651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117" w:rsidRDefault="00792117">
      <w:r>
        <w:separator/>
      </w:r>
    </w:p>
  </w:footnote>
  <w:footnote w:type="continuationSeparator" w:id="0">
    <w:p w:rsidR="00792117" w:rsidRDefault="00792117">
      <w:r>
        <w:continuationSeparator/>
      </w:r>
    </w:p>
  </w:footnote>
  <w:footnote w:id="1">
    <w:p w:rsidR="00792117" w:rsidRDefault="00792117">
      <w:pPr>
        <w:pStyle w:val="FootnoteText"/>
      </w:pPr>
      <w:r>
        <w:rPr>
          <w:rStyle w:val="FootnoteReference"/>
        </w:rPr>
        <w:footnoteRef/>
      </w:r>
      <w:r>
        <w:t xml:space="preserve"> </w:t>
      </w:r>
      <w:proofErr w:type="spellStart"/>
      <w:r>
        <w:t>deklasificēts</w:t>
      </w:r>
      <w:proofErr w:type="spellEnd"/>
      <w:r>
        <w:t xml:space="preserve"> 1.,3.,4. un 5. punkts saskaņā ar Finanšu ministrijas 01.07.2011. vēstuli nr. 17-1-05/4455</w:t>
      </w:r>
    </w:p>
  </w:footnote>
  <w:footnote w:id="2">
    <w:p w:rsidR="00792117" w:rsidRDefault="00792117">
      <w:pPr>
        <w:pStyle w:val="FootnoteText"/>
      </w:pPr>
      <w:r>
        <w:rPr>
          <w:rStyle w:val="FootnoteReference"/>
        </w:rPr>
        <w:footnoteRef/>
      </w:r>
      <w:r>
        <w:t xml:space="preserve"> </w:t>
      </w:r>
      <w:proofErr w:type="spellStart"/>
      <w:r w:rsidRPr="000970C2">
        <w:t>deklasificēts</w:t>
      </w:r>
      <w:proofErr w:type="spellEnd"/>
      <w:r w:rsidRPr="000970C2">
        <w:t xml:space="preserve"> </w:t>
      </w:r>
      <w:r>
        <w:t xml:space="preserve">6.punkts </w:t>
      </w:r>
      <w:r w:rsidRPr="000970C2">
        <w:t>saskaņā ar FM 0</w:t>
      </w:r>
      <w:r>
        <w:t>6</w:t>
      </w:r>
      <w:r w:rsidRPr="000970C2">
        <w:t>.</w:t>
      </w:r>
      <w:r>
        <w:t>07</w:t>
      </w:r>
      <w:r w:rsidRPr="000970C2">
        <w:t>.20</w:t>
      </w:r>
      <w:r>
        <w:t>12</w:t>
      </w:r>
      <w:r w:rsidRPr="000970C2">
        <w:t>. vēstuli Nr.</w:t>
      </w:r>
      <w:r>
        <w:t>17-1-03/4412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194" w:rsidRDefault="004651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117" w:rsidRDefault="00792117">
    <w:pPr>
      <w:pStyle w:val="Header"/>
      <w:jc w:val="center"/>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194" w:rsidRDefault="004651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C36"/>
    <w:rsid w:val="000A0422"/>
    <w:rsid w:val="001B00AB"/>
    <w:rsid w:val="00421C36"/>
    <w:rsid w:val="00465194"/>
    <w:rsid w:val="004966C2"/>
    <w:rsid w:val="00792117"/>
    <w:rsid w:val="008B187B"/>
    <w:rsid w:val="00C64C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
    <w:name w:val="Rakstz."/>
    <w:basedOn w:val="Normal"/>
    <w:semiHidden/>
    <w:pPr>
      <w:spacing w:after="160" w:line="240" w:lineRule="exact"/>
    </w:pPr>
    <w:rPr>
      <w:rFonts w:ascii="Verdana" w:hAnsi="Verdana"/>
      <w:sz w:val="20"/>
      <w:szCs w:val="20"/>
      <w:lang w:eastAsia="ko-KR" w:bidi="bo-C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emiHidden/>
  </w:style>
  <w:style w:type="paragraph" w:customStyle="1" w:styleId="RakstzCharCharRakstzCharCharRakstz">
    <w:name w:val="Rakstz. Char Char Rakstz. Char Char Rakstz."/>
    <w:basedOn w:val="Normal"/>
    <w:pPr>
      <w:spacing w:after="160" w:line="240" w:lineRule="exact"/>
    </w:pPr>
    <w:rPr>
      <w:rFonts w:ascii="Tahoma" w:hAnsi="Tahoma"/>
      <w:sz w:val="20"/>
      <w:szCs w:val="20"/>
      <w:lang w:val="en-US" w:eastAsia="en-US"/>
    </w:rPr>
  </w:style>
  <w:style w:type="paragraph" w:styleId="BodyText">
    <w:name w:val="Body Text"/>
    <w:basedOn w:val="Normal"/>
    <w:semiHidden/>
    <w:pPr>
      <w:jc w:val="both"/>
    </w:pPr>
    <w:rPr>
      <w:szCs w:val="20"/>
    </w:rPr>
  </w:style>
  <w:style w:type="character" w:styleId="CommentReference">
    <w:name w:val="annotation reference"/>
    <w:basedOn w:val="DefaultParagraphFont"/>
    <w:semiHidden/>
    <w:rPr>
      <w:sz w:val="16"/>
      <w:szCs w:val="16"/>
    </w:rPr>
  </w:style>
  <w:style w:type="paragraph" w:customStyle="1" w:styleId="naisf">
    <w:name w:val="naisf"/>
    <w:basedOn w:val="Normal"/>
    <w:pPr>
      <w:spacing w:before="63" w:after="63"/>
      <w:ind w:firstLine="313"/>
      <w:jc w:val="both"/>
    </w:pPr>
    <w:rPr>
      <w:sz w:val="24"/>
      <w:szCs w:val="24"/>
    </w:rPr>
  </w:style>
  <w:style w:type="paragraph" w:styleId="Title">
    <w:name w:val="Title"/>
    <w:basedOn w:val="Normal"/>
    <w:qFormat/>
    <w:pPr>
      <w:jc w:val="center"/>
    </w:pPr>
    <w:rPr>
      <w:lang w:eastAsia="ko-KR" w:bidi="bo-CN"/>
    </w:rPr>
  </w:style>
  <w:style w:type="paragraph" w:customStyle="1" w:styleId="RakstzCharCharRakstz">
    <w:name w:val="Rakstz. Char Char Rakstz."/>
    <w:basedOn w:val="Normal"/>
    <w:semiHidden/>
    <w:pPr>
      <w:spacing w:after="160" w:line="240" w:lineRule="exact"/>
    </w:pPr>
    <w:rPr>
      <w:rFonts w:ascii="Verdana" w:hAnsi="Verdana"/>
      <w:sz w:val="20"/>
      <w:szCs w:val="20"/>
      <w:lang w:eastAsia="ko-KR" w:bidi="bo-CN"/>
    </w:rPr>
  </w:style>
  <w:style w:type="paragraph" w:styleId="PlainText">
    <w:name w:val="Plain Text"/>
    <w:basedOn w:val="Normal"/>
    <w:semiHidden/>
    <w:unhideWhenUsed/>
    <w:rPr>
      <w:rFonts w:ascii="Consolas" w:eastAsia="Calibri" w:hAnsi="Consolas"/>
      <w:sz w:val="21"/>
      <w:szCs w:val="21"/>
      <w:lang w:eastAsia="en-US"/>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
    <w:name w:val="Rakstz."/>
    <w:basedOn w:val="Normal"/>
    <w:semiHidden/>
    <w:pPr>
      <w:spacing w:after="160" w:line="240" w:lineRule="exact"/>
    </w:pPr>
    <w:rPr>
      <w:rFonts w:ascii="Verdana" w:hAnsi="Verdana"/>
      <w:sz w:val="20"/>
      <w:szCs w:val="20"/>
      <w:lang w:eastAsia="ko-KR" w:bidi="bo-C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emiHidden/>
  </w:style>
  <w:style w:type="paragraph" w:customStyle="1" w:styleId="RakstzCharCharRakstzCharCharRakstz">
    <w:name w:val="Rakstz. Char Char Rakstz. Char Char Rakstz."/>
    <w:basedOn w:val="Normal"/>
    <w:pPr>
      <w:spacing w:after="160" w:line="240" w:lineRule="exact"/>
    </w:pPr>
    <w:rPr>
      <w:rFonts w:ascii="Tahoma" w:hAnsi="Tahoma"/>
      <w:sz w:val="20"/>
      <w:szCs w:val="20"/>
      <w:lang w:val="en-US" w:eastAsia="en-US"/>
    </w:rPr>
  </w:style>
  <w:style w:type="paragraph" w:styleId="BodyText">
    <w:name w:val="Body Text"/>
    <w:basedOn w:val="Normal"/>
    <w:semiHidden/>
    <w:pPr>
      <w:jc w:val="both"/>
    </w:pPr>
    <w:rPr>
      <w:szCs w:val="20"/>
    </w:rPr>
  </w:style>
  <w:style w:type="character" w:styleId="CommentReference">
    <w:name w:val="annotation reference"/>
    <w:basedOn w:val="DefaultParagraphFont"/>
    <w:semiHidden/>
    <w:rPr>
      <w:sz w:val="16"/>
      <w:szCs w:val="16"/>
    </w:rPr>
  </w:style>
  <w:style w:type="paragraph" w:customStyle="1" w:styleId="naisf">
    <w:name w:val="naisf"/>
    <w:basedOn w:val="Normal"/>
    <w:pPr>
      <w:spacing w:before="63" w:after="63"/>
      <w:ind w:firstLine="313"/>
      <w:jc w:val="both"/>
    </w:pPr>
    <w:rPr>
      <w:sz w:val="24"/>
      <w:szCs w:val="24"/>
    </w:rPr>
  </w:style>
  <w:style w:type="paragraph" w:styleId="Title">
    <w:name w:val="Title"/>
    <w:basedOn w:val="Normal"/>
    <w:qFormat/>
    <w:pPr>
      <w:jc w:val="center"/>
    </w:pPr>
    <w:rPr>
      <w:lang w:eastAsia="ko-KR" w:bidi="bo-CN"/>
    </w:rPr>
  </w:style>
  <w:style w:type="paragraph" w:customStyle="1" w:styleId="RakstzCharCharRakstz">
    <w:name w:val="Rakstz. Char Char Rakstz."/>
    <w:basedOn w:val="Normal"/>
    <w:semiHidden/>
    <w:pPr>
      <w:spacing w:after="160" w:line="240" w:lineRule="exact"/>
    </w:pPr>
    <w:rPr>
      <w:rFonts w:ascii="Verdana" w:hAnsi="Verdana"/>
      <w:sz w:val="20"/>
      <w:szCs w:val="20"/>
      <w:lang w:eastAsia="ko-KR" w:bidi="bo-CN"/>
    </w:rPr>
  </w:style>
  <w:style w:type="paragraph" w:styleId="PlainText">
    <w:name w:val="Plain Text"/>
    <w:basedOn w:val="Normal"/>
    <w:semiHidden/>
    <w:unhideWhenUsed/>
    <w:rPr>
      <w:rFonts w:ascii="Consolas" w:eastAsia="Calibri" w:hAnsi="Consolas"/>
      <w:sz w:val="21"/>
      <w:szCs w:val="21"/>
      <w:lang w:eastAsia="en-US"/>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617BF-CC98-424B-8725-EE5D3F4B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316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Par Latvijas ekonomiskās stabilizācijas programmu</vt:lpstr>
    </vt:vector>
  </TitlesOfParts>
  <Company>Valsts kanceleja</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Latvijas ekonomiskās stabilizācijas programmu</dc:title>
  <dc:creator>L.Peinberga</dc:creator>
  <cp:lastModifiedBy>Linda Milenberga</cp:lastModifiedBy>
  <cp:revision>7</cp:revision>
  <cp:lastPrinted>2012-08-14T09:57:00Z</cp:lastPrinted>
  <dcterms:created xsi:type="dcterms:W3CDTF">2012-08-10T13:23:00Z</dcterms:created>
  <dcterms:modified xsi:type="dcterms:W3CDTF">2012-08-14T12:47:00Z</dcterms:modified>
</cp:coreProperties>
</file>