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ABE1" w14:textId="77777777" w:rsidR="007116C7" w:rsidRPr="00712B66" w:rsidRDefault="007116C7" w:rsidP="00F914BE">
      <w:pPr>
        <w:pStyle w:val="naisnod"/>
        <w:spacing w:before="0" w:after="0"/>
        <w:ind w:firstLine="720"/>
        <w:rPr>
          <w:sz w:val="28"/>
          <w:szCs w:val="28"/>
        </w:rPr>
      </w:pPr>
      <w:r w:rsidRPr="00712B66">
        <w:rPr>
          <w:sz w:val="28"/>
          <w:szCs w:val="28"/>
        </w:rPr>
        <w:t>Izziņa par atzinumos sniegtajiem iebildumiem</w:t>
      </w:r>
    </w:p>
    <w:p w14:paraId="743BC27B" w14:textId="77777777" w:rsidR="007116C7" w:rsidRPr="008A36C9" w:rsidRDefault="007116C7" w:rsidP="00F914BE">
      <w:pPr>
        <w:pStyle w:val="naisf"/>
        <w:spacing w:before="0" w:after="0"/>
        <w:ind w:firstLine="720"/>
      </w:pPr>
    </w:p>
    <w:tbl>
      <w:tblPr>
        <w:tblW w:w="0" w:type="auto"/>
        <w:jc w:val="center"/>
        <w:tblLook w:val="00A0" w:firstRow="1" w:lastRow="0" w:firstColumn="1" w:lastColumn="0" w:noHBand="0" w:noVBand="0"/>
      </w:tblPr>
      <w:tblGrid>
        <w:gridCol w:w="10632"/>
      </w:tblGrid>
      <w:tr w:rsidR="00214D9A" w:rsidRPr="00214D9A" w14:paraId="4B890ED2" w14:textId="77777777" w:rsidTr="009E5CD1">
        <w:trPr>
          <w:jc w:val="center"/>
        </w:trPr>
        <w:tc>
          <w:tcPr>
            <w:tcW w:w="10632" w:type="dxa"/>
            <w:tcBorders>
              <w:bottom w:val="single" w:sz="6" w:space="0" w:color="000000"/>
            </w:tcBorders>
          </w:tcPr>
          <w:p w14:paraId="40385105" w14:textId="09A752D3" w:rsidR="00214D9A" w:rsidRPr="00DE63E9" w:rsidRDefault="005D5A0D" w:rsidP="00F914BE">
            <w:pPr>
              <w:jc w:val="center"/>
              <w:rPr>
                <w:b/>
              </w:rPr>
            </w:pPr>
            <w:r>
              <w:rPr>
                <w:b/>
                <w:bCs/>
              </w:rPr>
              <w:t>Informatīvais ziņojums “Par jaunas ārstniecības personu darba samaksas kārtības izstrādāšanu”</w:t>
            </w:r>
          </w:p>
        </w:tc>
      </w:tr>
    </w:tbl>
    <w:p w14:paraId="640A7E9B" w14:textId="77777777" w:rsidR="007B4C0F" w:rsidRPr="00712B66" w:rsidRDefault="007B4C0F" w:rsidP="00F914BE">
      <w:pPr>
        <w:pStyle w:val="naisf"/>
        <w:spacing w:before="0" w:after="0"/>
        <w:ind w:firstLine="720"/>
      </w:pPr>
    </w:p>
    <w:p w14:paraId="01A7E4DE" w14:textId="77777777" w:rsidR="007B4C0F" w:rsidRPr="00712B66" w:rsidRDefault="007B4C0F" w:rsidP="00F914BE">
      <w:pPr>
        <w:pStyle w:val="naisf"/>
        <w:spacing w:before="0" w:after="0"/>
        <w:ind w:firstLine="0"/>
        <w:jc w:val="center"/>
        <w:rPr>
          <w:b/>
        </w:rPr>
      </w:pPr>
      <w:r w:rsidRPr="00712B66">
        <w:rPr>
          <w:b/>
        </w:rPr>
        <w:t xml:space="preserve">I. Jautājumi, par kuriem saskaņošanā </w:t>
      </w:r>
      <w:r w:rsidR="00134188" w:rsidRPr="00712B66">
        <w:rPr>
          <w:b/>
        </w:rPr>
        <w:t xml:space="preserve">vienošanās </w:t>
      </w:r>
      <w:r w:rsidRPr="00712B66">
        <w:rPr>
          <w:b/>
        </w:rPr>
        <w:t>nav panākta</w:t>
      </w:r>
    </w:p>
    <w:p w14:paraId="2103C2FC" w14:textId="77777777" w:rsidR="007B4C0F" w:rsidRPr="00712B66" w:rsidRDefault="007B4C0F" w:rsidP="00F914BE">
      <w:pPr>
        <w:pStyle w:val="naisf"/>
        <w:spacing w:before="0" w:after="0"/>
        <w:ind w:firstLine="720"/>
      </w:pPr>
    </w:p>
    <w:tbl>
      <w:tblPr>
        <w:tblpPr w:leftFromText="180" w:rightFromText="180" w:vertAnchor="text" w:tblpY="1"/>
        <w:tblOverlap w:val="never"/>
        <w:tblW w:w="1516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8"/>
        <w:gridCol w:w="1978"/>
        <w:gridCol w:w="5386"/>
        <w:gridCol w:w="3402"/>
        <w:gridCol w:w="1418"/>
        <w:gridCol w:w="2268"/>
      </w:tblGrid>
      <w:tr w:rsidR="005F4BFD" w:rsidRPr="00712B66" w14:paraId="50BCA9A7" w14:textId="77777777" w:rsidTr="00BD227E">
        <w:tc>
          <w:tcPr>
            <w:tcW w:w="708" w:type="dxa"/>
            <w:tcBorders>
              <w:top w:val="single" w:sz="6" w:space="0" w:color="000000"/>
              <w:left w:val="single" w:sz="6" w:space="0" w:color="000000"/>
              <w:bottom w:val="single" w:sz="6" w:space="0" w:color="000000"/>
              <w:right w:val="single" w:sz="6" w:space="0" w:color="000000"/>
            </w:tcBorders>
            <w:vAlign w:val="center"/>
          </w:tcPr>
          <w:p w14:paraId="285C0914" w14:textId="77777777" w:rsidR="005F4BFD" w:rsidRPr="00712B66" w:rsidRDefault="005F4BFD" w:rsidP="00F914BE">
            <w:pPr>
              <w:pStyle w:val="naisc"/>
              <w:spacing w:before="0" w:after="0"/>
            </w:pPr>
            <w:r w:rsidRPr="00712B66">
              <w:t>Nr. p.</w:t>
            </w:r>
            <w:r w:rsidR="00D64FB0">
              <w:t> </w:t>
            </w:r>
            <w:r w:rsidRPr="00712B66">
              <w:t>k.</w:t>
            </w:r>
          </w:p>
        </w:tc>
        <w:tc>
          <w:tcPr>
            <w:tcW w:w="1978" w:type="dxa"/>
            <w:tcBorders>
              <w:top w:val="single" w:sz="6" w:space="0" w:color="000000"/>
              <w:left w:val="single" w:sz="6" w:space="0" w:color="000000"/>
              <w:bottom w:val="single" w:sz="6" w:space="0" w:color="000000"/>
              <w:right w:val="single" w:sz="6" w:space="0" w:color="000000"/>
            </w:tcBorders>
            <w:vAlign w:val="center"/>
          </w:tcPr>
          <w:p w14:paraId="6DD506D6" w14:textId="77777777" w:rsidR="005F4BFD" w:rsidRPr="00712B66" w:rsidRDefault="005F4BFD" w:rsidP="00F914BE">
            <w:pPr>
              <w:pStyle w:val="naisc"/>
              <w:spacing w:before="0" w:after="0"/>
              <w:ind w:firstLine="12"/>
            </w:pPr>
            <w:r w:rsidRPr="00712B66">
              <w:t>Saskaņošanai nosūtītā projekta redakcija (konkrēta punkta (panta) redakcija)</w:t>
            </w:r>
          </w:p>
        </w:tc>
        <w:tc>
          <w:tcPr>
            <w:tcW w:w="5386" w:type="dxa"/>
            <w:tcBorders>
              <w:top w:val="single" w:sz="6" w:space="0" w:color="000000"/>
              <w:left w:val="single" w:sz="6" w:space="0" w:color="000000"/>
              <w:bottom w:val="single" w:sz="6" w:space="0" w:color="000000"/>
              <w:right w:val="single" w:sz="6" w:space="0" w:color="000000"/>
            </w:tcBorders>
            <w:vAlign w:val="center"/>
          </w:tcPr>
          <w:p w14:paraId="20743BA3" w14:textId="77777777" w:rsidR="005F4BFD" w:rsidRPr="00712B66" w:rsidRDefault="005F4BFD" w:rsidP="00F914BE">
            <w:pPr>
              <w:pStyle w:val="naisc"/>
              <w:spacing w:before="0" w:after="0"/>
              <w:ind w:right="3"/>
            </w:pPr>
            <w:r w:rsidRPr="00712B66">
              <w:t>Atzinumā norādītais ministrijas (citas institūcijas) iebildums</w:t>
            </w:r>
            <w:r w:rsidR="00184479">
              <w:t>,</w:t>
            </w:r>
            <w:r w:rsidR="000E5509" w:rsidRPr="00712B66">
              <w:t xml:space="preserve"> kā arī saskaņošanā papildus izteiktais iebildums</w:t>
            </w:r>
            <w:r w:rsidRPr="00712B66">
              <w:t xml:space="preserve"> par projekta konkrēto punktu (pantu)</w:t>
            </w:r>
          </w:p>
        </w:tc>
        <w:tc>
          <w:tcPr>
            <w:tcW w:w="3402" w:type="dxa"/>
            <w:tcBorders>
              <w:top w:val="single" w:sz="6" w:space="0" w:color="000000"/>
              <w:left w:val="single" w:sz="6" w:space="0" w:color="000000"/>
              <w:bottom w:val="single" w:sz="6" w:space="0" w:color="000000"/>
              <w:right w:val="single" w:sz="6" w:space="0" w:color="000000"/>
            </w:tcBorders>
            <w:vAlign w:val="center"/>
          </w:tcPr>
          <w:p w14:paraId="2620B010" w14:textId="77777777" w:rsidR="005F4BFD" w:rsidRPr="00712B66" w:rsidRDefault="005F4BFD" w:rsidP="00F914BE">
            <w:pPr>
              <w:pStyle w:val="naisc"/>
              <w:spacing w:before="0" w:after="0"/>
              <w:ind w:firstLine="21"/>
            </w:pPr>
            <w:r w:rsidRPr="00712B66">
              <w:t>Atbildīgās ministrijas pamatojums</w:t>
            </w:r>
            <w:r w:rsidR="009307F2" w:rsidRPr="00712B66">
              <w:t xml:space="preserve"> iebilduma noraidījumam</w:t>
            </w:r>
          </w:p>
        </w:tc>
        <w:tc>
          <w:tcPr>
            <w:tcW w:w="1418" w:type="dxa"/>
            <w:tcBorders>
              <w:top w:val="single" w:sz="4" w:space="0" w:color="auto"/>
              <w:left w:val="single" w:sz="4" w:space="0" w:color="auto"/>
              <w:bottom w:val="single" w:sz="4" w:space="0" w:color="auto"/>
              <w:right w:val="single" w:sz="4" w:space="0" w:color="auto"/>
            </w:tcBorders>
            <w:vAlign w:val="center"/>
          </w:tcPr>
          <w:p w14:paraId="4F0F131A" w14:textId="77777777" w:rsidR="005F4BFD" w:rsidRPr="00712B66" w:rsidRDefault="005F4BFD" w:rsidP="00F914BE">
            <w:pPr>
              <w:jc w:val="center"/>
            </w:pPr>
            <w:r w:rsidRPr="00712B66">
              <w:t>Atzinuma sniedzēja uzturētais iebildums, ja tas atšķiras no atzinumā norādītā iebilduma pamatojuma</w:t>
            </w:r>
          </w:p>
        </w:tc>
        <w:tc>
          <w:tcPr>
            <w:tcW w:w="2268" w:type="dxa"/>
            <w:tcBorders>
              <w:top w:val="single" w:sz="4" w:space="0" w:color="auto"/>
              <w:left w:val="single" w:sz="4" w:space="0" w:color="auto"/>
              <w:bottom w:val="single" w:sz="4" w:space="0" w:color="auto"/>
            </w:tcBorders>
            <w:vAlign w:val="center"/>
          </w:tcPr>
          <w:p w14:paraId="105CBC9E" w14:textId="77777777" w:rsidR="005F4BFD" w:rsidRPr="00712B66" w:rsidRDefault="005F4BFD" w:rsidP="00F914BE">
            <w:pPr>
              <w:jc w:val="center"/>
            </w:pPr>
            <w:r w:rsidRPr="00712B66">
              <w:t>Projekta attiecīgā punkta (panta) galīgā redakcija</w:t>
            </w:r>
          </w:p>
        </w:tc>
      </w:tr>
      <w:tr w:rsidR="005F4BFD" w:rsidRPr="008A36C9" w14:paraId="74631ED3" w14:textId="77777777" w:rsidTr="00BD227E">
        <w:tc>
          <w:tcPr>
            <w:tcW w:w="708" w:type="dxa"/>
            <w:tcBorders>
              <w:top w:val="single" w:sz="6" w:space="0" w:color="000000"/>
              <w:left w:val="single" w:sz="6" w:space="0" w:color="000000"/>
              <w:bottom w:val="single" w:sz="6" w:space="0" w:color="000000"/>
              <w:right w:val="single" w:sz="6" w:space="0" w:color="000000"/>
            </w:tcBorders>
          </w:tcPr>
          <w:p w14:paraId="70C5449B" w14:textId="77777777" w:rsidR="005F4BFD" w:rsidRPr="008A36C9" w:rsidRDefault="008A36C9" w:rsidP="00F914BE">
            <w:pPr>
              <w:pStyle w:val="naisc"/>
              <w:spacing w:before="0" w:after="0"/>
              <w:rPr>
                <w:sz w:val="20"/>
                <w:szCs w:val="20"/>
              </w:rPr>
            </w:pPr>
            <w:r w:rsidRPr="008A36C9">
              <w:rPr>
                <w:sz w:val="20"/>
                <w:szCs w:val="20"/>
              </w:rPr>
              <w:t>1</w:t>
            </w:r>
          </w:p>
        </w:tc>
        <w:tc>
          <w:tcPr>
            <w:tcW w:w="1978" w:type="dxa"/>
            <w:tcBorders>
              <w:top w:val="single" w:sz="6" w:space="0" w:color="000000"/>
              <w:left w:val="single" w:sz="6" w:space="0" w:color="000000"/>
              <w:bottom w:val="single" w:sz="6" w:space="0" w:color="000000"/>
              <w:right w:val="single" w:sz="6" w:space="0" w:color="000000"/>
            </w:tcBorders>
          </w:tcPr>
          <w:p w14:paraId="5AE5DF73" w14:textId="77777777" w:rsidR="005F4BFD" w:rsidRPr="008A36C9" w:rsidRDefault="008A36C9" w:rsidP="00F914BE">
            <w:pPr>
              <w:pStyle w:val="naisc"/>
              <w:spacing w:before="0" w:after="0"/>
              <w:rPr>
                <w:sz w:val="20"/>
                <w:szCs w:val="20"/>
              </w:rPr>
            </w:pPr>
            <w:r w:rsidRPr="008A36C9">
              <w:rPr>
                <w:sz w:val="20"/>
                <w:szCs w:val="20"/>
              </w:rPr>
              <w:t>2</w:t>
            </w:r>
          </w:p>
        </w:tc>
        <w:tc>
          <w:tcPr>
            <w:tcW w:w="5386" w:type="dxa"/>
            <w:tcBorders>
              <w:top w:val="single" w:sz="6" w:space="0" w:color="000000"/>
              <w:left w:val="single" w:sz="6" w:space="0" w:color="000000"/>
              <w:bottom w:val="single" w:sz="6" w:space="0" w:color="000000"/>
              <w:right w:val="single" w:sz="6" w:space="0" w:color="000000"/>
            </w:tcBorders>
          </w:tcPr>
          <w:p w14:paraId="3FBA2368" w14:textId="77777777" w:rsidR="005F4BFD" w:rsidRPr="008A36C9" w:rsidRDefault="008A36C9" w:rsidP="00F914BE">
            <w:pPr>
              <w:pStyle w:val="naisc"/>
              <w:spacing w:before="0" w:after="0"/>
              <w:rPr>
                <w:sz w:val="20"/>
                <w:szCs w:val="20"/>
              </w:rPr>
            </w:pPr>
            <w:r w:rsidRPr="008A36C9">
              <w:rPr>
                <w:sz w:val="20"/>
                <w:szCs w:val="20"/>
              </w:rPr>
              <w:t>3</w:t>
            </w:r>
          </w:p>
        </w:tc>
        <w:tc>
          <w:tcPr>
            <w:tcW w:w="3402" w:type="dxa"/>
            <w:tcBorders>
              <w:top w:val="single" w:sz="6" w:space="0" w:color="000000"/>
              <w:left w:val="single" w:sz="6" w:space="0" w:color="000000"/>
              <w:bottom w:val="single" w:sz="6" w:space="0" w:color="000000"/>
              <w:right w:val="single" w:sz="6" w:space="0" w:color="000000"/>
            </w:tcBorders>
          </w:tcPr>
          <w:p w14:paraId="62ED2472" w14:textId="77777777" w:rsidR="005F4BFD" w:rsidRPr="008A36C9" w:rsidRDefault="008A36C9" w:rsidP="00F914BE">
            <w:pPr>
              <w:pStyle w:val="naisc"/>
              <w:spacing w:before="0" w:after="0"/>
              <w:rPr>
                <w:sz w:val="20"/>
                <w:szCs w:val="20"/>
              </w:rPr>
            </w:pPr>
            <w:r w:rsidRPr="008A36C9">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3E9C172F" w14:textId="77777777" w:rsidR="005F4BFD" w:rsidRPr="008A36C9" w:rsidRDefault="008A36C9" w:rsidP="00F914BE">
            <w:pPr>
              <w:jc w:val="center"/>
              <w:rPr>
                <w:sz w:val="20"/>
                <w:szCs w:val="20"/>
              </w:rPr>
            </w:pPr>
            <w:r w:rsidRPr="008A36C9">
              <w:rPr>
                <w:sz w:val="20"/>
                <w:szCs w:val="20"/>
              </w:rPr>
              <w:t>5</w:t>
            </w:r>
          </w:p>
        </w:tc>
        <w:tc>
          <w:tcPr>
            <w:tcW w:w="2268" w:type="dxa"/>
            <w:tcBorders>
              <w:top w:val="single" w:sz="4" w:space="0" w:color="auto"/>
              <w:left w:val="single" w:sz="4" w:space="0" w:color="auto"/>
              <w:bottom w:val="single" w:sz="4" w:space="0" w:color="auto"/>
            </w:tcBorders>
          </w:tcPr>
          <w:p w14:paraId="053243E3" w14:textId="77777777" w:rsidR="005F4BFD" w:rsidRPr="008A36C9" w:rsidRDefault="008A36C9" w:rsidP="00F914BE">
            <w:pPr>
              <w:jc w:val="center"/>
              <w:rPr>
                <w:sz w:val="20"/>
                <w:szCs w:val="20"/>
              </w:rPr>
            </w:pPr>
            <w:r w:rsidRPr="008A36C9">
              <w:rPr>
                <w:sz w:val="20"/>
                <w:szCs w:val="20"/>
              </w:rPr>
              <w:t>6</w:t>
            </w:r>
          </w:p>
        </w:tc>
      </w:tr>
      <w:tr w:rsidR="00853340" w:rsidRPr="008A36C9" w14:paraId="2B793590" w14:textId="77777777" w:rsidTr="00BD227E">
        <w:tc>
          <w:tcPr>
            <w:tcW w:w="708" w:type="dxa"/>
            <w:tcBorders>
              <w:top w:val="single" w:sz="6" w:space="0" w:color="000000"/>
              <w:left w:val="single" w:sz="6" w:space="0" w:color="000000"/>
              <w:bottom w:val="single" w:sz="6" w:space="0" w:color="000000"/>
              <w:right w:val="single" w:sz="6" w:space="0" w:color="000000"/>
            </w:tcBorders>
          </w:tcPr>
          <w:p w14:paraId="39B96F3B" w14:textId="42754805" w:rsidR="00853340" w:rsidRDefault="00727EC5" w:rsidP="00F914BE">
            <w:pPr>
              <w:pStyle w:val="naisc"/>
              <w:spacing w:before="0" w:after="0"/>
              <w:rPr>
                <w:sz w:val="20"/>
                <w:szCs w:val="20"/>
              </w:rPr>
            </w:pPr>
            <w:r>
              <w:rPr>
                <w:sz w:val="20"/>
                <w:szCs w:val="20"/>
              </w:rPr>
              <w:t>1.</w:t>
            </w:r>
          </w:p>
        </w:tc>
        <w:tc>
          <w:tcPr>
            <w:tcW w:w="1978" w:type="dxa"/>
            <w:tcBorders>
              <w:top w:val="single" w:sz="6" w:space="0" w:color="000000"/>
              <w:left w:val="single" w:sz="6" w:space="0" w:color="000000"/>
              <w:bottom w:val="single" w:sz="6" w:space="0" w:color="000000"/>
              <w:right w:val="single" w:sz="6" w:space="0" w:color="000000"/>
            </w:tcBorders>
          </w:tcPr>
          <w:p w14:paraId="19ECEC73" w14:textId="77777777" w:rsidR="00853340" w:rsidRDefault="00853340" w:rsidP="00F914BE">
            <w:pPr>
              <w:pStyle w:val="naisc"/>
              <w:spacing w:before="0" w:after="0"/>
              <w:jc w:val="left"/>
              <w:rPr>
                <w:color w:val="000000"/>
              </w:rPr>
            </w:pPr>
          </w:p>
        </w:tc>
        <w:tc>
          <w:tcPr>
            <w:tcW w:w="5386" w:type="dxa"/>
            <w:tcBorders>
              <w:top w:val="single" w:sz="6" w:space="0" w:color="000000"/>
              <w:left w:val="single" w:sz="6" w:space="0" w:color="000000"/>
              <w:bottom w:val="single" w:sz="6" w:space="0" w:color="000000"/>
              <w:right w:val="single" w:sz="6" w:space="0" w:color="000000"/>
            </w:tcBorders>
          </w:tcPr>
          <w:p w14:paraId="3A3A539A" w14:textId="20CF264A" w:rsidR="00853340" w:rsidRDefault="00853340" w:rsidP="00F914BE">
            <w:pPr>
              <w:pStyle w:val="Bodytext70"/>
              <w:shd w:val="clear" w:color="auto" w:fill="auto"/>
              <w:spacing w:after="0" w:line="240" w:lineRule="auto"/>
              <w:ind w:left="62" w:right="23"/>
              <w:jc w:val="center"/>
              <w:rPr>
                <w:sz w:val="24"/>
                <w:szCs w:val="24"/>
              </w:rPr>
            </w:pPr>
            <w:r>
              <w:rPr>
                <w:b/>
                <w:u w:val="single"/>
              </w:rPr>
              <w:t>Finanšu ministrija</w:t>
            </w:r>
          </w:p>
          <w:p w14:paraId="6CC6B907" w14:textId="77777777" w:rsidR="00853340" w:rsidRDefault="00853340" w:rsidP="00F914BE">
            <w:pPr>
              <w:jc w:val="both"/>
              <w:rPr>
                <w:bCs/>
                <w:color w:val="2A2A2A"/>
                <w:shd w:val="clear" w:color="auto" w:fill="FFFFFF"/>
              </w:rPr>
            </w:pPr>
            <w:r>
              <w:t xml:space="preserve">Atbilstoši informatīvā ziņojuma projekta V sadaļas “Turpmākā rīcība” 5.2.apakšpunktā “Mērķa algas sasniegšana” norādītajam līdz 2021.gada 1.martam būtu nepieciešams veikt grozījumus normatīvajos aktos, iekļaujot normu, ka turpmāk ārstniecības personu mērķa alga ir domnīcā ar analītisko intelektuālā darba vērtēšanas punktu/faktoru metodi noteiktā mērķa alga, kura turpmāk tiks indeksēta ik gadu atbilstoši indeksācijas mehānismam, kurā vidējā bruto mēneša darba samaksas </w:t>
            </w:r>
            <w:r w:rsidRPr="00490FE6">
              <w:t xml:space="preserve">izmaiņas un patēriņa cenu indekss veido katrs 50% ietekmi uz ārstniecības personu mērķa algu, kas stātos spēkā reizē ar jauno ārstniecības personu atalgojuma modeli. Uzskatām, ka valdībā nepieciešama konceptuālā diskusija par augstāk </w:t>
            </w:r>
            <w:r>
              <w:t>minēto piedāvājumu</w:t>
            </w:r>
            <w:r w:rsidRPr="00490FE6">
              <w:t xml:space="preserve"> un informatīvā ziņojuma projekts virzāms izskatīšanai Ministru kabinetā tikai pēc tam kad Saeimā tiks pieņemts jaunais </w:t>
            </w:r>
            <w:r w:rsidRPr="00490FE6">
              <w:rPr>
                <w:bCs/>
                <w:color w:val="2A2A2A"/>
                <w:shd w:val="clear" w:color="auto" w:fill="FFFFFF"/>
              </w:rPr>
              <w:t xml:space="preserve">Valsts un </w:t>
            </w:r>
            <w:r w:rsidRPr="00490FE6">
              <w:rPr>
                <w:bCs/>
                <w:color w:val="2A2A2A"/>
                <w:shd w:val="clear" w:color="auto" w:fill="FFFFFF"/>
              </w:rPr>
              <w:lastRenderedPageBreak/>
              <w:t>pašvaldību institūciju amatpersonu un darbinieku atlīdzības likums.</w:t>
            </w:r>
          </w:p>
          <w:p w14:paraId="2815CBD3" w14:textId="77777777" w:rsidR="00F914BE" w:rsidRDefault="00F914BE" w:rsidP="00F914BE">
            <w:pPr>
              <w:jc w:val="both"/>
              <w:rPr>
                <w:bCs/>
                <w:color w:val="2A2A2A"/>
                <w:shd w:val="clear" w:color="auto" w:fill="FFFFFF"/>
              </w:rPr>
            </w:pPr>
          </w:p>
          <w:p w14:paraId="3137AC3A" w14:textId="67C7718A" w:rsidR="00F914BE" w:rsidRPr="00F914BE" w:rsidRDefault="00F914BE" w:rsidP="00F914BE">
            <w:pPr>
              <w:jc w:val="both"/>
              <w:rPr>
                <w:color w:val="212121"/>
                <w:shd w:val="clear" w:color="auto" w:fill="FFFFFF"/>
              </w:rPr>
            </w:pPr>
            <w:r>
              <w:rPr>
                <w:color w:val="212121"/>
                <w:shd w:val="clear" w:color="auto" w:fill="FFFFFF"/>
              </w:rPr>
              <w:t>Finanšu ministrija uztur spēkā Finanšu ministrijas š.g. 20.novembra atzinumā Nr.12/A-2/6107 izteikto 1.iebildumu, ka par Veselības ministrijas informatīvā ziņojuma projektā paredzēto piedāvājumu par ārstniecības personu atalgojuma indeksāciju pēc būtības ir nepieciešama konceptuāla diskusija valdībā.</w:t>
            </w:r>
          </w:p>
        </w:tc>
        <w:tc>
          <w:tcPr>
            <w:tcW w:w="3402" w:type="dxa"/>
            <w:tcBorders>
              <w:top w:val="single" w:sz="6" w:space="0" w:color="000000"/>
              <w:left w:val="single" w:sz="6" w:space="0" w:color="000000"/>
              <w:bottom w:val="single" w:sz="6" w:space="0" w:color="000000"/>
              <w:right w:val="single" w:sz="6" w:space="0" w:color="000000"/>
            </w:tcBorders>
          </w:tcPr>
          <w:p w14:paraId="1FCA4ACA" w14:textId="77777777" w:rsidR="00853340" w:rsidRPr="000D6631" w:rsidRDefault="00853340" w:rsidP="00F914BE">
            <w:pPr>
              <w:jc w:val="center"/>
              <w:rPr>
                <w:b/>
                <w:bCs/>
              </w:rPr>
            </w:pPr>
            <w:r w:rsidRPr="000D6631">
              <w:rPr>
                <w:b/>
                <w:bCs/>
              </w:rPr>
              <w:lastRenderedPageBreak/>
              <w:t>Nav ņemts vērā</w:t>
            </w:r>
          </w:p>
          <w:p w14:paraId="542C72D2" w14:textId="77777777" w:rsidR="00853340" w:rsidRPr="00275B92" w:rsidRDefault="000E3CFC" w:rsidP="00F914BE">
            <w:pPr>
              <w:jc w:val="both"/>
            </w:pPr>
            <w:r>
              <w:t xml:space="preserve">Tiks rosināta diskusija Ministru kabinetā par domnīcā noteiktās mērķa algas un tās indeksācijas </w:t>
            </w:r>
            <w:r w:rsidRPr="00275B92">
              <w:t>mehānisma piedāvājumu.</w:t>
            </w:r>
          </w:p>
          <w:p w14:paraId="3FD70C9B" w14:textId="26E43F3C" w:rsidR="000E3CFC" w:rsidRPr="000E3CFC" w:rsidRDefault="000E3CFC" w:rsidP="00F914BE">
            <w:pPr>
              <w:jc w:val="both"/>
            </w:pPr>
            <w:r w:rsidRPr="00275B92">
              <w:t>Ja Finanšu ministrija vērš uzmanību uz darba samaksas indeksācijas mehānismu, uzskatot to par neprecīzu, tad lūdzam sniegt Finanšu ministrijas priekšlikumus darba samaksas turpmākajai indeksēšanai.</w:t>
            </w:r>
          </w:p>
        </w:tc>
        <w:tc>
          <w:tcPr>
            <w:tcW w:w="1418" w:type="dxa"/>
            <w:tcBorders>
              <w:top w:val="single" w:sz="4" w:space="0" w:color="auto"/>
              <w:left w:val="single" w:sz="4" w:space="0" w:color="auto"/>
              <w:bottom w:val="single" w:sz="4" w:space="0" w:color="auto"/>
              <w:right w:val="single" w:sz="4" w:space="0" w:color="auto"/>
            </w:tcBorders>
          </w:tcPr>
          <w:p w14:paraId="380B607D" w14:textId="77777777" w:rsidR="00853340" w:rsidRPr="008A36C9" w:rsidRDefault="00853340" w:rsidP="00F914BE">
            <w:pPr>
              <w:jc w:val="center"/>
              <w:rPr>
                <w:sz w:val="20"/>
                <w:szCs w:val="20"/>
              </w:rPr>
            </w:pPr>
          </w:p>
        </w:tc>
        <w:tc>
          <w:tcPr>
            <w:tcW w:w="2268" w:type="dxa"/>
            <w:tcBorders>
              <w:top w:val="single" w:sz="4" w:space="0" w:color="auto"/>
              <w:left w:val="single" w:sz="4" w:space="0" w:color="auto"/>
              <w:bottom w:val="single" w:sz="4" w:space="0" w:color="auto"/>
            </w:tcBorders>
          </w:tcPr>
          <w:p w14:paraId="27816E82" w14:textId="77777777" w:rsidR="00853340" w:rsidRDefault="00853340" w:rsidP="00F914BE">
            <w:pPr>
              <w:jc w:val="both"/>
              <w:rPr>
                <w:color w:val="000000"/>
              </w:rPr>
            </w:pPr>
          </w:p>
        </w:tc>
      </w:tr>
      <w:tr w:rsidR="00A1334A" w:rsidRPr="008A36C9" w14:paraId="46A3C4AC" w14:textId="77777777" w:rsidTr="00BD227E">
        <w:tc>
          <w:tcPr>
            <w:tcW w:w="708" w:type="dxa"/>
            <w:tcBorders>
              <w:top w:val="single" w:sz="6" w:space="0" w:color="000000"/>
              <w:left w:val="single" w:sz="6" w:space="0" w:color="000000"/>
              <w:bottom w:val="single" w:sz="6" w:space="0" w:color="000000"/>
              <w:right w:val="single" w:sz="6" w:space="0" w:color="000000"/>
            </w:tcBorders>
          </w:tcPr>
          <w:p w14:paraId="2940FFF5" w14:textId="10A21132" w:rsidR="00A1334A" w:rsidRDefault="00FD7805" w:rsidP="00F914BE">
            <w:pPr>
              <w:pStyle w:val="naisc"/>
              <w:spacing w:before="0" w:after="0"/>
              <w:rPr>
                <w:sz w:val="20"/>
                <w:szCs w:val="20"/>
              </w:rPr>
            </w:pPr>
            <w:r>
              <w:rPr>
                <w:sz w:val="20"/>
                <w:szCs w:val="20"/>
              </w:rPr>
              <w:t>2</w:t>
            </w:r>
            <w:r w:rsidR="00727EC5">
              <w:rPr>
                <w:sz w:val="20"/>
                <w:szCs w:val="20"/>
              </w:rPr>
              <w:t>.</w:t>
            </w:r>
          </w:p>
        </w:tc>
        <w:tc>
          <w:tcPr>
            <w:tcW w:w="1978" w:type="dxa"/>
            <w:tcBorders>
              <w:top w:val="single" w:sz="6" w:space="0" w:color="000000"/>
              <w:left w:val="single" w:sz="6" w:space="0" w:color="000000"/>
              <w:bottom w:val="single" w:sz="6" w:space="0" w:color="000000"/>
              <w:right w:val="single" w:sz="6" w:space="0" w:color="000000"/>
            </w:tcBorders>
          </w:tcPr>
          <w:p w14:paraId="3DA817F8" w14:textId="34C22E9A" w:rsidR="00A1334A" w:rsidRDefault="00A1334A" w:rsidP="00F914BE">
            <w:pPr>
              <w:pStyle w:val="naisc"/>
              <w:spacing w:before="0" w:after="0"/>
              <w:jc w:val="left"/>
              <w:rPr>
                <w:color w:val="000000"/>
              </w:rPr>
            </w:pPr>
          </w:p>
        </w:tc>
        <w:tc>
          <w:tcPr>
            <w:tcW w:w="5386" w:type="dxa"/>
            <w:tcBorders>
              <w:top w:val="single" w:sz="6" w:space="0" w:color="000000"/>
              <w:left w:val="single" w:sz="6" w:space="0" w:color="000000"/>
              <w:bottom w:val="single" w:sz="6" w:space="0" w:color="000000"/>
              <w:right w:val="single" w:sz="6" w:space="0" w:color="000000"/>
            </w:tcBorders>
          </w:tcPr>
          <w:p w14:paraId="6A8CF629" w14:textId="77777777" w:rsidR="00A1334A" w:rsidRDefault="0048635D" w:rsidP="00F914BE">
            <w:pPr>
              <w:jc w:val="center"/>
              <w:rPr>
                <w:b/>
                <w:u w:val="single"/>
              </w:rPr>
            </w:pPr>
            <w:r>
              <w:rPr>
                <w:b/>
                <w:u w:val="single"/>
              </w:rPr>
              <w:t>Latvijas Veselības un sociālās aprūpes darbinieku arodbiedrība</w:t>
            </w:r>
          </w:p>
          <w:p w14:paraId="74AC673F" w14:textId="2902F19B" w:rsidR="0048635D" w:rsidRPr="000A7CD5" w:rsidRDefault="0048635D" w:rsidP="00F914BE">
            <w:pPr>
              <w:jc w:val="both"/>
              <w:rPr>
                <w:rFonts w:eastAsiaTheme="minorHAnsi"/>
                <w:lang w:eastAsia="en-US"/>
              </w:rPr>
            </w:pPr>
            <w:r>
              <w:rPr>
                <w:rFonts w:eastAsiaTheme="minorHAnsi"/>
                <w:lang w:eastAsia="en-US"/>
              </w:rPr>
              <w:t>LVSADA nepiekrīt, ka par jautājumiem, kurus izvirzīja LVSADA, saskaņošanā ir panākta vienošanās. Līdz ar to LVSADA uztur spēkā iebildumus pret informatīvā ziņojuma tālāko virzību. LVSADA ierosina izskatīt ziņojumu NTSP sēdē.</w:t>
            </w:r>
          </w:p>
        </w:tc>
        <w:tc>
          <w:tcPr>
            <w:tcW w:w="3402" w:type="dxa"/>
            <w:tcBorders>
              <w:top w:val="single" w:sz="6" w:space="0" w:color="000000"/>
              <w:left w:val="single" w:sz="6" w:space="0" w:color="000000"/>
              <w:bottom w:val="single" w:sz="6" w:space="0" w:color="000000"/>
              <w:right w:val="single" w:sz="6" w:space="0" w:color="000000"/>
            </w:tcBorders>
          </w:tcPr>
          <w:p w14:paraId="123B0BC2" w14:textId="77777777" w:rsidR="0048635D" w:rsidRPr="000D6631" w:rsidRDefault="0048635D" w:rsidP="00F914BE">
            <w:pPr>
              <w:jc w:val="center"/>
              <w:rPr>
                <w:b/>
                <w:bCs/>
              </w:rPr>
            </w:pPr>
            <w:r w:rsidRPr="000D6631">
              <w:rPr>
                <w:b/>
                <w:bCs/>
              </w:rPr>
              <w:t>Nav ņemts vērā</w:t>
            </w:r>
          </w:p>
          <w:p w14:paraId="1501DA25" w14:textId="2CA3FED5" w:rsidR="000A7CD5" w:rsidRPr="00386688" w:rsidRDefault="002A1209" w:rsidP="00F914BE">
            <w:pPr>
              <w:pStyle w:val="naisc"/>
              <w:spacing w:before="0" w:after="0"/>
              <w:jc w:val="both"/>
            </w:pPr>
            <w:r>
              <w:t>Informatīvais ziņojums nav konceptuāli saskaņots ar LVSADA.</w:t>
            </w:r>
          </w:p>
        </w:tc>
        <w:tc>
          <w:tcPr>
            <w:tcW w:w="1418" w:type="dxa"/>
            <w:tcBorders>
              <w:top w:val="single" w:sz="4" w:space="0" w:color="auto"/>
              <w:left w:val="single" w:sz="4" w:space="0" w:color="auto"/>
              <w:bottom w:val="single" w:sz="4" w:space="0" w:color="auto"/>
              <w:right w:val="single" w:sz="4" w:space="0" w:color="auto"/>
            </w:tcBorders>
          </w:tcPr>
          <w:p w14:paraId="031A7378" w14:textId="77777777" w:rsidR="00A1334A" w:rsidRPr="008A36C9" w:rsidRDefault="00A1334A" w:rsidP="00F914BE">
            <w:pPr>
              <w:jc w:val="center"/>
              <w:rPr>
                <w:sz w:val="20"/>
                <w:szCs w:val="20"/>
              </w:rPr>
            </w:pPr>
          </w:p>
        </w:tc>
        <w:tc>
          <w:tcPr>
            <w:tcW w:w="2268" w:type="dxa"/>
            <w:tcBorders>
              <w:top w:val="single" w:sz="4" w:space="0" w:color="auto"/>
              <w:left w:val="single" w:sz="4" w:space="0" w:color="auto"/>
              <w:bottom w:val="single" w:sz="4" w:space="0" w:color="auto"/>
            </w:tcBorders>
          </w:tcPr>
          <w:p w14:paraId="28CC74A6" w14:textId="7FFF00C3" w:rsidR="00A1334A" w:rsidRDefault="00A1334A" w:rsidP="00F914BE">
            <w:pPr>
              <w:jc w:val="both"/>
              <w:rPr>
                <w:color w:val="000000"/>
              </w:rPr>
            </w:pPr>
          </w:p>
        </w:tc>
      </w:tr>
    </w:tbl>
    <w:p w14:paraId="0D222C09" w14:textId="77777777" w:rsidR="001426E8" w:rsidRDefault="001426E8" w:rsidP="00F914BE">
      <w:pPr>
        <w:pStyle w:val="naisf"/>
        <w:spacing w:before="0" w:after="0"/>
        <w:ind w:firstLine="0"/>
        <w:rPr>
          <w:b/>
        </w:rPr>
      </w:pPr>
    </w:p>
    <w:p w14:paraId="6EFC7BC6" w14:textId="72FFFB55" w:rsidR="00C0467D" w:rsidRPr="00712B66" w:rsidRDefault="00C10AE9" w:rsidP="00F914BE">
      <w:pPr>
        <w:pStyle w:val="naisf"/>
        <w:spacing w:before="0" w:after="0"/>
        <w:ind w:firstLine="0"/>
        <w:rPr>
          <w:b/>
        </w:rPr>
      </w:pPr>
      <w:r>
        <w:rPr>
          <w:b/>
        </w:rPr>
        <w:br w:type="textWrapping" w:clear="all"/>
      </w:r>
      <w:r w:rsidR="00C0467D" w:rsidRPr="00712B66">
        <w:rPr>
          <w:b/>
        </w:rPr>
        <w:t>Informācija par starpministriju (starpinstitūciju) sanāks</w:t>
      </w:r>
      <w:r w:rsidR="00C0467D">
        <w:rPr>
          <w:b/>
        </w:rPr>
        <w:t>mi vai elektronisko saskaņošanu</w:t>
      </w:r>
    </w:p>
    <w:tbl>
      <w:tblPr>
        <w:tblpPr w:leftFromText="180" w:rightFromText="180" w:vertAnchor="text" w:tblpY="1"/>
        <w:tblOverlap w:val="never"/>
        <w:tblW w:w="16130" w:type="dxa"/>
        <w:tblLook w:val="00A0" w:firstRow="1" w:lastRow="0" w:firstColumn="1" w:lastColumn="0" w:noHBand="0" w:noVBand="0"/>
      </w:tblPr>
      <w:tblGrid>
        <w:gridCol w:w="8339"/>
        <w:gridCol w:w="243"/>
        <w:gridCol w:w="6194"/>
        <w:gridCol w:w="792"/>
        <w:gridCol w:w="562"/>
      </w:tblGrid>
      <w:tr w:rsidR="00C0467D" w14:paraId="2B2624D5" w14:textId="77777777" w:rsidTr="0035660B">
        <w:trPr>
          <w:gridAfter w:val="2"/>
          <w:wAfter w:w="1354" w:type="dxa"/>
          <w:trHeight w:val="193"/>
        </w:trPr>
        <w:tc>
          <w:tcPr>
            <w:tcW w:w="8339" w:type="dxa"/>
          </w:tcPr>
          <w:p w14:paraId="67253CB6" w14:textId="77777777" w:rsidR="00C0467D" w:rsidRPr="00712B66" w:rsidRDefault="00C0467D" w:rsidP="00F914BE">
            <w:pPr>
              <w:pStyle w:val="naisf"/>
              <w:spacing w:before="0" w:after="0"/>
              <w:ind w:firstLine="0"/>
            </w:pPr>
            <w:r w:rsidRPr="00712B66">
              <w:t>Datums</w:t>
            </w:r>
          </w:p>
        </w:tc>
        <w:tc>
          <w:tcPr>
            <w:tcW w:w="6437" w:type="dxa"/>
            <w:gridSpan w:val="2"/>
            <w:tcBorders>
              <w:bottom w:val="single" w:sz="4" w:space="0" w:color="auto"/>
            </w:tcBorders>
          </w:tcPr>
          <w:p w14:paraId="1A96ED9B" w14:textId="34844920" w:rsidR="00C0467D" w:rsidRPr="00712B66" w:rsidRDefault="0048635D" w:rsidP="00F914BE">
            <w:pPr>
              <w:pStyle w:val="NormalWeb"/>
              <w:spacing w:before="0" w:beforeAutospacing="0" w:after="0" w:afterAutospacing="0"/>
            </w:pPr>
            <w:r>
              <w:t>26.11.2020</w:t>
            </w:r>
          </w:p>
        </w:tc>
      </w:tr>
      <w:tr w:rsidR="00C0467D" w14:paraId="116D06FD" w14:textId="77777777" w:rsidTr="0035660B">
        <w:trPr>
          <w:gridAfter w:val="2"/>
          <w:wAfter w:w="1354" w:type="dxa"/>
          <w:trHeight w:val="193"/>
        </w:trPr>
        <w:tc>
          <w:tcPr>
            <w:tcW w:w="8339" w:type="dxa"/>
          </w:tcPr>
          <w:p w14:paraId="715FCAD4" w14:textId="77777777" w:rsidR="00C0467D" w:rsidRPr="00712B66" w:rsidRDefault="00C0467D" w:rsidP="00F914BE">
            <w:pPr>
              <w:pStyle w:val="naisf"/>
              <w:spacing w:before="0" w:after="0"/>
              <w:ind w:firstLine="0"/>
            </w:pPr>
          </w:p>
        </w:tc>
        <w:tc>
          <w:tcPr>
            <w:tcW w:w="6437" w:type="dxa"/>
            <w:gridSpan w:val="2"/>
            <w:tcBorders>
              <w:top w:val="single" w:sz="4" w:space="0" w:color="auto"/>
            </w:tcBorders>
          </w:tcPr>
          <w:p w14:paraId="02F523DA" w14:textId="77777777" w:rsidR="00C0467D" w:rsidRPr="00712B66" w:rsidRDefault="00C0467D" w:rsidP="00F914BE">
            <w:pPr>
              <w:pStyle w:val="NormalWeb"/>
              <w:spacing w:before="0" w:beforeAutospacing="0" w:after="0" w:afterAutospacing="0"/>
            </w:pPr>
          </w:p>
        </w:tc>
      </w:tr>
      <w:tr w:rsidR="00C0467D" w14:paraId="50061883" w14:textId="77777777" w:rsidTr="0035660B">
        <w:trPr>
          <w:trHeight w:val="204"/>
        </w:trPr>
        <w:tc>
          <w:tcPr>
            <w:tcW w:w="8339" w:type="dxa"/>
          </w:tcPr>
          <w:p w14:paraId="1EB1D282" w14:textId="77777777" w:rsidR="00C0467D" w:rsidRPr="00712B66" w:rsidRDefault="00C0467D" w:rsidP="00F914BE">
            <w:pPr>
              <w:pStyle w:val="naiskr"/>
              <w:spacing w:before="0" w:after="0"/>
            </w:pPr>
            <w:r>
              <w:t>Saskaņošanas d</w:t>
            </w:r>
            <w:r w:rsidRPr="00712B66">
              <w:t>alībnieki</w:t>
            </w:r>
          </w:p>
        </w:tc>
        <w:tc>
          <w:tcPr>
            <w:tcW w:w="7791" w:type="dxa"/>
            <w:gridSpan w:val="4"/>
          </w:tcPr>
          <w:p w14:paraId="10007600" w14:textId="77777777" w:rsidR="00D11985" w:rsidRDefault="0048635D" w:rsidP="00F914BE">
            <w:pPr>
              <w:pStyle w:val="NormalWeb"/>
              <w:spacing w:before="0" w:beforeAutospacing="0" w:after="0" w:afterAutospacing="0"/>
              <w:jc w:val="both"/>
            </w:pPr>
            <w:r>
              <w:t>Valsts kanceleja, Pārresoru koordinācijas centrs, Finanšu ministrija,</w:t>
            </w:r>
          </w:p>
          <w:p w14:paraId="4FC8AC85" w14:textId="77777777" w:rsidR="0048635D" w:rsidRDefault="0048635D" w:rsidP="00F914BE">
            <w:pPr>
              <w:pStyle w:val="NormalWeb"/>
              <w:spacing w:before="0" w:beforeAutospacing="0" w:after="0" w:afterAutospacing="0"/>
              <w:jc w:val="both"/>
            </w:pPr>
            <w:r>
              <w:t xml:space="preserve">Tieslietu ministrija, Iekšlietu ministrija, Labklājības ministrija, </w:t>
            </w:r>
          </w:p>
          <w:p w14:paraId="7E919967" w14:textId="77777777" w:rsidR="0048635D" w:rsidRDefault="0048635D" w:rsidP="00F914BE">
            <w:pPr>
              <w:pStyle w:val="NormalWeb"/>
              <w:spacing w:before="0" w:beforeAutospacing="0" w:after="0" w:afterAutospacing="0"/>
              <w:jc w:val="both"/>
            </w:pPr>
            <w:r>
              <w:t xml:space="preserve">Latvijas Darba devēju konfederācija, Latvijas Brīvo arodbiedrību </w:t>
            </w:r>
          </w:p>
          <w:p w14:paraId="5EF3E19F" w14:textId="58ADAC2D" w:rsidR="0048635D" w:rsidRDefault="0048635D" w:rsidP="00F914BE">
            <w:pPr>
              <w:pStyle w:val="NormalWeb"/>
              <w:spacing w:before="0" w:beforeAutospacing="0" w:after="0" w:afterAutospacing="0"/>
              <w:jc w:val="both"/>
            </w:pPr>
            <w:r>
              <w:t xml:space="preserve">savienība, Latvijas Pašvaldību savienība, Latvijas Tirdzniecības un </w:t>
            </w:r>
          </w:p>
          <w:p w14:paraId="26E5915B" w14:textId="658257A6" w:rsidR="0048635D" w:rsidRPr="00D11985" w:rsidRDefault="0048635D" w:rsidP="00F914BE">
            <w:pPr>
              <w:pStyle w:val="NormalWeb"/>
              <w:spacing w:before="0" w:beforeAutospacing="0" w:after="0" w:afterAutospacing="0"/>
              <w:jc w:val="both"/>
            </w:pPr>
            <w:r>
              <w:t>rūpniecības kamera</w:t>
            </w:r>
          </w:p>
        </w:tc>
      </w:tr>
      <w:tr w:rsidR="00C0467D" w14:paraId="0A710E0E" w14:textId="77777777" w:rsidTr="0035660B">
        <w:trPr>
          <w:gridAfter w:val="2"/>
          <w:wAfter w:w="1354" w:type="dxa"/>
          <w:trHeight w:val="193"/>
        </w:trPr>
        <w:tc>
          <w:tcPr>
            <w:tcW w:w="8339" w:type="dxa"/>
          </w:tcPr>
          <w:p w14:paraId="14E74C3C" w14:textId="77777777" w:rsidR="00C0467D" w:rsidRPr="00712B66" w:rsidRDefault="00C0467D" w:rsidP="00F914BE">
            <w:pPr>
              <w:pStyle w:val="naiskr"/>
              <w:spacing w:before="0" w:after="0"/>
            </w:pPr>
            <w:r w:rsidRPr="00712B66">
              <w:t>  </w:t>
            </w:r>
          </w:p>
        </w:tc>
        <w:tc>
          <w:tcPr>
            <w:tcW w:w="6437" w:type="dxa"/>
            <w:gridSpan w:val="2"/>
            <w:tcBorders>
              <w:top w:val="single" w:sz="6" w:space="0" w:color="000000"/>
              <w:bottom w:val="single" w:sz="6" w:space="0" w:color="000000"/>
            </w:tcBorders>
          </w:tcPr>
          <w:p w14:paraId="086449D4" w14:textId="3A2F805E" w:rsidR="00C0467D" w:rsidRPr="00712B66" w:rsidRDefault="00C0467D" w:rsidP="00F914BE">
            <w:pPr>
              <w:pStyle w:val="naiskr"/>
              <w:spacing w:before="0" w:after="0"/>
              <w:jc w:val="both"/>
            </w:pPr>
          </w:p>
        </w:tc>
      </w:tr>
      <w:tr w:rsidR="00C0467D" w14:paraId="4F1E51F8" w14:textId="77777777" w:rsidTr="0035660B">
        <w:trPr>
          <w:gridAfter w:val="1"/>
          <w:wAfter w:w="562" w:type="dxa"/>
          <w:trHeight w:val="204"/>
        </w:trPr>
        <w:tc>
          <w:tcPr>
            <w:tcW w:w="8339" w:type="dxa"/>
          </w:tcPr>
          <w:p w14:paraId="142AE11E" w14:textId="77777777" w:rsidR="00C0467D" w:rsidRPr="00712B66" w:rsidRDefault="00C0467D" w:rsidP="00F914BE">
            <w:pPr>
              <w:pStyle w:val="naiskr"/>
              <w:spacing w:before="0" w:after="0"/>
            </w:pPr>
          </w:p>
        </w:tc>
        <w:tc>
          <w:tcPr>
            <w:tcW w:w="243" w:type="dxa"/>
          </w:tcPr>
          <w:p w14:paraId="4C0AECFA" w14:textId="77777777" w:rsidR="00C0467D" w:rsidRPr="00712B66" w:rsidRDefault="00C0467D" w:rsidP="00F914BE">
            <w:pPr>
              <w:pStyle w:val="naiskr"/>
              <w:spacing w:before="0" w:after="0"/>
            </w:pPr>
          </w:p>
        </w:tc>
        <w:tc>
          <w:tcPr>
            <w:tcW w:w="6986" w:type="dxa"/>
            <w:gridSpan w:val="2"/>
          </w:tcPr>
          <w:p w14:paraId="5A321A0D" w14:textId="77777777" w:rsidR="00C0467D" w:rsidRPr="00712B66" w:rsidRDefault="00C0467D" w:rsidP="00F914BE">
            <w:pPr>
              <w:pStyle w:val="naiskr"/>
              <w:spacing w:before="0" w:after="0"/>
            </w:pPr>
          </w:p>
        </w:tc>
      </w:tr>
      <w:tr w:rsidR="00C0467D" w14:paraId="31EB36D5" w14:textId="77777777" w:rsidTr="0035660B">
        <w:trPr>
          <w:gridAfter w:val="2"/>
          <w:wAfter w:w="1354" w:type="dxa"/>
          <w:trHeight w:val="545"/>
        </w:trPr>
        <w:tc>
          <w:tcPr>
            <w:tcW w:w="8339" w:type="dxa"/>
          </w:tcPr>
          <w:p w14:paraId="57711D9E" w14:textId="77777777" w:rsidR="00C0467D" w:rsidRPr="00712B66" w:rsidRDefault="00C0467D" w:rsidP="00F914BE">
            <w:pPr>
              <w:pStyle w:val="naiskr"/>
              <w:spacing w:before="0" w:after="0"/>
            </w:pPr>
            <w:r>
              <w:t>Saskaņošanas d</w:t>
            </w:r>
            <w:r w:rsidRPr="00712B66">
              <w:t xml:space="preserve">alībnieki izskatīja šādu ministriju </w:t>
            </w:r>
            <w:r>
              <w:t>(c</w:t>
            </w:r>
            <w:r w:rsidRPr="00712B66">
              <w:t>itu institūciju</w:t>
            </w:r>
            <w:r>
              <w:t>)</w:t>
            </w:r>
            <w:r w:rsidRPr="00712B66">
              <w:t xml:space="preserve"> iebildumus</w:t>
            </w:r>
          </w:p>
        </w:tc>
        <w:tc>
          <w:tcPr>
            <w:tcW w:w="6437" w:type="dxa"/>
            <w:gridSpan w:val="2"/>
            <w:tcBorders>
              <w:bottom w:val="single" w:sz="4" w:space="0" w:color="auto"/>
            </w:tcBorders>
          </w:tcPr>
          <w:p w14:paraId="298A18EE" w14:textId="2122A5BD" w:rsidR="00C0467D" w:rsidRPr="007B55DF" w:rsidRDefault="00C0467D" w:rsidP="00F914BE">
            <w:pPr>
              <w:pStyle w:val="naisc"/>
              <w:spacing w:before="0" w:after="0"/>
              <w:jc w:val="left"/>
              <w:rPr>
                <w:bCs/>
              </w:rPr>
            </w:pPr>
          </w:p>
        </w:tc>
      </w:tr>
      <w:tr w:rsidR="00AA51ED" w14:paraId="0AE61AA1" w14:textId="77777777" w:rsidTr="0035660B">
        <w:trPr>
          <w:gridAfter w:val="4"/>
          <w:wAfter w:w="7791" w:type="dxa"/>
          <w:trHeight w:val="321"/>
        </w:trPr>
        <w:tc>
          <w:tcPr>
            <w:tcW w:w="8339" w:type="dxa"/>
          </w:tcPr>
          <w:p w14:paraId="3F6A8C50" w14:textId="77777777" w:rsidR="00AA51ED" w:rsidRPr="00712B66" w:rsidRDefault="00AA51ED" w:rsidP="00F914BE">
            <w:pPr>
              <w:pStyle w:val="naiskr"/>
              <w:spacing w:before="0" w:after="0"/>
            </w:pPr>
            <w:r w:rsidRPr="00712B66">
              <w:t>Ministrijas (citas institūcijas), kuras nav ieradušās uz sanāksmi vai kuras nav atbildējušas uz uzaicinājumu piedalīties elektroniskajā saskaņošanā</w:t>
            </w:r>
          </w:p>
        </w:tc>
      </w:tr>
    </w:tbl>
    <w:p w14:paraId="215F48CB" w14:textId="77777777" w:rsidR="00727EC5" w:rsidRDefault="00727EC5" w:rsidP="00F914BE">
      <w:pPr>
        <w:rPr>
          <w:b/>
        </w:rPr>
      </w:pPr>
    </w:p>
    <w:p w14:paraId="7DB3776C" w14:textId="4D95637C" w:rsidR="00727EC5" w:rsidRDefault="00727EC5" w:rsidP="00F914BE">
      <w:pPr>
        <w:jc w:val="right"/>
        <w:rPr>
          <w:b/>
        </w:rPr>
      </w:pPr>
    </w:p>
    <w:p w14:paraId="77166AE7" w14:textId="77777777" w:rsidR="001426E8" w:rsidRDefault="001426E8" w:rsidP="00F914BE">
      <w:pPr>
        <w:jc w:val="right"/>
        <w:rPr>
          <w:b/>
        </w:rPr>
      </w:pPr>
    </w:p>
    <w:p w14:paraId="325AFD2D" w14:textId="219C213A" w:rsidR="007B4C0F" w:rsidRDefault="00727EC5" w:rsidP="00F914BE">
      <w:pPr>
        <w:jc w:val="center"/>
        <w:rPr>
          <w:b/>
        </w:rPr>
      </w:pPr>
      <w:r>
        <w:rPr>
          <w:b/>
        </w:rPr>
        <w:lastRenderedPageBreak/>
        <w:t>I</w:t>
      </w:r>
      <w:r w:rsidR="007B4C0F" w:rsidRPr="00712B66">
        <w:rPr>
          <w:b/>
        </w:rPr>
        <w:t>I. </w:t>
      </w:r>
      <w:r w:rsidR="00134188" w:rsidRPr="00712B66">
        <w:rPr>
          <w:b/>
        </w:rPr>
        <w:t>Jautājumi, par kuriem saskaņošanā vienošan</w:t>
      </w:r>
      <w:r w:rsidR="00144622">
        <w:rPr>
          <w:b/>
        </w:rPr>
        <w:t>ā</w:t>
      </w:r>
      <w:r w:rsidR="00134188" w:rsidRPr="00712B66">
        <w:rPr>
          <w:b/>
        </w:rPr>
        <w:t>s ir panākta</w:t>
      </w:r>
    </w:p>
    <w:p w14:paraId="46340371" w14:textId="77777777" w:rsidR="00375B33" w:rsidRPr="00712B66" w:rsidRDefault="00375B33" w:rsidP="00F914BE">
      <w:pPr>
        <w:pStyle w:val="naisf"/>
        <w:spacing w:before="0" w:after="0"/>
        <w:ind w:firstLine="0"/>
        <w:jc w:val="center"/>
      </w:pPr>
    </w:p>
    <w:tbl>
      <w:tblPr>
        <w:tblW w:w="1516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34"/>
        <w:gridCol w:w="2435"/>
        <w:gridCol w:w="5670"/>
        <w:gridCol w:w="3269"/>
        <w:gridCol w:w="842"/>
        <w:gridCol w:w="1567"/>
        <w:gridCol w:w="843"/>
      </w:tblGrid>
      <w:tr w:rsidR="00134188" w:rsidRPr="00712B66" w14:paraId="639725FC" w14:textId="77777777" w:rsidTr="00374742">
        <w:tc>
          <w:tcPr>
            <w:tcW w:w="534" w:type="dxa"/>
            <w:tcBorders>
              <w:top w:val="single" w:sz="6" w:space="0" w:color="000000"/>
              <w:left w:val="single" w:sz="6" w:space="0" w:color="000000"/>
              <w:bottom w:val="single" w:sz="6" w:space="0" w:color="000000"/>
              <w:right w:val="single" w:sz="6" w:space="0" w:color="000000"/>
            </w:tcBorders>
            <w:vAlign w:val="center"/>
          </w:tcPr>
          <w:p w14:paraId="67AF798B" w14:textId="77777777" w:rsidR="00134188" w:rsidRPr="00712B66" w:rsidRDefault="00134188" w:rsidP="00F914BE">
            <w:pPr>
              <w:pStyle w:val="naisc"/>
              <w:spacing w:before="0" w:after="0"/>
            </w:pPr>
            <w:r w:rsidRPr="00712B66">
              <w:t>Nr. p.</w:t>
            </w:r>
            <w:r w:rsidR="00D64FB0">
              <w:t> </w:t>
            </w:r>
            <w:r w:rsidRPr="00712B66">
              <w:t>k.</w:t>
            </w:r>
          </w:p>
        </w:tc>
        <w:tc>
          <w:tcPr>
            <w:tcW w:w="2435" w:type="dxa"/>
            <w:tcBorders>
              <w:top w:val="single" w:sz="6" w:space="0" w:color="000000"/>
              <w:left w:val="single" w:sz="6" w:space="0" w:color="000000"/>
              <w:bottom w:val="single" w:sz="6" w:space="0" w:color="000000"/>
              <w:right w:val="single" w:sz="6" w:space="0" w:color="000000"/>
            </w:tcBorders>
            <w:vAlign w:val="center"/>
          </w:tcPr>
          <w:p w14:paraId="51D6AD4D" w14:textId="77777777" w:rsidR="00134188" w:rsidRPr="005C7FB0" w:rsidRDefault="00134188" w:rsidP="00F914BE">
            <w:pPr>
              <w:pStyle w:val="naisc"/>
              <w:spacing w:before="0" w:after="0"/>
              <w:ind w:firstLine="12"/>
            </w:pPr>
            <w:r w:rsidRPr="005C7FB0">
              <w:t>Saskaņošanai nosūtītā projekta redakcija (konkrēta punkta (panta) redakcija)</w:t>
            </w:r>
          </w:p>
        </w:tc>
        <w:tc>
          <w:tcPr>
            <w:tcW w:w="5670" w:type="dxa"/>
            <w:tcBorders>
              <w:top w:val="single" w:sz="6" w:space="0" w:color="000000"/>
              <w:left w:val="single" w:sz="6" w:space="0" w:color="000000"/>
              <w:bottom w:val="single" w:sz="6" w:space="0" w:color="000000"/>
              <w:right w:val="single" w:sz="6" w:space="0" w:color="000000"/>
            </w:tcBorders>
            <w:vAlign w:val="center"/>
          </w:tcPr>
          <w:p w14:paraId="33C33AB7" w14:textId="77777777" w:rsidR="00134188" w:rsidRPr="006D159F" w:rsidRDefault="00134188" w:rsidP="00F914BE">
            <w:pPr>
              <w:pStyle w:val="naisc"/>
              <w:spacing w:before="0" w:after="0"/>
              <w:ind w:right="3"/>
            </w:pPr>
            <w:r w:rsidRPr="006D159F">
              <w:t>Atzinumā norādītais ministrijas (citas institūcijas) iebildums, kā arī saskaņošanā papildus izteiktais iebildums par projekta konkrēto punktu (pantu)</w:t>
            </w:r>
          </w:p>
        </w:tc>
        <w:tc>
          <w:tcPr>
            <w:tcW w:w="4111" w:type="dxa"/>
            <w:gridSpan w:val="2"/>
            <w:tcBorders>
              <w:top w:val="single" w:sz="6" w:space="0" w:color="000000"/>
              <w:left w:val="single" w:sz="6" w:space="0" w:color="000000"/>
              <w:bottom w:val="single" w:sz="6" w:space="0" w:color="000000"/>
              <w:right w:val="single" w:sz="6" w:space="0" w:color="000000"/>
            </w:tcBorders>
            <w:vAlign w:val="center"/>
          </w:tcPr>
          <w:p w14:paraId="63B04CDB" w14:textId="77777777" w:rsidR="00134188" w:rsidRPr="00712B66" w:rsidRDefault="00134188" w:rsidP="00F914BE">
            <w:pPr>
              <w:pStyle w:val="naisc"/>
              <w:spacing w:before="0" w:after="0"/>
              <w:ind w:firstLine="21"/>
            </w:pPr>
            <w:r w:rsidRPr="00712B66">
              <w:t>Atbildīgās ministrijas norāde</w:t>
            </w:r>
            <w:r w:rsidR="006C1C48" w:rsidRPr="00712B66">
              <w:t xml:space="preserve"> par to, ka </w:t>
            </w:r>
            <w:r w:rsidRPr="00712B66">
              <w:t>iebildums ir ņemts vērā</w:t>
            </w:r>
            <w:r w:rsidR="006455E7">
              <w:t>,</w:t>
            </w:r>
            <w:r w:rsidRPr="00712B66">
              <w:t xml:space="preserve"> vai </w:t>
            </w:r>
            <w:r w:rsidR="006C1C48" w:rsidRPr="00712B66">
              <w:t xml:space="preserve">informācija par saskaņošanā </w:t>
            </w:r>
            <w:r w:rsidR="00022B0F" w:rsidRPr="00712B66">
              <w:t>panākto alternatīvo risinājumu</w:t>
            </w:r>
          </w:p>
        </w:tc>
        <w:tc>
          <w:tcPr>
            <w:tcW w:w="2410" w:type="dxa"/>
            <w:gridSpan w:val="2"/>
            <w:tcBorders>
              <w:top w:val="single" w:sz="4" w:space="0" w:color="auto"/>
              <w:left w:val="single" w:sz="4" w:space="0" w:color="auto"/>
              <w:bottom w:val="single" w:sz="4" w:space="0" w:color="auto"/>
            </w:tcBorders>
            <w:vAlign w:val="center"/>
          </w:tcPr>
          <w:p w14:paraId="7D81473F" w14:textId="77777777" w:rsidR="00134188" w:rsidRPr="00712B66" w:rsidRDefault="00134188" w:rsidP="00F914BE">
            <w:pPr>
              <w:jc w:val="center"/>
            </w:pPr>
            <w:r w:rsidRPr="00712B66">
              <w:t>Projekta attiecīgā punkta (panta) galīgā redakcija</w:t>
            </w:r>
          </w:p>
        </w:tc>
      </w:tr>
      <w:tr w:rsidR="00134188" w:rsidRPr="003B71E0" w14:paraId="7D7428EC"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899162E" w14:textId="77777777" w:rsidR="00134188" w:rsidRPr="000443D4" w:rsidRDefault="003B71E0" w:rsidP="00F914BE">
            <w:pPr>
              <w:pStyle w:val="naisc"/>
              <w:spacing w:before="0" w:after="0"/>
            </w:pPr>
            <w:r w:rsidRPr="000443D4">
              <w:rPr>
                <w:sz w:val="20"/>
                <w:szCs w:val="20"/>
              </w:rPr>
              <w:t>1</w:t>
            </w:r>
          </w:p>
        </w:tc>
        <w:tc>
          <w:tcPr>
            <w:tcW w:w="2435" w:type="dxa"/>
            <w:tcBorders>
              <w:top w:val="single" w:sz="6" w:space="0" w:color="000000"/>
              <w:left w:val="single" w:sz="6" w:space="0" w:color="000000"/>
              <w:bottom w:val="single" w:sz="6" w:space="0" w:color="000000"/>
              <w:right w:val="single" w:sz="6" w:space="0" w:color="000000"/>
            </w:tcBorders>
          </w:tcPr>
          <w:p w14:paraId="63F4B02F" w14:textId="77777777" w:rsidR="00134188" w:rsidRPr="00FF218E" w:rsidRDefault="00F34AAB" w:rsidP="00F914BE">
            <w:pPr>
              <w:pStyle w:val="naisc"/>
              <w:spacing w:before="0" w:after="0"/>
              <w:rPr>
                <w:sz w:val="20"/>
                <w:szCs w:val="20"/>
              </w:rPr>
            </w:pPr>
            <w:r w:rsidRPr="00FF218E">
              <w:rPr>
                <w:sz w:val="20"/>
                <w:szCs w:val="20"/>
              </w:rPr>
              <w:t>2</w:t>
            </w:r>
          </w:p>
        </w:tc>
        <w:tc>
          <w:tcPr>
            <w:tcW w:w="5670" w:type="dxa"/>
            <w:tcBorders>
              <w:top w:val="single" w:sz="6" w:space="0" w:color="000000"/>
              <w:left w:val="single" w:sz="6" w:space="0" w:color="000000"/>
              <w:bottom w:val="single" w:sz="6" w:space="0" w:color="000000"/>
              <w:right w:val="single" w:sz="6" w:space="0" w:color="000000"/>
            </w:tcBorders>
          </w:tcPr>
          <w:p w14:paraId="3D17F43C" w14:textId="77777777" w:rsidR="00134188" w:rsidRPr="006D159F" w:rsidRDefault="003B71E0" w:rsidP="00F914BE">
            <w:pPr>
              <w:pStyle w:val="naisc"/>
              <w:spacing w:before="0" w:after="0"/>
              <w:rPr>
                <w:sz w:val="20"/>
                <w:szCs w:val="20"/>
              </w:rPr>
            </w:pPr>
            <w:r w:rsidRPr="006D159F">
              <w:rPr>
                <w:sz w:val="20"/>
                <w:szCs w:val="20"/>
              </w:rPr>
              <w:t>3</w:t>
            </w:r>
          </w:p>
        </w:tc>
        <w:tc>
          <w:tcPr>
            <w:tcW w:w="4111" w:type="dxa"/>
            <w:gridSpan w:val="2"/>
            <w:tcBorders>
              <w:top w:val="single" w:sz="6" w:space="0" w:color="000000"/>
              <w:left w:val="single" w:sz="6" w:space="0" w:color="000000"/>
              <w:bottom w:val="single" w:sz="6" w:space="0" w:color="000000"/>
              <w:right w:val="single" w:sz="6" w:space="0" w:color="000000"/>
            </w:tcBorders>
          </w:tcPr>
          <w:p w14:paraId="5B01709F" w14:textId="77777777" w:rsidR="00134188" w:rsidRPr="003B71E0" w:rsidRDefault="003B71E0" w:rsidP="00F914BE">
            <w:pPr>
              <w:pStyle w:val="naisc"/>
              <w:spacing w:before="0" w:after="0"/>
              <w:rPr>
                <w:sz w:val="20"/>
                <w:szCs w:val="20"/>
              </w:rPr>
            </w:pPr>
            <w:r w:rsidRPr="003B71E0">
              <w:rPr>
                <w:sz w:val="20"/>
                <w:szCs w:val="20"/>
              </w:rPr>
              <w:t>4</w:t>
            </w:r>
          </w:p>
        </w:tc>
        <w:tc>
          <w:tcPr>
            <w:tcW w:w="2410" w:type="dxa"/>
            <w:gridSpan w:val="2"/>
            <w:tcBorders>
              <w:top w:val="single" w:sz="4" w:space="0" w:color="auto"/>
              <w:left w:val="single" w:sz="4" w:space="0" w:color="auto"/>
              <w:bottom w:val="single" w:sz="4" w:space="0" w:color="auto"/>
            </w:tcBorders>
          </w:tcPr>
          <w:p w14:paraId="614A60E5" w14:textId="77777777" w:rsidR="00134188" w:rsidRPr="003B71E0" w:rsidRDefault="003B71E0" w:rsidP="00F914BE">
            <w:pPr>
              <w:jc w:val="center"/>
              <w:rPr>
                <w:sz w:val="20"/>
                <w:szCs w:val="20"/>
              </w:rPr>
            </w:pPr>
            <w:r w:rsidRPr="003B71E0">
              <w:rPr>
                <w:sz w:val="20"/>
                <w:szCs w:val="20"/>
              </w:rPr>
              <w:t>5</w:t>
            </w:r>
          </w:p>
        </w:tc>
      </w:tr>
      <w:tr w:rsidR="005973E4" w:rsidRPr="003B71E0" w14:paraId="26B3A365"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A799131" w14:textId="1A85D2EE" w:rsidR="005973E4" w:rsidRPr="000443D4" w:rsidRDefault="00727EC5" w:rsidP="00F914BE">
            <w:pPr>
              <w:pStyle w:val="naisc"/>
              <w:spacing w:before="0" w:after="0"/>
              <w:rPr>
                <w:sz w:val="20"/>
                <w:szCs w:val="20"/>
              </w:rPr>
            </w:pPr>
            <w:r>
              <w:rPr>
                <w:sz w:val="20"/>
                <w:szCs w:val="20"/>
              </w:rPr>
              <w:t>1.</w:t>
            </w:r>
          </w:p>
        </w:tc>
        <w:tc>
          <w:tcPr>
            <w:tcW w:w="2435" w:type="dxa"/>
            <w:tcBorders>
              <w:top w:val="single" w:sz="6" w:space="0" w:color="000000"/>
              <w:left w:val="single" w:sz="6" w:space="0" w:color="000000"/>
              <w:bottom w:val="single" w:sz="6" w:space="0" w:color="000000"/>
              <w:right w:val="single" w:sz="6" w:space="0" w:color="000000"/>
            </w:tcBorders>
          </w:tcPr>
          <w:p w14:paraId="54C3EAE4" w14:textId="77777777" w:rsidR="005973E4" w:rsidRPr="00FF218E" w:rsidRDefault="005973E4"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3B632A88" w14:textId="0B837DCE" w:rsidR="00853340" w:rsidRPr="00760459" w:rsidRDefault="00853340" w:rsidP="00F914BE">
            <w:pPr>
              <w:pStyle w:val="Bodytext70"/>
              <w:shd w:val="clear" w:color="auto" w:fill="auto"/>
              <w:spacing w:after="0" w:line="240" w:lineRule="auto"/>
              <w:ind w:left="62" w:right="23"/>
              <w:jc w:val="center"/>
              <w:rPr>
                <w:sz w:val="24"/>
                <w:szCs w:val="24"/>
              </w:rPr>
            </w:pPr>
            <w:r>
              <w:rPr>
                <w:b/>
                <w:u w:val="single"/>
              </w:rPr>
              <w:t>Finanšu ministrija</w:t>
            </w:r>
          </w:p>
          <w:p w14:paraId="17F698A8" w14:textId="77777777" w:rsidR="005973E4" w:rsidRDefault="00853340" w:rsidP="00F914BE">
            <w:pPr>
              <w:jc w:val="both"/>
            </w:pPr>
            <w:r>
              <w:t>Ņemot vērā, ka informatīvā ziņojuma projekta VI sadaļā “Finansējums ārstniecības personu darba samaksai atbilstoši domnīcā izstrādātajam modelim” ietverti vairāki finansējuma modeļa varianti ar vairākiem apakšvariantiem mērķa algas sasniegšanai katrai ārstniecības personu grupai, protokollēmuma projektā jānorāda, kuru variantu/apakšvariantu VM piedāvā atbalstīt.</w:t>
            </w:r>
          </w:p>
          <w:p w14:paraId="6025ABCF" w14:textId="77777777" w:rsidR="005B1A0C" w:rsidRDefault="005B1A0C" w:rsidP="00F914BE">
            <w:pPr>
              <w:jc w:val="both"/>
            </w:pPr>
          </w:p>
          <w:p w14:paraId="203D03BC" w14:textId="77777777" w:rsidR="005B1A0C" w:rsidRPr="00EB0EA6" w:rsidRDefault="005B1A0C" w:rsidP="00F914BE">
            <w:pPr>
              <w:pStyle w:val="Bodytext70"/>
              <w:shd w:val="clear" w:color="auto" w:fill="auto"/>
              <w:spacing w:after="0" w:line="240" w:lineRule="auto"/>
              <w:ind w:left="62" w:right="23"/>
              <w:jc w:val="center"/>
              <w:rPr>
                <w:sz w:val="24"/>
                <w:szCs w:val="24"/>
              </w:rPr>
            </w:pPr>
            <w:r w:rsidRPr="00EB0EA6">
              <w:rPr>
                <w:b/>
                <w:sz w:val="24"/>
                <w:szCs w:val="24"/>
                <w:u w:val="single"/>
              </w:rPr>
              <w:t>Iekšlietu ministrija</w:t>
            </w:r>
          </w:p>
          <w:p w14:paraId="5FC50D79" w14:textId="77777777" w:rsidR="005B1A0C" w:rsidRPr="00EB0EA6" w:rsidRDefault="005B1A0C" w:rsidP="00F914BE">
            <w:pPr>
              <w:jc w:val="both"/>
              <w:rPr>
                <w:rFonts w:eastAsiaTheme="minorHAnsi"/>
                <w:lang w:eastAsia="en-US"/>
              </w:rPr>
            </w:pPr>
            <w:r w:rsidRPr="00EB0EA6">
              <w:rPr>
                <w:rFonts w:eastAsiaTheme="minorHAnsi"/>
                <w:lang w:eastAsia="en-US"/>
              </w:rPr>
              <w:t xml:space="preserve">Informatīvā ziņojuma VI.sadaļā “Finansējums ārstniecības personu darba samaksai atbilstoši domnīcā izstrādātajam modelim” finansējuma aprēķins veikts mērķa algas diviem apmēra variantiem: </w:t>
            </w:r>
          </w:p>
          <w:p w14:paraId="25A2D46B" w14:textId="77777777" w:rsidR="005B1A0C" w:rsidRPr="00EB0EA6" w:rsidRDefault="005B1A0C" w:rsidP="00F914BE">
            <w:pPr>
              <w:jc w:val="both"/>
              <w:rPr>
                <w:rFonts w:eastAsiaTheme="minorHAnsi"/>
                <w:lang w:eastAsia="en-US"/>
              </w:rPr>
            </w:pPr>
            <w:r w:rsidRPr="00EB0EA6">
              <w:rPr>
                <w:rFonts w:eastAsiaTheme="minorHAnsi"/>
                <w:lang w:eastAsia="en-US"/>
              </w:rPr>
              <w:t xml:space="preserve">1.variants – domnīcā pēc grupu punktiem izvērtētā ārstu mērķa alga, kas nodrošinātu ārstiem atalgojuma apmēru, kas atbilstu tautsaimniecībā nodarbināto vidējai darba samaksai ar koeficientu 2,74 (OECD valstu vidējais rādītājs); </w:t>
            </w:r>
          </w:p>
          <w:p w14:paraId="72BBD134" w14:textId="77777777" w:rsidR="005B1A0C" w:rsidRPr="00EB0EA6" w:rsidRDefault="005B1A0C" w:rsidP="00F914BE">
            <w:pPr>
              <w:jc w:val="both"/>
              <w:rPr>
                <w:rFonts w:eastAsiaTheme="minorHAnsi"/>
                <w:lang w:eastAsia="en-US"/>
              </w:rPr>
            </w:pPr>
            <w:r w:rsidRPr="00EB0EA6">
              <w:rPr>
                <w:rFonts w:eastAsiaTheme="minorHAnsi"/>
                <w:lang w:eastAsia="en-US"/>
              </w:rPr>
              <w:t>2.variants – mērķa alga, kas atbilst divkāršotai tautsaimniecībā nodarbināto vidējai algai.</w:t>
            </w:r>
          </w:p>
          <w:p w14:paraId="2A55AAE8" w14:textId="77777777" w:rsidR="005B1A0C" w:rsidRPr="00EB0EA6" w:rsidRDefault="005B1A0C" w:rsidP="00F914BE">
            <w:pPr>
              <w:jc w:val="both"/>
              <w:rPr>
                <w:rFonts w:eastAsiaTheme="minorHAnsi"/>
                <w:lang w:eastAsia="en-US"/>
              </w:rPr>
            </w:pPr>
            <w:r w:rsidRPr="00EB0EA6">
              <w:rPr>
                <w:rFonts w:eastAsiaTheme="minorHAnsi"/>
                <w:lang w:eastAsia="en-US"/>
              </w:rPr>
              <w:t>Katram no variantiem skatīts mērķa algas sasniegšanas periods – 5 gadi, 7 gadi vai nosakot vienreizēju pieaugumu (1.variantam) jau 2021.gadā.</w:t>
            </w:r>
          </w:p>
          <w:p w14:paraId="7B170624" w14:textId="338A593A" w:rsidR="005B1A0C" w:rsidRPr="00853340" w:rsidRDefault="005B1A0C" w:rsidP="00F914BE">
            <w:pPr>
              <w:jc w:val="both"/>
            </w:pPr>
            <w:r w:rsidRPr="00EB0EA6">
              <w:rPr>
                <w:rFonts w:eastAsiaTheme="minorHAnsi"/>
                <w:lang w:eastAsia="en-US"/>
              </w:rPr>
              <w:t>Lūdzam papildināt prortokollēmumu ar punktu, kurā norādīts izvēlētais mērķa algas apmēra variants un tās ieviešanas apakšvariants.</w:t>
            </w:r>
          </w:p>
        </w:tc>
        <w:tc>
          <w:tcPr>
            <w:tcW w:w="4111" w:type="dxa"/>
            <w:gridSpan w:val="2"/>
            <w:tcBorders>
              <w:top w:val="single" w:sz="6" w:space="0" w:color="000000"/>
              <w:left w:val="single" w:sz="6" w:space="0" w:color="000000"/>
              <w:bottom w:val="single" w:sz="6" w:space="0" w:color="000000"/>
              <w:right w:val="single" w:sz="6" w:space="0" w:color="000000"/>
            </w:tcBorders>
          </w:tcPr>
          <w:p w14:paraId="78846902" w14:textId="77777777" w:rsidR="00853340" w:rsidRDefault="00853340" w:rsidP="00F914BE">
            <w:pPr>
              <w:pStyle w:val="naisc"/>
              <w:spacing w:before="0" w:after="0"/>
              <w:rPr>
                <w:b/>
                <w:bCs/>
              </w:rPr>
            </w:pPr>
            <w:r>
              <w:rPr>
                <w:b/>
                <w:bCs/>
              </w:rPr>
              <w:t>Ņ</w:t>
            </w:r>
            <w:r w:rsidRPr="008C041D">
              <w:rPr>
                <w:b/>
                <w:bCs/>
              </w:rPr>
              <w:t>emts vērā</w:t>
            </w:r>
          </w:p>
          <w:p w14:paraId="3D5380B3" w14:textId="33CBA66B" w:rsidR="005973E4" w:rsidRPr="003B71E0" w:rsidRDefault="00853340" w:rsidP="00F914BE">
            <w:pPr>
              <w:pStyle w:val="naisc"/>
              <w:spacing w:before="0" w:after="0"/>
              <w:jc w:val="both"/>
              <w:rPr>
                <w:sz w:val="20"/>
                <w:szCs w:val="20"/>
              </w:rPr>
            </w:pPr>
            <w:r>
              <w:rPr>
                <w:rFonts w:cstheme="minorHAnsi"/>
              </w:rPr>
              <w:t xml:space="preserve">Papildināts Ministru kabineta protokollēmuma projekts ar </w:t>
            </w:r>
            <w:r w:rsidR="00580EAC">
              <w:rPr>
                <w:rFonts w:cstheme="minorHAnsi"/>
              </w:rPr>
              <w:t>2</w:t>
            </w:r>
            <w:r w:rsidRPr="002C5D80">
              <w:rPr>
                <w:rFonts w:cstheme="minorHAnsi"/>
              </w:rPr>
              <w:t>.punktu.</w:t>
            </w:r>
          </w:p>
        </w:tc>
        <w:tc>
          <w:tcPr>
            <w:tcW w:w="2410" w:type="dxa"/>
            <w:gridSpan w:val="2"/>
            <w:tcBorders>
              <w:top w:val="single" w:sz="4" w:space="0" w:color="auto"/>
              <w:left w:val="single" w:sz="4" w:space="0" w:color="auto"/>
              <w:bottom w:val="single" w:sz="4" w:space="0" w:color="auto"/>
            </w:tcBorders>
          </w:tcPr>
          <w:p w14:paraId="14044460" w14:textId="77777777" w:rsidR="00580EAC" w:rsidRPr="00580EAC" w:rsidRDefault="00580EAC" w:rsidP="00F914BE">
            <w:pPr>
              <w:pStyle w:val="Standard"/>
              <w:jc w:val="both"/>
              <w:rPr>
                <w:rFonts w:ascii="Times New Roman" w:hAnsi="Times New Roman" w:cs="Times New Roman"/>
                <w:i/>
                <w:iCs/>
              </w:rPr>
            </w:pPr>
            <w:r w:rsidRPr="00580EAC">
              <w:rPr>
                <w:rFonts w:ascii="Times New Roman" w:hAnsi="Times New Roman" w:cs="Times New Roman"/>
                <w:i/>
                <w:iCs/>
              </w:rPr>
              <w:t>Atbalstīt informatīvajā ziņojumā ietverto jauno ārstniecības personu darba samaksas kārtību, kas izstrādāta, nosakot ārstniecības personu pilna laika slodzes ekvivalentu  un sasniedzamo mērķa algu katrai ārstniecības personu grupai: pēc grupu punktiem</w:t>
            </w:r>
            <w:r w:rsidRPr="00580EAC">
              <w:rPr>
                <w:i/>
                <w:iCs/>
              </w:rPr>
              <w:t xml:space="preserve"> </w:t>
            </w:r>
            <w:r w:rsidRPr="00580EAC">
              <w:rPr>
                <w:rFonts w:ascii="Times New Roman" w:hAnsi="Times New Roman" w:cs="Times New Roman"/>
                <w:i/>
                <w:iCs/>
              </w:rPr>
              <w:t>izvērtētā mērķa alga (ietverot attiecīgā gada atalgojuma indeksāciju), katrai ārstniecības personu grupai tiek sasniegta pakāpeniski septiņu gadu laikā laika periodā no 2021. gada līdz 2027. gadam (mērķa algas sasniegšanas 1.1.2.variants).</w:t>
            </w:r>
          </w:p>
          <w:p w14:paraId="477D22FA" w14:textId="314DE2D8" w:rsidR="005973E4" w:rsidRPr="00580EAC" w:rsidRDefault="005973E4" w:rsidP="00F914BE">
            <w:pPr>
              <w:pStyle w:val="Standard"/>
              <w:jc w:val="both"/>
              <w:rPr>
                <w:rFonts w:ascii="Times New Roman" w:hAnsi="Times New Roman" w:cs="Times New Roman"/>
                <w:i/>
                <w:iCs/>
              </w:rPr>
            </w:pPr>
          </w:p>
        </w:tc>
      </w:tr>
      <w:tr w:rsidR="005973E4" w:rsidRPr="003B71E0" w14:paraId="26BB7B26"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3485F58" w14:textId="75B2761C" w:rsidR="005973E4" w:rsidRDefault="00727EC5" w:rsidP="00F914BE">
            <w:pPr>
              <w:pStyle w:val="naisc"/>
              <w:spacing w:before="0" w:after="0"/>
              <w:rPr>
                <w:sz w:val="20"/>
                <w:szCs w:val="20"/>
              </w:rPr>
            </w:pPr>
            <w:r>
              <w:rPr>
                <w:sz w:val="20"/>
                <w:szCs w:val="20"/>
              </w:rPr>
              <w:lastRenderedPageBreak/>
              <w:t>2.</w:t>
            </w:r>
          </w:p>
        </w:tc>
        <w:tc>
          <w:tcPr>
            <w:tcW w:w="2435" w:type="dxa"/>
            <w:tcBorders>
              <w:top w:val="single" w:sz="6" w:space="0" w:color="000000"/>
              <w:left w:val="single" w:sz="6" w:space="0" w:color="000000"/>
              <w:bottom w:val="single" w:sz="6" w:space="0" w:color="000000"/>
              <w:right w:val="single" w:sz="6" w:space="0" w:color="000000"/>
            </w:tcBorders>
          </w:tcPr>
          <w:p w14:paraId="0A7E5FC8" w14:textId="77777777" w:rsidR="005973E4" w:rsidRPr="00FF218E" w:rsidRDefault="005973E4"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097C7F28" w14:textId="46C32040" w:rsidR="00853340" w:rsidRPr="00853340" w:rsidRDefault="00853340" w:rsidP="00F914BE">
            <w:pPr>
              <w:pStyle w:val="Bodytext70"/>
              <w:shd w:val="clear" w:color="auto" w:fill="auto"/>
              <w:spacing w:after="0" w:line="240" w:lineRule="auto"/>
              <w:ind w:left="62" w:right="23"/>
              <w:jc w:val="center"/>
              <w:rPr>
                <w:sz w:val="24"/>
                <w:szCs w:val="24"/>
              </w:rPr>
            </w:pPr>
            <w:r>
              <w:rPr>
                <w:b/>
                <w:u w:val="single"/>
              </w:rPr>
              <w:t>Finanšu ministrija</w:t>
            </w:r>
          </w:p>
          <w:p w14:paraId="2D2D209A" w14:textId="268CFAC1" w:rsidR="005973E4" w:rsidRPr="00853340" w:rsidRDefault="00853340" w:rsidP="00F914BE">
            <w:pPr>
              <w:jc w:val="both"/>
            </w:pPr>
            <w:r>
              <w:t>Atbilstoši protokollēmuma projekta 4.punktam paredzēts jautājumu par papildu valsts budžeta līdzekļu piešķiršanu informatīvajā ziņojumā paredzētās mērķa algas sasniegšanai katrai ārstniecības personu grupai 2022.gadam un turpmāk ik gadu izskatīt Ministru kabinetā gadskārtējā valsts budžeta likumprojekta un vidēja termiņa budžeta ietvara likumprojekta sagatavošanas un izskatīšanas procesā kopā ar visu ministriju un centrālo valsts iestāžu iesniegtajiem prioritāro pasākumu pieteikumiem atbilstoši valsts budžeta finansiālajām iespējām, savukārt atbilstoši protokolēmuma projekta 2.punktam paredzēts Veselības ministrijai izstrādāt informatīvajā ziņojumā ietvertās jaunās ārstniecības personu darba samaksas kārtības ieviešanai nepieciešamos normatīvos aktus un veselības ministram atbilstoši norādītajiem risinājuma ieviešanas termiņiem iesniegt tos noteiktā kārtībā izskatīšanai Ministru kabinetā.</w:t>
            </w:r>
            <w:r w:rsidRPr="00C4367B">
              <w:t xml:space="preserve"> </w:t>
            </w:r>
            <w:r>
              <w:t>Uzskatām, ka šobrīd izskatīšanai MK virzāmi tikai tādi normatīvo aktu projekti, kas saistīti ar tādu informatīvā ziņojuma projektā iekļauto pasākumu īstenošanu, kurus VM var nodrošināt piešķirto valsts budžeta līdzekļu ietvaros, savukārt grozījumi normatīvajos aktos, kuru īstenošanai nepieciešams papildu finansējums, virzāmi MK tikai tādā gadījumā, ja tiek atbalstīta papildu nepieciešamā finansējuma piešķiršana informatīvā ziņojuma projektā paredzēto pasākumu īstenošanai. Līdz ar to precizējams informatīvā ziņojuma projekts un protokollēmuma projekta 2.punkts.</w:t>
            </w:r>
          </w:p>
        </w:tc>
        <w:tc>
          <w:tcPr>
            <w:tcW w:w="4111" w:type="dxa"/>
            <w:gridSpan w:val="2"/>
            <w:tcBorders>
              <w:top w:val="single" w:sz="6" w:space="0" w:color="000000"/>
              <w:left w:val="single" w:sz="6" w:space="0" w:color="000000"/>
              <w:bottom w:val="single" w:sz="6" w:space="0" w:color="000000"/>
              <w:right w:val="single" w:sz="6" w:space="0" w:color="000000"/>
            </w:tcBorders>
          </w:tcPr>
          <w:p w14:paraId="44EB4FDD" w14:textId="6C111E1A" w:rsidR="00853340" w:rsidRDefault="005469DC" w:rsidP="00F914BE">
            <w:pPr>
              <w:pStyle w:val="naisc"/>
              <w:spacing w:before="0" w:after="0"/>
              <w:rPr>
                <w:b/>
                <w:bCs/>
              </w:rPr>
            </w:pPr>
            <w:r>
              <w:rPr>
                <w:b/>
                <w:bCs/>
              </w:rPr>
              <w:t>Ņ</w:t>
            </w:r>
            <w:r w:rsidR="00853340" w:rsidRPr="008C041D">
              <w:rPr>
                <w:b/>
                <w:bCs/>
              </w:rPr>
              <w:t>emts vērā</w:t>
            </w:r>
          </w:p>
          <w:p w14:paraId="383A55C7" w14:textId="77777777" w:rsidR="005973E4" w:rsidRDefault="00853340" w:rsidP="00F914BE">
            <w:pPr>
              <w:pStyle w:val="naisc"/>
              <w:spacing w:before="0" w:after="0"/>
              <w:jc w:val="both"/>
            </w:pPr>
            <w:r>
              <w:t xml:space="preserve">Precizēts protokollēmuma </w:t>
            </w:r>
            <w:r w:rsidR="00580EAC">
              <w:t>3</w:t>
            </w:r>
            <w:r>
              <w:t>.punkts, ka normatīvie akti tiks izstrādāti atbilstoši ikgadēji piešķirtajiem valsts budžeta līdzekļiem.</w:t>
            </w:r>
          </w:p>
          <w:p w14:paraId="49481F60" w14:textId="77777777" w:rsidR="00511815" w:rsidRDefault="00511815" w:rsidP="00F914BE">
            <w:pPr>
              <w:pStyle w:val="naisc"/>
              <w:spacing w:before="0" w:after="0"/>
              <w:jc w:val="both"/>
            </w:pPr>
            <w:r>
              <w:t>Precizēta arī informatīvā ziņojuma V sadaļa “Turpmākā rīcība”.</w:t>
            </w:r>
          </w:p>
          <w:p w14:paraId="37486D1B" w14:textId="63C67575" w:rsidR="00BA08DA" w:rsidRPr="00853340" w:rsidRDefault="00BA08DA" w:rsidP="00F914BE">
            <w:pPr>
              <w:pStyle w:val="naisc"/>
              <w:spacing w:before="0" w:after="0"/>
              <w:jc w:val="both"/>
            </w:pPr>
          </w:p>
        </w:tc>
        <w:tc>
          <w:tcPr>
            <w:tcW w:w="2410" w:type="dxa"/>
            <w:gridSpan w:val="2"/>
            <w:tcBorders>
              <w:top w:val="single" w:sz="4" w:space="0" w:color="auto"/>
              <w:left w:val="single" w:sz="4" w:space="0" w:color="auto"/>
              <w:bottom w:val="single" w:sz="4" w:space="0" w:color="auto"/>
            </w:tcBorders>
          </w:tcPr>
          <w:p w14:paraId="780138E2" w14:textId="5D410EBF" w:rsidR="00853340" w:rsidRPr="00853340" w:rsidRDefault="00853340" w:rsidP="00F914BE">
            <w:pPr>
              <w:jc w:val="both"/>
              <w:rPr>
                <w:i/>
                <w:iCs/>
              </w:rPr>
            </w:pPr>
            <w:r w:rsidRPr="00853340">
              <w:rPr>
                <w:i/>
                <w:iCs/>
              </w:rPr>
              <w:t>Veselības ministrijai izstrādāt informatīvajā ziņojumā ietvertās jaunās ārstniecības personu darba samaksas kārtības ieviešanai nepieciešamos normatīvos aktus atbilstoši ikgadēji piešķirtajiem valsts budžeta līdzekļiem</w:t>
            </w:r>
            <w:r w:rsidR="00AD5F48">
              <w:rPr>
                <w:i/>
                <w:iCs/>
              </w:rPr>
              <w:t xml:space="preserve">, </w:t>
            </w:r>
            <w:r w:rsidR="00AD5F48">
              <w:t xml:space="preserve">tai </w:t>
            </w:r>
            <w:r w:rsidR="00AD5F48" w:rsidRPr="00AD5F48">
              <w:rPr>
                <w:i/>
                <w:iCs/>
              </w:rPr>
              <w:t xml:space="preserve">skaitā </w:t>
            </w:r>
            <w:r w:rsidR="00AD5F48" w:rsidRPr="00AD5F48">
              <w:rPr>
                <w:i/>
                <w:iCs/>
                <w:color w:val="000000"/>
                <w:shd w:val="clear" w:color="auto" w:fill="FFFFFF"/>
              </w:rPr>
              <w:t>sadarbībā ar Valsts kanceleju izstrādāt priekšlikumus grozījumiem normatīvajos aktos, lai nodrošinātu, ka visas ārstniecības iestādes, kuras sniedz valsts budžeta apmaksātus veselības aprūpes pakalpojumus, informāciju par ārstniecības personu atlīdzību sniedz vienotā atlīdzības sistēmā</w:t>
            </w:r>
            <w:r w:rsidRPr="00853340">
              <w:rPr>
                <w:i/>
                <w:iCs/>
              </w:rPr>
              <w:t xml:space="preserve">. Veselības ministram atbilstoši norādītajiem risinājuma ieviešanas termiņiem, iesniegt tos noteiktā kārtībā </w:t>
            </w:r>
            <w:r w:rsidRPr="00853340">
              <w:rPr>
                <w:i/>
                <w:iCs/>
              </w:rPr>
              <w:lastRenderedPageBreak/>
              <w:t>izskatīšanai Ministru kabinetā.</w:t>
            </w:r>
          </w:p>
          <w:p w14:paraId="708E861A" w14:textId="77777777" w:rsidR="005973E4" w:rsidRPr="00086103" w:rsidRDefault="005973E4" w:rsidP="00F914BE">
            <w:pPr>
              <w:pStyle w:val="Standard"/>
              <w:jc w:val="both"/>
              <w:rPr>
                <w:rFonts w:ascii="Times New Roman" w:hAnsi="Times New Roman"/>
                <w:i/>
                <w:iCs/>
              </w:rPr>
            </w:pPr>
          </w:p>
        </w:tc>
      </w:tr>
      <w:tr w:rsidR="00FD7805" w:rsidRPr="003B71E0" w14:paraId="77BC9DC1" w14:textId="77777777" w:rsidTr="00374742">
        <w:tc>
          <w:tcPr>
            <w:tcW w:w="534" w:type="dxa"/>
            <w:tcBorders>
              <w:top w:val="single" w:sz="6" w:space="0" w:color="000000"/>
              <w:left w:val="single" w:sz="6" w:space="0" w:color="000000"/>
              <w:bottom w:val="single" w:sz="6" w:space="0" w:color="000000"/>
              <w:right w:val="single" w:sz="6" w:space="0" w:color="000000"/>
            </w:tcBorders>
          </w:tcPr>
          <w:p w14:paraId="2C1BF146" w14:textId="577BF501" w:rsidR="00FD7805" w:rsidRDefault="00FD7805" w:rsidP="00F914BE">
            <w:pPr>
              <w:pStyle w:val="naisc"/>
              <w:spacing w:before="0" w:after="0"/>
              <w:rPr>
                <w:sz w:val="20"/>
                <w:szCs w:val="20"/>
              </w:rPr>
            </w:pPr>
            <w:r>
              <w:rPr>
                <w:sz w:val="20"/>
                <w:szCs w:val="20"/>
              </w:rPr>
              <w:lastRenderedPageBreak/>
              <w:t>3.</w:t>
            </w:r>
          </w:p>
        </w:tc>
        <w:tc>
          <w:tcPr>
            <w:tcW w:w="2435" w:type="dxa"/>
            <w:tcBorders>
              <w:top w:val="single" w:sz="6" w:space="0" w:color="000000"/>
              <w:left w:val="single" w:sz="6" w:space="0" w:color="000000"/>
              <w:bottom w:val="single" w:sz="6" w:space="0" w:color="000000"/>
              <w:right w:val="single" w:sz="6" w:space="0" w:color="000000"/>
            </w:tcBorders>
          </w:tcPr>
          <w:p w14:paraId="4703C7CC" w14:textId="77777777" w:rsidR="00FD7805" w:rsidRPr="00FF218E" w:rsidRDefault="00FD7805"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137C40C6" w14:textId="77777777" w:rsidR="00FD7805" w:rsidRDefault="00FD7805" w:rsidP="00F914BE">
            <w:pPr>
              <w:pStyle w:val="Bodytext70"/>
              <w:shd w:val="clear" w:color="auto" w:fill="auto"/>
              <w:spacing w:after="0" w:line="240" w:lineRule="auto"/>
              <w:ind w:left="62" w:right="23"/>
              <w:jc w:val="center"/>
              <w:rPr>
                <w:sz w:val="24"/>
                <w:szCs w:val="24"/>
              </w:rPr>
            </w:pPr>
            <w:r>
              <w:rPr>
                <w:b/>
                <w:u w:val="single"/>
              </w:rPr>
              <w:t>Finanšu ministrija</w:t>
            </w:r>
          </w:p>
          <w:p w14:paraId="7714ADE1" w14:textId="20CDB8E2" w:rsidR="00FD7805" w:rsidRDefault="00FD7805" w:rsidP="00F914BE">
            <w:pPr>
              <w:pStyle w:val="Bodytext70"/>
              <w:shd w:val="clear" w:color="auto" w:fill="auto"/>
              <w:spacing w:after="0" w:line="240" w:lineRule="auto"/>
              <w:ind w:left="62" w:right="23"/>
              <w:rPr>
                <w:b/>
                <w:u w:val="single"/>
              </w:rPr>
            </w:pPr>
            <w:r>
              <w:t>Ņemot vērā protokollēmuma projekta 4.punktā noteikto, uzskatām, ka nepieciešams papildināt informatīvā ziņojuma projektu, sniedzot detalizētus aprēķinus par papildu nepieciešamo finansējumu.</w:t>
            </w:r>
          </w:p>
        </w:tc>
        <w:tc>
          <w:tcPr>
            <w:tcW w:w="4111" w:type="dxa"/>
            <w:gridSpan w:val="2"/>
            <w:tcBorders>
              <w:top w:val="single" w:sz="6" w:space="0" w:color="000000"/>
              <w:left w:val="single" w:sz="6" w:space="0" w:color="000000"/>
              <w:bottom w:val="single" w:sz="6" w:space="0" w:color="000000"/>
              <w:right w:val="single" w:sz="6" w:space="0" w:color="000000"/>
            </w:tcBorders>
          </w:tcPr>
          <w:p w14:paraId="51F45410" w14:textId="1D939CBF" w:rsidR="00FD7805" w:rsidRPr="000D6631" w:rsidRDefault="00AA63C1" w:rsidP="00F914BE">
            <w:pPr>
              <w:jc w:val="center"/>
              <w:rPr>
                <w:b/>
                <w:bCs/>
              </w:rPr>
            </w:pPr>
            <w:r>
              <w:rPr>
                <w:b/>
                <w:bCs/>
              </w:rPr>
              <w:t>Ņ</w:t>
            </w:r>
            <w:r w:rsidR="00FD7805" w:rsidRPr="000D6631">
              <w:rPr>
                <w:b/>
                <w:bCs/>
              </w:rPr>
              <w:t>emts vērā</w:t>
            </w:r>
          </w:p>
          <w:p w14:paraId="6F5F8998" w14:textId="2549C47A" w:rsidR="00FD7805" w:rsidRDefault="00FD7805" w:rsidP="00F914BE">
            <w:pPr>
              <w:pStyle w:val="naisc"/>
              <w:spacing w:before="0" w:after="0"/>
              <w:jc w:val="both"/>
              <w:rPr>
                <w:b/>
                <w:bCs/>
              </w:rPr>
            </w:pPr>
            <w:r w:rsidRPr="00472460">
              <w:t>Informatīva</w:t>
            </w:r>
            <w:r>
              <w:t>jā</w:t>
            </w:r>
            <w:r w:rsidRPr="00472460">
              <w:t xml:space="preserve"> ziņojum</w:t>
            </w:r>
            <w:r>
              <w:t>ā</w:t>
            </w:r>
            <w:r w:rsidRPr="00472460">
              <w:t xml:space="preserve"> </w:t>
            </w:r>
            <w:r>
              <w:t>ir iekļauti indikatīvi aprēķini, kuri balstīti uz Veselības ministrijas prognozi par 2021.gada darba samaksas palielinājumu un šī brīža makroekonomiskajām prognozēm turpmākajiem gadiem. Iepriekš minētā informācija var tikt aktualizēta atbilstoši darba samaksas faktiskajam pieaugumam 2021.gadā un aktuālajām makroekonomiskajām prognozēm, līdz ar to atbilstoši tiks aktualizēti aprēķini un iesniegti kā nozares prioritārie pasākumi kārtējā gada budžeta izstrādes laikā. Tādējādi tiks nodrošināta detalizētu aprēķinu iesniegšana jautājuma izskatīšanas brīdī.</w:t>
            </w:r>
          </w:p>
        </w:tc>
        <w:tc>
          <w:tcPr>
            <w:tcW w:w="2410" w:type="dxa"/>
            <w:gridSpan w:val="2"/>
            <w:tcBorders>
              <w:top w:val="single" w:sz="4" w:space="0" w:color="auto"/>
              <w:left w:val="single" w:sz="4" w:space="0" w:color="auto"/>
              <w:bottom w:val="single" w:sz="4" w:space="0" w:color="auto"/>
            </w:tcBorders>
          </w:tcPr>
          <w:p w14:paraId="3F2E8BF9" w14:textId="77777777" w:rsidR="00FD7805" w:rsidRPr="00086103" w:rsidRDefault="00FD7805" w:rsidP="00F914BE">
            <w:pPr>
              <w:pStyle w:val="Standard"/>
              <w:jc w:val="both"/>
              <w:rPr>
                <w:rFonts w:ascii="Times New Roman" w:hAnsi="Times New Roman"/>
                <w:i/>
                <w:iCs/>
              </w:rPr>
            </w:pPr>
          </w:p>
        </w:tc>
      </w:tr>
      <w:tr w:rsidR="00140BAF" w:rsidRPr="003B71E0" w14:paraId="415649D0" w14:textId="77777777" w:rsidTr="00374742">
        <w:tc>
          <w:tcPr>
            <w:tcW w:w="534" w:type="dxa"/>
            <w:tcBorders>
              <w:top w:val="single" w:sz="6" w:space="0" w:color="000000"/>
              <w:left w:val="single" w:sz="6" w:space="0" w:color="000000"/>
              <w:bottom w:val="single" w:sz="6" w:space="0" w:color="000000"/>
              <w:right w:val="single" w:sz="6" w:space="0" w:color="000000"/>
            </w:tcBorders>
          </w:tcPr>
          <w:p w14:paraId="20845BAF" w14:textId="5EF317AD" w:rsidR="00140BAF" w:rsidRDefault="00FD7805" w:rsidP="00F914BE">
            <w:pPr>
              <w:pStyle w:val="naisc"/>
              <w:spacing w:before="0" w:after="0"/>
              <w:rPr>
                <w:sz w:val="20"/>
                <w:szCs w:val="20"/>
              </w:rPr>
            </w:pPr>
            <w:r>
              <w:rPr>
                <w:sz w:val="20"/>
                <w:szCs w:val="20"/>
              </w:rPr>
              <w:t>4</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0BE1B39"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8EF2118" w14:textId="77777777" w:rsidR="00140BAF" w:rsidRPr="00760459" w:rsidRDefault="00140BAF" w:rsidP="00F914BE">
            <w:pPr>
              <w:pStyle w:val="Bodytext70"/>
              <w:shd w:val="clear" w:color="auto" w:fill="auto"/>
              <w:spacing w:after="0" w:line="240" w:lineRule="auto"/>
              <w:ind w:left="62" w:right="23"/>
              <w:jc w:val="center"/>
              <w:rPr>
                <w:sz w:val="24"/>
                <w:szCs w:val="24"/>
              </w:rPr>
            </w:pPr>
            <w:r>
              <w:rPr>
                <w:b/>
                <w:u w:val="single"/>
              </w:rPr>
              <w:t>Iekšlietu ministrija</w:t>
            </w:r>
          </w:p>
          <w:p w14:paraId="68271A98" w14:textId="78D54F69" w:rsidR="00140BAF" w:rsidRDefault="00140BAF" w:rsidP="00F914BE">
            <w:pPr>
              <w:pStyle w:val="naisc"/>
              <w:spacing w:before="0" w:after="0"/>
              <w:jc w:val="both"/>
              <w:rPr>
                <w:b/>
                <w:u w:val="single"/>
              </w:rPr>
            </w:pPr>
            <w:r w:rsidRPr="00760459">
              <w:rPr>
                <w:rFonts w:eastAsiaTheme="minorHAnsi"/>
                <w:lang w:eastAsia="en-US"/>
              </w:rPr>
              <w:t xml:space="preserve">Papildu minētajam vēršam uzmanību, ka Iekšlietu ministrijas padotībā ir Valsts sabiedrība ar ierobežotu atbildību „Iekšlietu ministrijas poliklīnika”, kas ir </w:t>
            </w:r>
            <w:r w:rsidRPr="00760459">
              <w:rPr>
                <w:rFonts w:eastAsiaTheme="minorHAnsi"/>
                <w:b/>
                <w:lang w:eastAsia="en-US"/>
              </w:rPr>
              <w:t>ambulatora</w:t>
            </w:r>
            <w:r w:rsidRPr="00760459">
              <w:rPr>
                <w:rFonts w:eastAsiaTheme="minorHAnsi"/>
                <w:lang w:eastAsia="en-US"/>
              </w:rPr>
              <w:t xml:space="preserve"> ārstniecības iestāde un nodrošina primāro un sekundāro ambulatoro veselības aprūpi, sniedzot gan valsts apmaksātos, gan maksas veselības aprūpes pakalpojumus. Informatīvajā ziņojumā un protokollēmumā nav viennozīmīgi minēts, vai jaunais PLE saturs attieksies arī uz ambulatorajām ārstniecības iestādēm. Informatīvais ziņojums un protokollēmums paredz PLE satura ieviešanu stacionārajās ārstniecības iestādēs un NMPD. Līdz ar to lūdzam papildināt informatīvo ziņojumu ar skaidrojumu par PLE satura ieviešanu </w:t>
            </w:r>
            <w:r w:rsidRPr="00760459">
              <w:rPr>
                <w:rFonts w:eastAsiaTheme="minorHAnsi"/>
                <w:b/>
                <w:lang w:eastAsia="en-US"/>
              </w:rPr>
              <w:t>ambulatorajās</w:t>
            </w:r>
            <w:r w:rsidRPr="00760459">
              <w:rPr>
                <w:rFonts w:eastAsiaTheme="minorHAnsi"/>
                <w:lang w:eastAsia="en-US"/>
              </w:rPr>
              <w:t xml:space="preserve"> ārstniecības iestādēm, kā arī </w:t>
            </w:r>
            <w:r w:rsidRPr="00760459">
              <w:rPr>
                <w:rFonts w:eastAsiaTheme="minorHAnsi"/>
                <w:lang w:eastAsia="en-US"/>
              </w:rPr>
              <w:lastRenderedPageBreak/>
              <w:t>citās iestādēs, kurās nodarbinātas ārstniecības personas, un, ja nepieciešams, precizēt protokollēmumu.</w:t>
            </w:r>
          </w:p>
        </w:tc>
        <w:tc>
          <w:tcPr>
            <w:tcW w:w="4111" w:type="dxa"/>
            <w:gridSpan w:val="2"/>
            <w:tcBorders>
              <w:top w:val="single" w:sz="6" w:space="0" w:color="000000"/>
              <w:left w:val="single" w:sz="6" w:space="0" w:color="000000"/>
              <w:bottom w:val="single" w:sz="6" w:space="0" w:color="000000"/>
              <w:right w:val="single" w:sz="6" w:space="0" w:color="000000"/>
            </w:tcBorders>
          </w:tcPr>
          <w:p w14:paraId="1174F252" w14:textId="64BFFB6E" w:rsidR="00140BAF" w:rsidRDefault="00140BAF" w:rsidP="00F914BE">
            <w:pPr>
              <w:pStyle w:val="naisc"/>
              <w:spacing w:before="0" w:after="0"/>
              <w:rPr>
                <w:b/>
                <w:bCs/>
              </w:rPr>
            </w:pPr>
            <w:r>
              <w:rPr>
                <w:b/>
                <w:bCs/>
              </w:rPr>
              <w:lastRenderedPageBreak/>
              <w:t>Ņ</w:t>
            </w:r>
            <w:r w:rsidRPr="008C041D">
              <w:rPr>
                <w:b/>
                <w:bCs/>
              </w:rPr>
              <w:t>emts vērā</w:t>
            </w:r>
          </w:p>
          <w:p w14:paraId="3F341E99" w14:textId="77A99C51" w:rsidR="00140BAF" w:rsidRDefault="00140BAF" w:rsidP="00F914BE">
            <w:pPr>
              <w:pStyle w:val="naisc"/>
              <w:spacing w:before="0" w:after="0"/>
              <w:jc w:val="both"/>
              <w:rPr>
                <w:b/>
                <w:bCs/>
              </w:rPr>
            </w:pPr>
            <w:r>
              <w:t xml:space="preserve">PLE satura ieviešana attieksies uz visām </w:t>
            </w:r>
            <w:r w:rsidRPr="00B312D4">
              <w:t>pašvaldību iestādē</w:t>
            </w:r>
            <w:r>
              <w:t>m</w:t>
            </w:r>
            <w:r w:rsidRPr="00B312D4">
              <w:t>, valsts iestādē</w:t>
            </w:r>
            <w:r>
              <w:t>m</w:t>
            </w:r>
            <w:r w:rsidRPr="00B312D4">
              <w:t>, valsts un pašvaldību kapitālsabiedrībā</w:t>
            </w:r>
            <w:r>
              <w:t>m</w:t>
            </w:r>
            <w:r w:rsidRPr="00B312D4">
              <w:t xml:space="preserve"> vai publiski privātajā</w:t>
            </w:r>
            <w:r>
              <w:t>m</w:t>
            </w:r>
            <w:r w:rsidRPr="00B312D4">
              <w:t xml:space="preserve"> kapitālsabiedrībā</w:t>
            </w:r>
            <w:r>
              <w:t>m</w:t>
            </w:r>
            <w:r w:rsidRPr="00B312D4">
              <w:t xml:space="preserve">, kas sniedz stacionāros un </w:t>
            </w:r>
            <w:r w:rsidRPr="00760459">
              <w:rPr>
                <w:b/>
                <w:bCs/>
                <w:u w:val="single"/>
              </w:rPr>
              <w:t>ambulatoros</w:t>
            </w:r>
            <w:r w:rsidRPr="00B312D4">
              <w:t xml:space="preserve"> veselības aprūpes pakalpojumus</w:t>
            </w:r>
            <w:r>
              <w:t xml:space="preserve"> (kā tas norādīt ziņojuma V sadaļā “Turpmākā rīcība” 5.1. sadaļā “PLE ieviešana”). Šobrīd primāri PLE saturs ieviešams stacionārajās ārstniecības iestādēs, kas pakāpeniski tiks darīts turpmākajos divos gados, kur to definēt ir sarežģītāk un laikietilpīgāk kā ambulatorā </w:t>
            </w:r>
            <w:r>
              <w:lastRenderedPageBreak/>
              <w:t xml:space="preserve">ārstniecības iestādē. </w:t>
            </w:r>
            <w:r w:rsidR="00F43FDE">
              <w:t>Pēc PLE ieviešanas stacionārajās ārstniecības, no</w:t>
            </w:r>
            <w:r>
              <w:t xml:space="preserve"> 2023.gada </w:t>
            </w:r>
            <w:r w:rsidR="00F43FDE">
              <w:t xml:space="preserve">tiks vērtēta </w:t>
            </w:r>
            <w:r>
              <w:t>PLE satur</w:t>
            </w:r>
            <w:r w:rsidR="00F43FDE">
              <w:t>a</w:t>
            </w:r>
            <w:r>
              <w:t xml:space="preserve"> </w:t>
            </w:r>
            <w:r w:rsidR="00F43FDE">
              <w:t>ieviešana arī</w:t>
            </w:r>
            <w:r>
              <w:t xml:space="preserve"> visās iepriekš minētajās ārstniecības iestādēs, tai skaitā ambulatorajās.</w:t>
            </w:r>
          </w:p>
        </w:tc>
        <w:tc>
          <w:tcPr>
            <w:tcW w:w="2410" w:type="dxa"/>
            <w:gridSpan w:val="2"/>
            <w:tcBorders>
              <w:top w:val="single" w:sz="4" w:space="0" w:color="auto"/>
              <w:left w:val="single" w:sz="4" w:space="0" w:color="auto"/>
              <w:bottom w:val="single" w:sz="4" w:space="0" w:color="auto"/>
            </w:tcBorders>
          </w:tcPr>
          <w:p w14:paraId="4D86A434" w14:textId="77777777" w:rsidR="00140BAF" w:rsidRPr="00086103" w:rsidRDefault="00140BAF" w:rsidP="00F914BE">
            <w:pPr>
              <w:pStyle w:val="Standard"/>
              <w:jc w:val="both"/>
              <w:rPr>
                <w:rFonts w:ascii="Times New Roman" w:hAnsi="Times New Roman"/>
                <w:i/>
                <w:iCs/>
              </w:rPr>
            </w:pPr>
          </w:p>
        </w:tc>
      </w:tr>
      <w:tr w:rsidR="00140BAF" w:rsidRPr="003B71E0" w14:paraId="180B63DF"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6FB8598" w14:textId="6C52F6BD" w:rsidR="00140BAF" w:rsidRDefault="00FD7805" w:rsidP="00F914BE">
            <w:pPr>
              <w:pStyle w:val="naisc"/>
              <w:spacing w:before="0" w:after="0"/>
              <w:rPr>
                <w:sz w:val="20"/>
                <w:szCs w:val="20"/>
              </w:rPr>
            </w:pPr>
            <w:r>
              <w:rPr>
                <w:sz w:val="20"/>
                <w:szCs w:val="20"/>
              </w:rPr>
              <w:t>5</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A40F61A"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41DF5F72" w14:textId="7F170964" w:rsidR="00140BAF" w:rsidRPr="00140BAF" w:rsidRDefault="00140BAF" w:rsidP="00F914BE">
            <w:pPr>
              <w:pStyle w:val="Bodytext70"/>
              <w:shd w:val="clear" w:color="auto" w:fill="auto"/>
              <w:spacing w:after="0" w:line="240" w:lineRule="auto"/>
              <w:ind w:left="62" w:right="23"/>
              <w:jc w:val="center"/>
              <w:rPr>
                <w:sz w:val="24"/>
                <w:szCs w:val="24"/>
              </w:rPr>
            </w:pPr>
            <w:r>
              <w:rPr>
                <w:b/>
                <w:u w:val="single"/>
              </w:rPr>
              <w:t>Iekšlietu ministrija</w:t>
            </w:r>
          </w:p>
          <w:p w14:paraId="592E3423" w14:textId="76C01480" w:rsidR="00140BAF" w:rsidRPr="00140BAF" w:rsidRDefault="00140BAF" w:rsidP="00F914BE">
            <w:pPr>
              <w:jc w:val="both"/>
              <w:rPr>
                <w:rFonts w:eastAsiaTheme="minorHAnsi"/>
                <w:lang w:eastAsia="en-US"/>
              </w:rPr>
            </w:pPr>
            <w:r w:rsidRPr="00140BAF">
              <w:rPr>
                <w:rFonts w:eastAsiaTheme="minorHAnsi"/>
                <w:lang w:eastAsia="en-US"/>
              </w:rPr>
              <w:t>Lūdzam saskaņot informatīvā ziņojuma 5.3.sadaļas “Atalgojuma mainīgās daļas ierobežošana” tekstā un 5.3.tabulā minēto nosacījumu par darba samaksas mainīgās daļas maksimālā apmēra aprēķina bāzi, t.i., precizēt, no kā aprēķina atalgojuma mainīgās daļas griestus – no kopējās ārstniecības personas darba samaksas vai pamatalgas.</w:t>
            </w:r>
          </w:p>
        </w:tc>
        <w:tc>
          <w:tcPr>
            <w:tcW w:w="4111" w:type="dxa"/>
            <w:gridSpan w:val="2"/>
            <w:tcBorders>
              <w:top w:val="single" w:sz="6" w:space="0" w:color="000000"/>
              <w:left w:val="single" w:sz="6" w:space="0" w:color="000000"/>
              <w:bottom w:val="single" w:sz="6" w:space="0" w:color="000000"/>
              <w:right w:val="single" w:sz="6" w:space="0" w:color="000000"/>
            </w:tcBorders>
          </w:tcPr>
          <w:p w14:paraId="1AAE8FEA" w14:textId="341D8F37" w:rsidR="00140BAF" w:rsidRDefault="00140BAF" w:rsidP="00F914BE">
            <w:pPr>
              <w:pStyle w:val="naisc"/>
              <w:spacing w:before="0" w:after="0"/>
              <w:rPr>
                <w:b/>
                <w:bCs/>
              </w:rPr>
            </w:pPr>
            <w:r>
              <w:rPr>
                <w:b/>
                <w:bCs/>
              </w:rPr>
              <w:t>Ņ</w:t>
            </w:r>
            <w:r w:rsidRPr="008C041D">
              <w:rPr>
                <w:b/>
                <w:bCs/>
              </w:rPr>
              <w:t>emts vērā</w:t>
            </w:r>
          </w:p>
          <w:p w14:paraId="5C9303BF" w14:textId="60386D4B" w:rsidR="00140BAF" w:rsidRPr="00140BAF" w:rsidRDefault="00140BAF" w:rsidP="00F914BE">
            <w:pPr>
              <w:pStyle w:val="naisc"/>
              <w:spacing w:before="0" w:after="0"/>
              <w:jc w:val="both"/>
            </w:pPr>
            <w:r>
              <w:t xml:space="preserve">Precizēta 5.3.tabula. Līdz pilnīgai PLE satura ieviešanai, kas stāsies spēkā no 2023.gada 1.janvāra, tiks noteikts, ka </w:t>
            </w:r>
            <w:r w:rsidR="00030288">
              <w:t xml:space="preserve">darba samaksas mainīgā daļa nepārsniegs 30%. Bet ar </w:t>
            </w:r>
            <w:r w:rsidR="00EB0EA6">
              <w:t>2023.gada 1.janvāri stājas spēkā grozījumi, kas nosaka vidējo mērķa algu (atbilstoši finansiālajam iespējām)</w:t>
            </w:r>
            <w:r w:rsidR="00030288">
              <w:t xml:space="preserve"> </w:t>
            </w:r>
            <w:r w:rsidR="00EB0EA6">
              <w:t>pret kuru tiek noteikta +/- 30% mainīgā daļa, kuru nosaka pēc atalgojuma individuālajiem kritērijiem.</w:t>
            </w:r>
          </w:p>
        </w:tc>
        <w:tc>
          <w:tcPr>
            <w:tcW w:w="2410" w:type="dxa"/>
            <w:gridSpan w:val="2"/>
            <w:tcBorders>
              <w:top w:val="single" w:sz="4" w:space="0" w:color="auto"/>
              <w:left w:val="single" w:sz="4" w:space="0" w:color="auto"/>
              <w:bottom w:val="single" w:sz="4" w:space="0" w:color="auto"/>
            </w:tcBorders>
          </w:tcPr>
          <w:p w14:paraId="0F0398D9" w14:textId="77777777" w:rsidR="00140BAF" w:rsidRPr="00086103" w:rsidRDefault="00140BAF" w:rsidP="00F914BE">
            <w:pPr>
              <w:pStyle w:val="Standard"/>
              <w:jc w:val="both"/>
              <w:rPr>
                <w:rFonts w:ascii="Times New Roman" w:hAnsi="Times New Roman"/>
                <w:i/>
                <w:iCs/>
              </w:rPr>
            </w:pPr>
          </w:p>
        </w:tc>
      </w:tr>
      <w:tr w:rsidR="00162430" w:rsidRPr="003B71E0" w14:paraId="514743D9"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BD22139" w14:textId="6FB6BBB4" w:rsidR="00162430" w:rsidRDefault="00FD7805" w:rsidP="00F914BE">
            <w:pPr>
              <w:pStyle w:val="naisc"/>
              <w:spacing w:before="0" w:after="0"/>
              <w:rPr>
                <w:sz w:val="20"/>
                <w:szCs w:val="20"/>
              </w:rPr>
            </w:pPr>
            <w:r>
              <w:rPr>
                <w:sz w:val="20"/>
                <w:szCs w:val="20"/>
              </w:rPr>
              <w:t>6</w:t>
            </w:r>
            <w:r w:rsidR="00162430">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7513711" w14:textId="77777777" w:rsidR="00162430" w:rsidRPr="00FF218E" w:rsidRDefault="00162430"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4BB61D0E" w14:textId="77777777" w:rsidR="00162430" w:rsidRPr="00EB0EA6" w:rsidRDefault="00162430" w:rsidP="00F914BE">
            <w:pPr>
              <w:pStyle w:val="Bodytext70"/>
              <w:shd w:val="clear" w:color="auto" w:fill="auto"/>
              <w:spacing w:after="0" w:line="240" w:lineRule="auto"/>
              <w:ind w:left="62" w:right="23"/>
              <w:jc w:val="center"/>
              <w:rPr>
                <w:sz w:val="24"/>
                <w:szCs w:val="24"/>
              </w:rPr>
            </w:pPr>
            <w:r w:rsidRPr="00EB0EA6">
              <w:rPr>
                <w:b/>
                <w:sz w:val="24"/>
                <w:szCs w:val="24"/>
                <w:u w:val="single"/>
              </w:rPr>
              <w:t>Iekšlietu ministrija</w:t>
            </w:r>
          </w:p>
          <w:p w14:paraId="24857AA7" w14:textId="77777777" w:rsidR="00162430" w:rsidRPr="00EB0EA6" w:rsidRDefault="00162430" w:rsidP="00F914BE">
            <w:pPr>
              <w:jc w:val="both"/>
              <w:rPr>
                <w:rFonts w:eastAsiaTheme="minorHAnsi"/>
                <w:lang w:eastAsia="en-US"/>
              </w:rPr>
            </w:pPr>
            <w:r w:rsidRPr="00EB0EA6">
              <w:rPr>
                <w:rFonts w:eastAsiaTheme="minorHAnsi"/>
                <w:lang w:eastAsia="en-US"/>
              </w:rPr>
              <w:t xml:space="preserve">Informatīvajā ziņojumā plānoti arī pasākumi: </w:t>
            </w:r>
          </w:p>
          <w:p w14:paraId="2FBF26F8" w14:textId="77777777" w:rsidR="00162430" w:rsidRPr="00EB0EA6" w:rsidRDefault="00162430" w:rsidP="00F914BE">
            <w:pPr>
              <w:ind w:firstLine="720"/>
              <w:jc w:val="both"/>
              <w:rPr>
                <w:rFonts w:eastAsiaTheme="minorHAnsi"/>
                <w:lang w:eastAsia="en-US"/>
              </w:rPr>
            </w:pPr>
            <w:r w:rsidRPr="00EB0EA6">
              <w:rPr>
                <w:rFonts w:eastAsiaTheme="minorHAnsi"/>
                <w:lang w:eastAsia="en-US"/>
              </w:rPr>
              <w:t>1)</w:t>
            </w:r>
            <w:r w:rsidRPr="00EB0EA6">
              <w:rPr>
                <w:rFonts w:eastAsiaTheme="minorHAnsi"/>
                <w:lang w:eastAsia="en-US"/>
              </w:rPr>
              <w:tab/>
              <w:t xml:space="preserve">izveidot ticamu, publisku un pārbaudītu ārstniecības personu atalgojuma datu bāzi; </w:t>
            </w:r>
          </w:p>
          <w:p w14:paraId="5346CAD0" w14:textId="77777777" w:rsidR="00162430" w:rsidRPr="00EB0EA6" w:rsidRDefault="00162430" w:rsidP="00F914BE">
            <w:pPr>
              <w:ind w:firstLine="720"/>
              <w:jc w:val="both"/>
              <w:rPr>
                <w:rFonts w:eastAsiaTheme="minorHAnsi"/>
                <w:lang w:eastAsia="en-US"/>
              </w:rPr>
            </w:pPr>
            <w:r w:rsidRPr="00EB0EA6">
              <w:rPr>
                <w:rFonts w:eastAsiaTheme="minorHAnsi"/>
                <w:lang w:eastAsia="en-US"/>
              </w:rPr>
              <w:t>2)</w:t>
            </w:r>
            <w:r w:rsidRPr="00EB0EA6">
              <w:rPr>
                <w:rFonts w:eastAsiaTheme="minorHAnsi"/>
                <w:lang w:eastAsia="en-US"/>
              </w:rPr>
              <w:tab/>
              <w:t xml:space="preserve">turpināt ārstniecības personu atalgojuma datu publiskošanu, nodrošinot detalizētāku informāciju. </w:t>
            </w:r>
          </w:p>
          <w:p w14:paraId="5DDF7BC8" w14:textId="77777777" w:rsidR="00162430" w:rsidRDefault="00162430" w:rsidP="00F914BE">
            <w:pPr>
              <w:pStyle w:val="Bodytext70"/>
              <w:shd w:val="clear" w:color="auto" w:fill="auto"/>
              <w:spacing w:after="0" w:line="240" w:lineRule="auto"/>
              <w:ind w:left="62" w:right="23"/>
              <w:rPr>
                <w:rFonts w:eastAsiaTheme="minorHAnsi"/>
                <w:lang w:eastAsia="en-US"/>
              </w:rPr>
            </w:pPr>
            <w:r w:rsidRPr="00EB0EA6">
              <w:rPr>
                <w:rFonts w:eastAsiaTheme="minorHAnsi"/>
                <w:lang w:eastAsia="en-US"/>
              </w:rPr>
              <w:t>Lūdzam papildināt protokollēmumu ar uzdevumiem atbildīgajām iestādēm minēto pasākumu īstenošanai.</w:t>
            </w:r>
          </w:p>
          <w:p w14:paraId="619C88E9" w14:textId="77777777" w:rsidR="00162430" w:rsidRDefault="00162430" w:rsidP="00F914BE">
            <w:pPr>
              <w:pStyle w:val="Bodytext70"/>
              <w:shd w:val="clear" w:color="auto" w:fill="auto"/>
              <w:spacing w:after="0" w:line="240" w:lineRule="auto"/>
              <w:ind w:left="62" w:right="23"/>
              <w:rPr>
                <w:rFonts w:eastAsiaTheme="minorHAnsi"/>
                <w:lang w:eastAsia="en-US"/>
              </w:rPr>
            </w:pPr>
          </w:p>
          <w:p w14:paraId="4D3D4A01" w14:textId="77777777" w:rsidR="00162430" w:rsidRDefault="00162430" w:rsidP="00F914BE">
            <w:pPr>
              <w:pStyle w:val="naisc"/>
              <w:spacing w:before="0" w:after="0"/>
              <w:rPr>
                <w:b/>
                <w:u w:val="single"/>
              </w:rPr>
            </w:pPr>
            <w:r>
              <w:rPr>
                <w:b/>
                <w:u w:val="single"/>
              </w:rPr>
              <w:t>Valsts kanceleja</w:t>
            </w:r>
          </w:p>
          <w:p w14:paraId="2F6DD9DB" w14:textId="77777777" w:rsidR="00162430" w:rsidRDefault="00162430" w:rsidP="00F914BE">
            <w:pPr>
              <w:pStyle w:val="Bodytext70"/>
              <w:shd w:val="clear" w:color="auto" w:fill="auto"/>
              <w:spacing w:after="0" w:line="240" w:lineRule="auto"/>
              <w:ind w:left="62" w:right="23"/>
            </w:pPr>
            <w:r>
              <w:t>Aicinām Ministru kabineta rīkojuma projektu papildināt ar punktu šādā redakcijā: "V</w:t>
            </w:r>
            <w:r w:rsidRPr="00314149">
              <w:t xml:space="preserve">eselības ministrijai sadarbībā ar Valsts kanceleju izstrādāt priekšlikumus </w:t>
            </w:r>
            <w:r>
              <w:t xml:space="preserve">grozījumiem </w:t>
            </w:r>
            <w:r w:rsidRPr="00314149">
              <w:t>normatīvajos aktos, lai nodrošinātu, ka visas ā</w:t>
            </w:r>
            <w:r>
              <w:t>r</w:t>
            </w:r>
            <w:r w:rsidRPr="00314149">
              <w:t xml:space="preserve">stniecības iestādes, kuras sniedz valsts </w:t>
            </w:r>
            <w:r>
              <w:t xml:space="preserve">budžeta </w:t>
            </w:r>
            <w:r w:rsidRPr="00314149">
              <w:t xml:space="preserve">apmaksātus veselības aprūpes pakalpojumus, informāciju par ārstniecības personu atlīdzību sniedz </w:t>
            </w:r>
            <w:r>
              <w:t>tikai</w:t>
            </w:r>
            <w:r w:rsidRPr="00314149">
              <w:t xml:space="preserve"> Atlīdzības uzskaites sistēmā.</w:t>
            </w:r>
            <w:r>
              <w:t>"</w:t>
            </w:r>
          </w:p>
          <w:p w14:paraId="7CDA99A2" w14:textId="77777777" w:rsidR="001426E8" w:rsidRDefault="001426E8" w:rsidP="00F914BE">
            <w:pPr>
              <w:pStyle w:val="Bodytext70"/>
              <w:shd w:val="clear" w:color="auto" w:fill="auto"/>
              <w:spacing w:after="0" w:line="240" w:lineRule="auto"/>
              <w:ind w:left="62" w:right="23"/>
            </w:pPr>
          </w:p>
          <w:p w14:paraId="21BA32DC" w14:textId="22F7A419" w:rsidR="001426E8" w:rsidRPr="001426E8" w:rsidRDefault="001426E8" w:rsidP="001426E8">
            <w:pPr>
              <w:pStyle w:val="Bodytext70"/>
              <w:shd w:val="clear" w:color="auto" w:fill="auto"/>
              <w:spacing w:after="0" w:line="240" w:lineRule="auto"/>
              <w:ind w:left="62" w:right="23"/>
              <w:rPr>
                <w:b/>
                <w:sz w:val="24"/>
                <w:szCs w:val="24"/>
                <w:u w:val="single"/>
              </w:rPr>
            </w:pPr>
            <w:r w:rsidRPr="001426E8">
              <w:rPr>
                <w:color w:val="000000"/>
                <w:sz w:val="24"/>
                <w:szCs w:val="24"/>
                <w:shd w:val="clear" w:color="auto" w:fill="FFFFFF"/>
              </w:rPr>
              <w:t>Valsts kancelejas uztur spēkā iepriekš izteikto iebildumu par protokollēmuma projekta papildināšanu ar punktu šādā redakcijā:</w:t>
            </w:r>
            <w:r w:rsidRPr="001426E8">
              <w:rPr>
                <w:color w:val="000000"/>
                <w:sz w:val="24"/>
                <w:szCs w:val="24"/>
                <w:shd w:val="clear" w:color="auto" w:fill="FFFFFF"/>
              </w:rPr>
              <w:br/>
              <w:t>"Veselības ministrijai sadarbībā ar Valsts kanceleju izstrādāt priekšlikumus grozījumiem normatīvajos aktos, lai nodrošinātu, ka visas ārstniecības iestādes, kuras sniedz valsts budžeta apmaksātus veselības aprūpes pakalpojumus, informāciju par ārstniecības personu atlīdzību sniedz tikai Atlīdzības uzskaites sistēmā."</w:t>
            </w:r>
            <w:r w:rsidRPr="001426E8">
              <w:rPr>
                <w:color w:val="000000"/>
                <w:sz w:val="24"/>
                <w:szCs w:val="24"/>
                <w:shd w:val="clear" w:color="auto" w:fill="FFFFFF"/>
              </w:rPr>
              <w:br/>
              <w:t>Attiecīgā punkta iekļaušana MK sēdes protkollēmuma projektā, paredz uzdevumu Veselības ministrijai sadarbībā ar Valsts kanceleju nodrošināt turpmāku rīcību administratīvā sloga mazināšanai datu sniedzējiem - ārstniecības iestādēm, Veselības ministrijai un tās padotības iestādēm, kā arī Valsts kancelejai</w:t>
            </w:r>
            <w:r>
              <w:rPr>
                <w:color w:val="000000"/>
                <w:sz w:val="24"/>
                <w:szCs w:val="24"/>
                <w:shd w:val="clear" w:color="auto" w:fill="FFFFFF"/>
              </w:rPr>
              <w:t>.</w:t>
            </w:r>
          </w:p>
        </w:tc>
        <w:tc>
          <w:tcPr>
            <w:tcW w:w="4111" w:type="dxa"/>
            <w:gridSpan w:val="2"/>
            <w:tcBorders>
              <w:top w:val="single" w:sz="6" w:space="0" w:color="000000"/>
              <w:left w:val="single" w:sz="6" w:space="0" w:color="000000"/>
              <w:bottom w:val="single" w:sz="6" w:space="0" w:color="000000"/>
              <w:right w:val="single" w:sz="6" w:space="0" w:color="000000"/>
            </w:tcBorders>
          </w:tcPr>
          <w:p w14:paraId="21D9B125" w14:textId="0552B95F" w:rsidR="00162430" w:rsidRPr="000D6631" w:rsidRDefault="00162430" w:rsidP="00F914BE">
            <w:pPr>
              <w:jc w:val="center"/>
              <w:rPr>
                <w:b/>
                <w:bCs/>
              </w:rPr>
            </w:pPr>
            <w:r>
              <w:rPr>
                <w:b/>
                <w:bCs/>
              </w:rPr>
              <w:lastRenderedPageBreak/>
              <w:t>Ņ</w:t>
            </w:r>
            <w:r w:rsidRPr="000D6631">
              <w:rPr>
                <w:b/>
                <w:bCs/>
              </w:rPr>
              <w:t>emts vērā</w:t>
            </w:r>
          </w:p>
          <w:p w14:paraId="376D9B81" w14:textId="77777777" w:rsidR="00162430" w:rsidRDefault="00162430" w:rsidP="00F914BE">
            <w:pPr>
              <w:jc w:val="both"/>
              <w:rPr>
                <w:rFonts w:eastAsia="Calibri"/>
                <w:color w:val="000000" w:themeColor="text1"/>
              </w:rPr>
            </w:pPr>
            <w:r>
              <w:t>Veicamais uzdevums: i</w:t>
            </w:r>
            <w:r w:rsidRPr="001D3E07">
              <w:rPr>
                <w:rFonts w:eastAsia="Calibri"/>
                <w:color w:val="000000" w:themeColor="text1"/>
              </w:rPr>
              <w:t>zvērtēt iespēju</w:t>
            </w:r>
            <w:r>
              <w:rPr>
                <w:rFonts w:eastAsia="Calibri"/>
                <w:color w:val="000000" w:themeColor="text1"/>
              </w:rPr>
              <w:t xml:space="preserve"> līdz 2022.gada 1.janvārim</w:t>
            </w:r>
            <w:r w:rsidRPr="001D3E07">
              <w:rPr>
                <w:rFonts w:eastAsia="Calibri"/>
                <w:color w:val="000000" w:themeColor="text1"/>
              </w:rPr>
              <w:t xml:space="preserve"> izveidot vienotu ārstniecības personu atalgojuma atskaišu datu bāzi</w:t>
            </w:r>
            <w:r>
              <w:rPr>
                <w:rFonts w:eastAsia="Calibri"/>
                <w:color w:val="000000" w:themeColor="text1"/>
              </w:rPr>
              <w:t xml:space="preserve"> – ir iekļauts ziņojuma V sadaļā “Turpmākā rīcība” (5.5.punktā tiek izdalīts tagad atsevišķi), kur pa soļiem laika grafikā ir uzskaitīti visi veicamie uzdevumi, lai ieviestu jauno atalgojuma modeli.</w:t>
            </w:r>
          </w:p>
          <w:p w14:paraId="7EA3A68D" w14:textId="77777777" w:rsidR="00162430" w:rsidRDefault="00162430" w:rsidP="00F914BE">
            <w:pPr>
              <w:pStyle w:val="naisc"/>
              <w:spacing w:before="0" w:after="0"/>
              <w:jc w:val="both"/>
              <w:rPr>
                <w:rFonts w:eastAsia="Calibri"/>
                <w:color w:val="000000" w:themeColor="text1"/>
              </w:rPr>
            </w:pPr>
          </w:p>
          <w:p w14:paraId="7F3DF7C9" w14:textId="7B61BEA3" w:rsidR="007D3FB6" w:rsidRDefault="007D3FB6" w:rsidP="00F914BE">
            <w:pPr>
              <w:pStyle w:val="naisc"/>
              <w:spacing w:before="0" w:after="0"/>
              <w:jc w:val="both"/>
              <w:rPr>
                <w:b/>
                <w:bCs/>
              </w:rPr>
            </w:pPr>
            <w:r>
              <w:rPr>
                <w:rFonts w:eastAsia="Calibri"/>
                <w:color w:val="000000" w:themeColor="text1"/>
              </w:rPr>
              <w:t>Papildināts protokollēmuma 3.punkts ar veicamo uzdevumu.</w:t>
            </w:r>
          </w:p>
        </w:tc>
        <w:tc>
          <w:tcPr>
            <w:tcW w:w="2410" w:type="dxa"/>
            <w:gridSpan w:val="2"/>
            <w:tcBorders>
              <w:top w:val="single" w:sz="4" w:space="0" w:color="auto"/>
              <w:left w:val="single" w:sz="4" w:space="0" w:color="auto"/>
              <w:bottom w:val="single" w:sz="4" w:space="0" w:color="auto"/>
            </w:tcBorders>
          </w:tcPr>
          <w:p w14:paraId="14D3406B" w14:textId="77777777" w:rsidR="007D3FB6" w:rsidRPr="007D3FB6" w:rsidRDefault="007D3FB6" w:rsidP="007D3FB6">
            <w:pPr>
              <w:jc w:val="both"/>
              <w:rPr>
                <w:i/>
                <w:iCs/>
              </w:rPr>
            </w:pPr>
            <w:r w:rsidRPr="007D3FB6">
              <w:rPr>
                <w:i/>
                <w:iCs/>
              </w:rPr>
              <w:t xml:space="preserve">Veselības ministrijai izstrādāt informatīvajā ziņojumā ietvertās jaunās ārstniecības personu darba samaksas kārtības ieviešanai nepieciešamos normatīvos aktus atbilstoši ikgadēji piešķirtajiem valsts budžeta līdzekļiem, tai skaitā </w:t>
            </w:r>
            <w:r w:rsidRPr="007D3FB6">
              <w:rPr>
                <w:i/>
                <w:iCs/>
                <w:color w:val="000000"/>
                <w:shd w:val="clear" w:color="auto" w:fill="FFFFFF"/>
              </w:rPr>
              <w:t xml:space="preserve">sadarbībā ar Valsts kanceleju izstrādāt priekšlikumus grozījumiem normatīvajos aktos, lai </w:t>
            </w:r>
            <w:r w:rsidRPr="007D3FB6">
              <w:rPr>
                <w:i/>
                <w:iCs/>
                <w:color w:val="000000"/>
                <w:shd w:val="clear" w:color="auto" w:fill="FFFFFF"/>
              </w:rPr>
              <w:lastRenderedPageBreak/>
              <w:t>nodrošinātu, ka visas ārstniecības iestādes, kuras sniedz valsts budžeta apmaksātus veselības aprūpes pakalpojumus, informāciju par ārstniecības personu atlīdzību sniedz vienotā atlīdzības sistēmā.</w:t>
            </w:r>
            <w:r w:rsidRPr="007D3FB6">
              <w:rPr>
                <w:i/>
                <w:iCs/>
              </w:rPr>
              <w:t xml:space="preserve"> Veselības ministram atbilstoši norādītajiem risinājuma ieviešanas termiņiem, iesniegt tos noteiktā kārtībā izskatīšanai Ministru kabinetā.</w:t>
            </w:r>
          </w:p>
          <w:p w14:paraId="0757E05F" w14:textId="77777777" w:rsidR="00162430" w:rsidRPr="00086103" w:rsidRDefault="00162430" w:rsidP="00F914BE">
            <w:pPr>
              <w:pStyle w:val="Standard"/>
              <w:jc w:val="both"/>
              <w:rPr>
                <w:rFonts w:ascii="Times New Roman" w:hAnsi="Times New Roman"/>
                <w:i/>
                <w:iCs/>
              </w:rPr>
            </w:pPr>
          </w:p>
        </w:tc>
      </w:tr>
      <w:tr w:rsidR="0048635D" w:rsidRPr="003B71E0" w14:paraId="3A116E39" w14:textId="77777777" w:rsidTr="00374742">
        <w:tc>
          <w:tcPr>
            <w:tcW w:w="534" w:type="dxa"/>
            <w:tcBorders>
              <w:top w:val="single" w:sz="6" w:space="0" w:color="000000"/>
              <w:left w:val="single" w:sz="6" w:space="0" w:color="000000"/>
              <w:bottom w:val="single" w:sz="6" w:space="0" w:color="000000"/>
              <w:right w:val="single" w:sz="6" w:space="0" w:color="000000"/>
            </w:tcBorders>
          </w:tcPr>
          <w:p w14:paraId="4B59E485" w14:textId="073F79EC" w:rsidR="0048635D" w:rsidRDefault="0048635D" w:rsidP="00F914BE">
            <w:pPr>
              <w:pStyle w:val="naisc"/>
              <w:spacing w:before="0" w:after="0"/>
              <w:rPr>
                <w:sz w:val="20"/>
                <w:szCs w:val="20"/>
              </w:rPr>
            </w:pPr>
            <w:r>
              <w:rPr>
                <w:sz w:val="20"/>
                <w:szCs w:val="20"/>
              </w:rPr>
              <w:lastRenderedPageBreak/>
              <w:t>7.</w:t>
            </w:r>
          </w:p>
        </w:tc>
        <w:tc>
          <w:tcPr>
            <w:tcW w:w="2435" w:type="dxa"/>
            <w:tcBorders>
              <w:top w:val="single" w:sz="6" w:space="0" w:color="000000"/>
              <w:left w:val="single" w:sz="6" w:space="0" w:color="000000"/>
              <w:bottom w:val="single" w:sz="6" w:space="0" w:color="000000"/>
              <w:right w:val="single" w:sz="6" w:space="0" w:color="000000"/>
            </w:tcBorders>
          </w:tcPr>
          <w:p w14:paraId="52A0A273" w14:textId="77777777" w:rsidR="0048635D" w:rsidRPr="00FF218E" w:rsidRDefault="0048635D"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51986381" w14:textId="77777777" w:rsidR="0048635D" w:rsidRDefault="0048635D" w:rsidP="00F914BE">
            <w:pPr>
              <w:pStyle w:val="Bodytext70"/>
              <w:shd w:val="clear" w:color="auto" w:fill="auto"/>
              <w:spacing w:after="0" w:line="240" w:lineRule="auto"/>
              <w:ind w:left="62" w:right="23"/>
              <w:jc w:val="center"/>
              <w:rPr>
                <w:sz w:val="24"/>
                <w:szCs w:val="24"/>
              </w:rPr>
            </w:pPr>
            <w:r>
              <w:rPr>
                <w:b/>
                <w:u w:val="single"/>
              </w:rPr>
              <w:t>Iekšlietu ministrija</w:t>
            </w:r>
          </w:p>
          <w:p w14:paraId="7784F156" w14:textId="5E2E2C4B" w:rsidR="0048635D" w:rsidRDefault="0048635D" w:rsidP="00F914BE">
            <w:pPr>
              <w:pStyle w:val="Bodytext70"/>
              <w:shd w:val="clear" w:color="auto" w:fill="auto"/>
              <w:spacing w:after="0" w:line="240" w:lineRule="auto"/>
              <w:ind w:left="62" w:right="23"/>
              <w:rPr>
                <w:b/>
                <w:sz w:val="24"/>
                <w:szCs w:val="24"/>
                <w:u w:val="single"/>
              </w:rPr>
            </w:pPr>
            <w:r w:rsidRPr="00086103">
              <w:rPr>
                <w:rFonts w:eastAsiaTheme="minorHAnsi"/>
                <w:lang w:eastAsia="en-US"/>
              </w:rPr>
              <w:t>Lūdzam precizēt protokollēmuma 3.punktu, saskaņojot ar informatīvajā ziņojumā minēto par PLE satura ieviešanas soļiem, ņemot vērā apsvērumu, ka sākotnēji būtu jāpieņem normatīvais akts par PLE saturu un tā veidošanas pamatprincipiem un tad secīgi jāuzsāk tā ieviešana ārstniecības iestādēs.</w:t>
            </w:r>
          </w:p>
        </w:tc>
        <w:tc>
          <w:tcPr>
            <w:tcW w:w="4111" w:type="dxa"/>
            <w:gridSpan w:val="2"/>
            <w:tcBorders>
              <w:top w:val="single" w:sz="6" w:space="0" w:color="000000"/>
              <w:left w:val="single" w:sz="6" w:space="0" w:color="000000"/>
              <w:bottom w:val="single" w:sz="6" w:space="0" w:color="000000"/>
              <w:right w:val="single" w:sz="6" w:space="0" w:color="000000"/>
            </w:tcBorders>
          </w:tcPr>
          <w:p w14:paraId="329D046B" w14:textId="4CEDAA15" w:rsidR="0048635D" w:rsidRPr="000D6631" w:rsidRDefault="0048635D" w:rsidP="00F914BE">
            <w:pPr>
              <w:jc w:val="center"/>
              <w:rPr>
                <w:b/>
                <w:bCs/>
              </w:rPr>
            </w:pPr>
            <w:r>
              <w:rPr>
                <w:b/>
                <w:bCs/>
              </w:rPr>
              <w:t>Ņ</w:t>
            </w:r>
            <w:r w:rsidRPr="000D6631">
              <w:rPr>
                <w:b/>
                <w:bCs/>
              </w:rPr>
              <w:t>emts vērā</w:t>
            </w:r>
          </w:p>
          <w:p w14:paraId="4CBF4267" w14:textId="77777777" w:rsidR="0048635D" w:rsidRDefault="0048635D" w:rsidP="00F914BE">
            <w:pPr>
              <w:pStyle w:val="naisc"/>
              <w:spacing w:before="0" w:after="0"/>
              <w:jc w:val="both"/>
              <w:rPr>
                <w:shd w:val="clear" w:color="auto" w:fill="FFFFFF"/>
              </w:rPr>
            </w:pPr>
            <w:r>
              <w:t xml:space="preserve">Protokollēmuma 4.punkts paredz, ka </w:t>
            </w:r>
            <w:r w:rsidRPr="00371B21">
              <w:t>stacionārajām ārstniecības iestādēm</w:t>
            </w:r>
            <w:r>
              <w:t xml:space="preserve"> </w:t>
            </w:r>
            <w:r>
              <w:rPr>
                <w:shd w:val="clear" w:color="auto" w:fill="FFFFFF"/>
              </w:rPr>
              <w:t xml:space="preserve">no 2021.gada 1.janvāra </w:t>
            </w:r>
            <w:r w:rsidRPr="000A7CD5">
              <w:rPr>
                <w:b/>
                <w:bCs/>
                <w:u w:val="single"/>
                <w:shd w:val="clear" w:color="auto" w:fill="FFFFFF"/>
              </w:rPr>
              <w:t>pakāpeniski jāuzsāk pārskatīt</w:t>
            </w:r>
            <w:r>
              <w:rPr>
                <w:shd w:val="clear" w:color="auto" w:fill="FFFFFF"/>
              </w:rPr>
              <w:t xml:space="preserve"> ārstu un medicīnas māsu amata pienākumi atbilstoši </w:t>
            </w:r>
            <w:r w:rsidRPr="001337C6">
              <w:rPr>
                <w:shd w:val="clear" w:color="auto" w:fill="FFFFFF"/>
              </w:rPr>
              <w:t xml:space="preserve">informatīvajā ziņojumā definētajam ārstu un māsu </w:t>
            </w:r>
            <w:r>
              <w:rPr>
                <w:shd w:val="clear" w:color="auto" w:fill="FFFFFF"/>
              </w:rPr>
              <w:t>pilna laika ekvivalenta (turpmāk – PLE) sastāvdaļām.</w:t>
            </w:r>
          </w:p>
          <w:p w14:paraId="422B6F19" w14:textId="606358D6" w:rsidR="0048635D" w:rsidRDefault="0048635D" w:rsidP="00F914BE">
            <w:pPr>
              <w:pStyle w:val="naisc"/>
              <w:spacing w:before="0" w:after="0"/>
              <w:jc w:val="both"/>
              <w:rPr>
                <w:b/>
                <w:bCs/>
              </w:rPr>
            </w:pPr>
            <w:r>
              <w:t xml:space="preserve">Protokollēmuma 3.punkts neparedz tūlītēju PLE ieviešanu no 2021.gada 1.janvāra. Apkopojot informāciju no ārstniecības iestādēm ir redzams, ka daļā ārstniecības iestāžu jau šobrīd ir daļēji definēti ārstniecības personu pienākumi pēc PLE sastāvdaļām. Kā arī </w:t>
            </w:r>
            <w:r>
              <w:lastRenderedPageBreak/>
              <w:t>2021.gadam papildus tika piešķirti 183 milj. veselības aprūpes darbinieku darba samaksas palielināšanai, kas ļaus vidēji  palielināt ārstniecības personu darba samaksu par 25,39%. Līdz ar to, lai veicinātu efektīvāku un taisnīgāku papildus piešķirtā finansējuma sadali, stacionārajām ārstniecības iestādēm pakāpeniski jāuzsāk PLE ieviešanu iestādē. Uzskatām, ka informatīvajā ziņojumā iekļautā informācija par PLE sastāvdaļām ir pietiekama, lai sāktu pārskatīt ārstniecības personu pienākumus un pakāpeniski gatavotos pilnīgai  PLE satura ieviešanai iestādē.</w:t>
            </w:r>
          </w:p>
        </w:tc>
        <w:tc>
          <w:tcPr>
            <w:tcW w:w="2410" w:type="dxa"/>
            <w:gridSpan w:val="2"/>
            <w:tcBorders>
              <w:top w:val="single" w:sz="4" w:space="0" w:color="auto"/>
              <w:left w:val="single" w:sz="4" w:space="0" w:color="auto"/>
              <w:bottom w:val="single" w:sz="4" w:space="0" w:color="auto"/>
            </w:tcBorders>
          </w:tcPr>
          <w:p w14:paraId="1751D97E" w14:textId="77777777" w:rsidR="0048635D" w:rsidRPr="00086103" w:rsidRDefault="0048635D" w:rsidP="00F914BE">
            <w:pPr>
              <w:pStyle w:val="Standard"/>
              <w:jc w:val="both"/>
              <w:rPr>
                <w:rFonts w:ascii="Times New Roman" w:hAnsi="Times New Roman"/>
                <w:i/>
                <w:iCs/>
              </w:rPr>
            </w:pPr>
          </w:p>
        </w:tc>
      </w:tr>
      <w:tr w:rsidR="00140BAF" w:rsidRPr="003B71E0" w14:paraId="343ACF43"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989F3F4" w14:textId="726A1538" w:rsidR="00140BAF" w:rsidRDefault="0048635D" w:rsidP="00F914BE">
            <w:pPr>
              <w:pStyle w:val="naisc"/>
              <w:spacing w:before="0" w:after="0"/>
              <w:rPr>
                <w:sz w:val="20"/>
                <w:szCs w:val="20"/>
              </w:rPr>
            </w:pPr>
            <w:r>
              <w:rPr>
                <w:sz w:val="20"/>
                <w:szCs w:val="20"/>
              </w:rPr>
              <w:t>8</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C60D1FF"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4F150BE0" w14:textId="640D0062" w:rsidR="00EB0EA6" w:rsidRPr="00EB0EA6" w:rsidRDefault="00EB0EA6" w:rsidP="00F914BE">
            <w:pPr>
              <w:pStyle w:val="Bodytext70"/>
              <w:shd w:val="clear" w:color="auto" w:fill="auto"/>
              <w:spacing w:after="0" w:line="240" w:lineRule="auto"/>
              <w:ind w:left="62" w:right="23"/>
              <w:jc w:val="center"/>
              <w:rPr>
                <w:sz w:val="24"/>
                <w:szCs w:val="24"/>
              </w:rPr>
            </w:pPr>
            <w:r>
              <w:rPr>
                <w:b/>
                <w:sz w:val="24"/>
                <w:szCs w:val="24"/>
                <w:u w:val="single"/>
              </w:rPr>
              <w:t>Tieslietu</w:t>
            </w:r>
            <w:r w:rsidRPr="00EB0EA6">
              <w:rPr>
                <w:b/>
                <w:sz w:val="24"/>
                <w:szCs w:val="24"/>
                <w:u w:val="single"/>
              </w:rPr>
              <w:t xml:space="preserve"> ministrija</w:t>
            </w:r>
          </w:p>
          <w:p w14:paraId="5965153A" w14:textId="0BA8F464" w:rsidR="00140BAF" w:rsidRPr="00B41A62" w:rsidRDefault="00EB0EA6" w:rsidP="00F914BE">
            <w:pPr>
              <w:jc w:val="both"/>
              <w:rPr>
                <w:color w:val="000000"/>
              </w:rPr>
            </w:pPr>
            <w:r w:rsidRPr="00EB0EA6">
              <w:rPr>
                <w:color w:val="000000"/>
              </w:rPr>
              <w:t xml:space="preserve">Projekta 2. punktu nepieciešams precizēt atbilstoši Valsts pārvaldes iekārtas likuma 7. panta otrajā daļā un Ministru kabineta 2009. gada 7. aprīļa noteikumu Nr.300 “Ministru kabineta kārtības rullis” </w:t>
            </w:r>
            <w:bookmarkStart w:id="0" w:name="_Hlk44401120"/>
            <w:r w:rsidRPr="00EB0EA6">
              <w:rPr>
                <w:color w:val="000000"/>
              </w:rPr>
              <w:t xml:space="preserve">73.1. apakšpunktā noteiktajam, </w:t>
            </w:r>
            <w:bookmarkEnd w:id="0"/>
            <w:r w:rsidRPr="00EB0EA6">
              <w:rPr>
                <w:color w:val="000000"/>
              </w:rPr>
              <w:t>proti, Ministru kabineta uzdevums primāri jāparedz ministrijai, kura ir atbildīga par uzdevuma izpildi. Tas apstāklis, ka uzdevuma tiešā izpildītāja būs ministrijas padotības iestāde, nemazina ministrijas atbildību par uzdevuma izpildi kopumā.</w:t>
            </w:r>
          </w:p>
        </w:tc>
        <w:tc>
          <w:tcPr>
            <w:tcW w:w="4111" w:type="dxa"/>
            <w:gridSpan w:val="2"/>
            <w:tcBorders>
              <w:top w:val="single" w:sz="6" w:space="0" w:color="000000"/>
              <w:left w:val="single" w:sz="6" w:space="0" w:color="000000"/>
              <w:bottom w:val="single" w:sz="6" w:space="0" w:color="000000"/>
              <w:right w:val="single" w:sz="6" w:space="0" w:color="000000"/>
            </w:tcBorders>
          </w:tcPr>
          <w:p w14:paraId="3604D38C" w14:textId="70D35E07" w:rsidR="00EB0EA6" w:rsidRDefault="00EB0EA6" w:rsidP="00F914BE">
            <w:pPr>
              <w:pStyle w:val="naisc"/>
              <w:spacing w:before="0" w:after="0"/>
              <w:rPr>
                <w:b/>
                <w:bCs/>
              </w:rPr>
            </w:pPr>
            <w:r>
              <w:rPr>
                <w:b/>
                <w:bCs/>
              </w:rPr>
              <w:t>Ņ</w:t>
            </w:r>
            <w:r w:rsidRPr="008C041D">
              <w:rPr>
                <w:b/>
                <w:bCs/>
              </w:rPr>
              <w:t>emts vērā</w:t>
            </w:r>
          </w:p>
          <w:p w14:paraId="15EC3A00" w14:textId="3722E814" w:rsidR="00140BAF" w:rsidRPr="00EB0EA6" w:rsidRDefault="00EB0EA6" w:rsidP="00F914BE">
            <w:pPr>
              <w:pStyle w:val="naisc"/>
              <w:spacing w:before="0" w:after="0"/>
              <w:jc w:val="both"/>
            </w:pPr>
            <w:r>
              <w:rPr>
                <w:rFonts w:cstheme="minorHAnsi"/>
              </w:rPr>
              <w:t xml:space="preserve">Papildināts Ministru kabineta protokollēmuma projekts </w:t>
            </w:r>
            <w:r w:rsidR="00B41A62">
              <w:rPr>
                <w:rFonts w:cstheme="minorHAnsi"/>
              </w:rPr>
              <w:t>norādot Veselības ministriju kā atbildīgo par uzdevumu izpildi, tai skaitā norādot Veselības ministrijas padotības iestādi, kura praktiski veiks uzdevuma izpildi.</w:t>
            </w:r>
          </w:p>
        </w:tc>
        <w:tc>
          <w:tcPr>
            <w:tcW w:w="2410" w:type="dxa"/>
            <w:gridSpan w:val="2"/>
            <w:tcBorders>
              <w:top w:val="single" w:sz="4" w:space="0" w:color="auto"/>
              <w:left w:val="single" w:sz="4" w:space="0" w:color="auto"/>
              <w:bottom w:val="single" w:sz="4" w:space="0" w:color="auto"/>
            </w:tcBorders>
          </w:tcPr>
          <w:p w14:paraId="2279C301" w14:textId="77777777" w:rsidR="00140BAF" w:rsidRPr="00086103" w:rsidRDefault="00140BAF" w:rsidP="00F914BE">
            <w:pPr>
              <w:pStyle w:val="Standard"/>
              <w:jc w:val="both"/>
              <w:rPr>
                <w:rFonts w:ascii="Times New Roman" w:hAnsi="Times New Roman"/>
                <w:i/>
                <w:iCs/>
              </w:rPr>
            </w:pPr>
          </w:p>
        </w:tc>
      </w:tr>
      <w:tr w:rsidR="00140BAF" w:rsidRPr="003B71E0" w14:paraId="7B12F5A3" w14:textId="77777777" w:rsidTr="00374742">
        <w:tc>
          <w:tcPr>
            <w:tcW w:w="534" w:type="dxa"/>
            <w:tcBorders>
              <w:top w:val="single" w:sz="6" w:space="0" w:color="000000"/>
              <w:left w:val="single" w:sz="6" w:space="0" w:color="000000"/>
              <w:bottom w:val="single" w:sz="6" w:space="0" w:color="000000"/>
              <w:right w:val="single" w:sz="6" w:space="0" w:color="000000"/>
            </w:tcBorders>
          </w:tcPr>
          <w:p w14:paraId="7CC3CF80" w14:textId="5760F564" w:rsidR="00140BAF" w:rsidRDefault="0048635D" w:rsidP="00F914BE">
            <w:pPr>
              <w:pStyle w:val="naisc"/>
              <w:spacing w:before="0" w:after="0"/>
              <w:rPr>
                <w:sz w:val="20"/>
                <w:szCs w:val="20"/>
              </w:rPr>
            </w:pPr>
            <w:r>
              <w:rPr>
                <w:sz w:val="20"/>
                <w:szCs w:val="20"/>
              </w:rPr>
              <w:t>9</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7EFC4E24"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5E69519" w14:textId="77777777" w:rsidR="00B41A62" w:rsidRPr="00EB0EA6" w:rsidRDefault="00B41A62" w:rsidP="00F914BE">
            <w:pPr>
              <w:pStyle w:val="Bodytext70"/>
              <w:shd w:val="clear" w:color="auto" w:fill="auto"/>
              <w:spacing w:after="0" w:line="240" w:lineRule="auto"/>
              <w:ind w:left="62" w:right="23"/>
              <w:jc w:val="center"/>
              <w:rPr>
                <w:sz w:val="24"/>
                <w:szCs w:val="24"/>
              </w:rPr>
            </w:pPr>
            <w:r>
              <w:rPr>
                <w:b/>
                <w:sz w:val="24"/>
                <w:szCs w:val="24"/>
                <w:u w:val="single"/>
              </w:rPr>
              <w:t>Tieslietu</w:t>
            </w:r>
            <w:r w:rsidRPr="00EB0EA6">
              <w:rPr>
                <w:b/>
                <w:sz w:val="24"/>
                <w:szCs w:val="24"/>
                <w:u w:val="single"/>
              </w:rPr>
              <w:t xml:space="preserve"> ministrija</w:t>
            </w:r>
          </w:p>
          <w:p w14:paraId="19F29E20" w14:textId="77777777" w:rsidR="00B41A62" w:rsidRPr="00B41A62" w:rsidRDefault="00B41A62" w:rsidP="00F914BE">
            <w:pPr>
              <w:jc w:val="both"/>
              <w:rPr>
                <w:color w:val="000000"/>
              </w:rPr>
            </w:pPr>
            <w:r w:rsidRPr="00B41A62">
              <w:rPr>
                <w:color w:val="000000"/>
              </w:rPr>
              <w:t xml:space="preserve">Informatīvā ziņojuma 5.2. apakšnodaļā “Mērķa algas sasniegšana” (79. lapā) tiek paredzēts – “Līdz 2021. gada 1. martam būtu nepieciešams veikt grozījumus normatīvajos aktos, </w:t>
            </w:r>
            <w:r w:rsidRPr="00B41A62">
              <w:rPr>
                <w:color w:val="000000"/>
                <w:u w:val="single"/>
              </w:rPr>
              <w:t>iekļaujot normu, ka turpmāk ārstniecības personu mērķa alga ir domnīcā ar analītisko intelektuālā darba vērtēšanas punktu/faktoru metodi noteiktā mērķa alga</w:t>
            </w:r>
            <w:r w:rsidRPr="00B41A62">
              <w:rPr>
                <w:color w:val="000000"/>
              </w:rPr>
              <w:t xml:space="preserve">, kura turpmāk tiks indeksēta ik gadu atbilstoši indeksācijas mehānismam, kurā vidējā bruto mēneša darba samaksas izmaiņas un patēriņu cenu </w:t>
            </w:r>
            <w:r w:rsidRPr="00B41A62">
              <w:rPr>
                <w:color w:val="000000"/>
              </w:rPr>
              <w:lastRenderedPageBreak/>
              <w:t xml:space="preserve">indekss veido katrs 50% ietekmi uz ārstniecības personu mērķa algu (sk. 6. nodaļas 6.2. tabulu), kas stātos spēkā reizē ar jauno ārstniecības personu atalgojuma modeli”. Vēršam uzmanību, ka šādi izteikts mērķis nav pietiekami saprotams. Normatīvo aktu izstrādei, saskaņošanai un pieņemšanai ir paredzēta noteikta kārtība. Informatīvajā ziņojumā esošais teksts par domnīcas lomu un ietekmi uz normatīvo aktu izstrādes un pieņemšanas procesu nav pietiekami saprotams, kā arī nav saprotams domnīcas lēmumu saistošais raksturs. Ievērojot minēto, informatīvo ziņojumu nepieciešams atbilstoši papildināt, lai var izvērtēt iespējamo normatīvo aktu grozījumu tiesiskumu un atbilstību pieņemtajai tiesību sistēmai. </w:t>
            </w:r>
          </w:p>
          <w:p w14:paraId="304EC9F8" w14:textId="77777777" w:rsidR="00140BAF" w:rsidRDefault="00140BAF" w:rsidP="00F914BE">
            <w:pPr>
              <w:pStyle w:val="naisc"/>
              <w:spacing w:before="0" w:after="0"/>
              <w:rPr>
                <w:b/>
                <w:u w:val="single"/>
              </w:rPr>
            </w:pPr>
          </w:p>
        </w:tc>
        <w:tc>
          <w:tcPr>
            <w:tcW w:w="4111" w:type="dxa"/>
            <w:gridSpan w:val="2"/>
            <w:tcBorders>
              <w:top w:val="single" w:sz="6" w:space="0" w:color="000000"/>
              <w:left w:val="single" w:sz="6" w:space="0" w:color="000000"/>
              <w:bottom w:val="single" w:sz="6" w:space="0" w:color="000000"/>
              <w:right w:val="single" w:sz="6" w:space="0" w:color="000000"/>
            </w:tcBorders>
          </w:tcPr>
          <w:p w14:paraId="30B3EE8C" w14:textId="77CB35F7" w:rsidR="00B41A62" w:rsidRDefault="00B41A62" w:rsidP="00F914BE">
            <w:pPr>
              <w:pStyle w:val="naisc"/>
              <w:spacing w:before="0" w:after="0"/>
              <w:rPr>
                <w:b/>
                <w:bCs/>
              </w:rPr>
            </w:pPr>
            <w:r>
              <w:rPr>
                <w:b/>
                <w:bCs/>
              </w:rPr>
              <w:lastRenderedPageBreak/>
              <w:t>Ņ</w:t>
            </w:r>
            <w:r w:rsidRPr="008C041D">
              <w:rPr>
                <w:b/>
                <w:bCs/>
              </w:rPr>
              <w:t>emts vērā</w:t>
            </w:r>
          </w:p>
          <w:p w14:paraId="39699560" w14:textId="4C099752" w:rsidR="00B41A62" w:rsidRDefault="00B41A62" w:rsidP="00F914BE">
            <w:pPr>
              <w:pStyle w:val="naisc"/>
              <w:spacing w:before="0" w:after="0"/>
              <w:jc w:val="both"/>
              <w:rPr>
                <w:rFonts w:cstheme="minorHAnsi"/>
              </w:rPr>
            </w:pPr>
            <w:r>
              <w:rPr>
                <w:rFonts w:cstheme="minorHAnsi"/>
              </w:rPr>
              <w:t xml:space="preserve">Domnīcā tika pieaicināti 34 eksperti, </w:t>
            </w:r>
            <w:r w:rsidRPr="000D6631">
              <w:t xml:space="preserve">iesaistoties ārstiem un māsām no dažādām ārstniecības iestādēm, veselības aprūpes nozares darba devējiem, augstskolu mācībspēkiem un veselības aprūpes politikas veidotājiem, kā arī pārstāvjiem no Veselības ministrijas, Nacionālā veselības dienesta, Finanšu ministrijas un Valsts </w:t>
            </w:r>
            <w:r w:rsidRPr="000D6631">
              <w:lastRenderedPageBreak/>
              <w:t>kancelejas</w:t>
            </w:r>
            <w:r>
              <w:rPr>
                <w:rFonts w:cstheme="minorHAnsi"/>
              </w:rPr>
              <w:t>. Eksperti katrs no savas puses definēja viņuprāt pastāvošās problēmas esošajā atalgojuma modelī un piedāvāja dažādus risinājuma variantus jaunajam modelim. Pēc to apkopošanas Veselības ministrijas eksperti sadarbībā ar Valsts kancelejas ekspertiem izstrādāja jauno ārstniecības personu atalgojuma modeli</w:t>
            </w:r>
            <w:r w:rsidR="00162430">
              <w:rPr>
                <w:rFonts w:cstheme="minorHAnsi"/>
              </w:rPr>
              <w:t>, ņemot vērā domnīcas darba rezultātus.</w:t>
            </w:r>
            <w:r w:rsidR="00D16701">
              <w:rPr>
                <w:rFonts w:cstheme="minorHAnsi"/>
              </w:rPr>
              <w:t xml:space="preserve"> </w:t>
            </w:r>
            <w:r w:rsidR="00162430">
              <w:rPr>
                <w:rFonts w:cstheme="minorHAnsi"/>
              </w:rPr>
              <w:t>I</w:t>
            </w:r>
            <w:r w:rsidR="00D16701">
              <w:rPr>
                <w:rFonts w:cstheme="minorHAnsi"/>
              </w:rPr>
              <w:t>zstrādātos risinājuma priekšlikumus virza Veselības ministrija.</w:t>
            </w:r>
          </w:p>
          <w:p w14:paraId="5166FBBB" w14:textId="404E39E3" w:rsidR="00D16701" w:rsidRDefault="00162430" w:rsidP="00F914BE">
            <w:pPr>
              <w:pStyle w:val="naisc"/>
              <w:spacing w:before="0" w:after="0"/>
              <w:jc w:val="both"/>
              <w:rPr>
                <w:rFonts w:cstheme="minorHAnsi"/>
              </w:rPr>
            </w:pPr>
            <w:r>
              <w:rPr>
                <w:rFonts w:cstheme="minorHAnsi"/>
              </w:rPr>
              <w:t>M</w:t>
            </w:r>
            <w:r w:rsidR="00D16701">
              <w:rPr>
                <w:rFonts w:cstheme="minorHAnsi"/>
              </w:rPr>
              <w:t>ērķa algu</w:t>
            </w:r>
            <w:r>
              <w:rPr>
                <w:rFonts w:cstheme="minorHAnsi"/>
              </w:rPr>
              <w:t xml:space="preserve"> ir</w:t>
            </w:r>
            <w:r w:rsidR="00D16701">
              <w:rPr>
                <w:rFonts w:cstheme="minorHAnsi"/>
              </w:rPr>
              <w:t xml:space="preserve"> ir noteikta ar analītisko intelektuālā darba vērtēšanas punktu/metodi, kas ir starptautiski atzīta un Valsts kancelejai pieder metodes lietošanas tiesības valsts sektorā nodarbināto darba samaksas sistēmas uzturēšanas vajadzībām. Kopā ar ekspertiem domnīcas procesā tika izvērtēti dažādi amati </w:t>
            </w:r>
            <w:r w:rsidR="00D605A6">
              <w:rPr>
                <w:rFonts w:cstheme="minorHAnsi"/>
              </w:rPr>
              <w:t>un mērķa algas noteiktas pēc starptautiski atzītas metodes.</w:t>
            </w:r>
          </w:p>
          <w:p w14:paraId="59A6F18E" w14:textId="0476C8DC" w:rsidR="00D605A6" w:rsidRPr="00B41A62" w:rsidRDefault="00D605A6" w:rsidP="00F914BE">
            <w:pPr>
              <w:pStyle w:val="naisc"/>
              <w:spacing w:before="0" w:after="0"/>
              <w:jc w:val="both"/>
              <w:rPr>
                <w:rFonts w:cstheme="minorHAnsi"/>
              </w:rPr>
            </w:pPr>
            <w:r>
              <w:rPr>
                <w:rFonts w:cstheme="minorHAnsi"/>
              </w:rPr>
              <w:t xml:space="preserve">Lai saprastu, ka </w:t>
            </w:r>
            <w:r w:rsidRPr="00D605A6">
              <w:rPr>
                <w:color w:val="000000"/>
              </w:rPr>
              <w:t>ārstniecības personu mērķa alga ir ar analītisko intelektuālā darba vērtēšanas punktu/faktoru metodi noteiktā mērķa alga</w:t>
            </w:r>
            <w:r>
              <w:rPr>
                <w:color w:val="000000"/>
              </w:rPr>
              <w:t>, tiek svītrots vārds domnīcā.</w:t>
            </w:r>
          </w:p>
        </w:tc>
        <w:tc>
          <w:tcPr>
            <w:tcW w:w="2410" w:type="dxa"/>
            <w:gridSpan w:val="2"/>
            <w:tcBorders>
              <w:top w:val="single" w:sz="4" w:space="0" w:color="auto"/>
              <w:left w:val="single" w:sz="4" w:space="0" w:color="auto"/>
              <w:bottom w:val="single" w:sz="4" w:space="0" w:color="auto"/>
            </w:tcBorders>
          </w:tcPr>
          <w:p w14:paraId="748DB2D8" w14:textId="77777777" w:rsidR="00140BAF" w:rsidRPr="00086103" w:rsidRDefault="00140BAF" w:rsidP="00F914BE">
            <w:pPr>
              <w:pStyle w:val="Standard"/>
              <w:jc w:val="both"/>
              <w:rPr>
                <w:rFonts w:ascii="Times New Roman" w:hAnsi="Times New Roman"/>
                <w:i/>
                <w:iCs/>
              </w:rPr>
            </w:pPr>
          </w:p>
        </w:tc>
      </w:tr>
      <w:tr w:rsidR="00140BAF" w:rsidRPr="003B71E0" w14:paraId="297B90AD"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DA65004" w14:textId="04E245F4" w:rsidR="00140BAF" w:rsidRDefault="0048635D" w:rsidP="00F914BE">
            <w:pPr>
              <w:pStyle w:val="naisc"/>
              <w:spacing w:before="0" w:after="0"/>
              <w:rPr>
                <w:sz w:val="20"/>
                <w:szCs w:val="20"/>
              </w:rPr>
            </w:pPr>
            <w:r>
              <w:rPr>
                <w:sz w:val="20"/>
                <w:szCs w:val="20"/>
              </w:rPr>
              <w:t>10</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2058AE74"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1AF7095D" w14:textId="77777777" w:rsidR="00163D3C" w:rsidRPr="00EB0EA6" w:rsidRDefault="00163D3C" w:rsidP="00F914BE">
            <w:pPr>
              <w:pStyle w:val="Bodytext70"/>
              <w:shd w:val="clear" w:color="auto" w:fill="auto"/>
              <w:spacing w:after="0" w:line="240" w:lineRule="auto"/>
              <w:ind w:left="62" w:right="23"/>
              <w:jc w:val="center"/>
              <w:rPr>
                <w:sz w:val="24"/>
                <w:szCs w:val="24"/>
              </w:rPr>
            </w:pPr>
            <w:r>
              <w:rPr>
                <w:b/>
                <w:sz w:val="24"/>
                <w:szCs w:val="24"/>
                <w:u w:val="single"/>
              </w:rPr>
              <w:t>Tieslietu</w:t>
            </w:r>
            <w:r w:rsidRPr="00EB0EA6">
              <w:rPr>
                <w:b/>
                <w:sz w:val="24"/>
                <w:szCs w:val="24"/>
                <w:u w:val="single"/>
              </w:rPr>
              <w:t xml:space="preserve"> ministrija</w:t>
            </w:r>
          </w:p>
          <w:p w14:paraId="05295B81" w14:textId="6557D6AD" w:rsidR="00140BAF" w:rsidRPr="00163D3C" w:rsidRDefault="00163D3C" w:rsidP="00F914BE">
            <w:pPr>
              <w:jc w:val="both"/>
            </w:pPr>
            <w:r w:rsidRPr="00163D3C">
              <w:rPr>
                <w:color w:val="000000"/>
              </w:rPr>
              <w:t xml:space="preserve">Tieslietu ministrija vēlas norādīt, ka </w:t>
            </w:r>
            <w:r w:rsidRPr="00163D3C">
              <w:t xml:space="preserve">Ieslodzījuma vietu pārvalde nodrošina ieslodzīto personu veselības aprūpi un attiecīgi nodarbina ārstniecības personas, kuru darba samaksa šobrīd tiek noteikta, pamatojoties uz Ministru kabineta 2018. gada 18. decembra noteikumiem Nr.851 “Noteikumi par zemāko mēnešalgu un speciālo piemaksu veselības aprūpes jomā nodarbinātajiem”. Ņemot vērā </w:t>
            </w:r>
            <w:r w:rsidRPr="00163D3C">
              <w:lastRenderedPageBreak/>
              <w:t xml:space="preserve">minēto, izstrādājot jaunu darba samaksas modeli, informatīvais ziņojums ir jāpapildina ar informāciju par šo ārstniecības personu atalgojuma attīstību. Informatīvā ziņojuma 6.4., 6.6., 6.8., 6.11. un 6.13. tabulās ir aile “Citās ministrijās un resoros strādājošajām ārstniecības personām” ar noteiktiem nepieciešamā finansējuma apmēriem pa gadiem. Vienlaikus informatīvajā ziņojumā vispār nav skaidrots, kas tās ir par ārstniecības personām un kādās ministrijās vai resoros tās strādā. Ievērojot minēto, informatīvo ziņojumu nepieciešams papildināt ar izvērstu skaidrojumu par citās ministrijās un resoros strādājošajām ārstniecības personām un tām nepieciešamo finansējumu. </w:t>
            </w:r>
          </w:p>
        </w:tc>
        <w:tc>
          <w:tcPr>
            <w:tcW w:w="4111" w:type="dxa"/>
            <w:gridSpan w:val="2"/>
            <w:tcBorders>
              <w:top w:val="single" w:sz="6" w:space="0" w:color="000000"/>
              <w:left w:val="single" w:sz="6" w:space="0" w:color="000000"/>
              <w:bottom w:val="single" w:sz="6" w:space="0" w:color="000000"/>
              <w:right w:val="single" w:sz="6" w:space="0" w:color="000000"/>
            </w:tcBorders>
          </w:tcPr>
          <w:p w14:paraId="4FAA1932" w14:textId="49E235A6" w:rsidR="00163D3C" w:rsidRDefault="00163D3C" w:rsidP="00F914BE">
            <w:pPr>
              <w:pStyle w:val="naisc"/>
              <w:spacing w:before="0" w:after="0"/>
              <w:rPr>
                <w:b/>
                <w:bCs/>
              </w:rPr>
            </w:pPr>
            <w:r>
              <w:rPr>
                <w:b/>
                <w:bCs/>
              </w:rPr>
              <w:lastRenderedPageBreak/>
              <w:t>Ņ</w:t>
            </w:r>
            <w:r w:rsidRPr="008C041D">
              <w:rPr>
                <w:b/>
                <w:bCs/>
              </w:rPr>
              <w:t>emts vērā</w:t>
            </w:r>
          </w:p>
          <w:p w14:paraId="1EA822A8" w14:textId="2733923F" w:rsidR="00140BAF" w:rsidRPr="00913EEF" w:rsidRDefault="00913EEF" w:rsidP="00F914BE">
            <w:pPr>
              <w:pStyle w:val="naisc"/>
              <w:spacing w:before="0" w:after="0"/>
              <w:jc w:val="both"/>
            </w:pPr>
            <w:r w:rsidRPr="00913EEF">
              <w:t>Papildināta</w:t>
            </w:r>
            <w:r>
              <w:t xml:space="preserve">s informatīvā ziņojuma 6.4., 6.6., 6.8., 6.11. un 6.13. tabulas ar informāciju par ministrijām, kuras iekļautas ailē </w:t>
            </w:r>
            <w:r w:rsidRPr="00163D3C">
              <w:t>“Citās ministrijās un resoros strādājošajām ārstniecības personām”</w:t>
            </w:r>
            <w:r>
              <w:t>.</w:t>
            </w:r>
          </w:p>
        </w:tc>
        <w:tc>
          <w:tcPr>
            <w:tcW w:w="2410" w:type="dxa"/>
            <w:gridSpan w:val="2"/>
            <w:tcBorders>
              <w:top w:val="single" w:sz="4" w:space="0" w:color="auto"/>
              <w:left w:val="single" w:sz="4" w:space="0" w:color="auto"/>
              <w:bottom w:val="single" w:sz="4" w:space="0" w:color="auto"/>
            </w:tcBorders>
          </w:tcPr>
          <w:p w14:paraId="334642C0" w14:textId="77777777" w:rsidR="00140BAF" w:rsidRPr="00086103" w:rsidRDefault="00140BAF" w:rsidP="00F914BE">
            <w:pPr>
              <w:pStyle w:val="Standard"/>
              <w:jc w:val="both"/>
              <w:rPr>
                <w:rFonts w:ascii="Times New Roman" w:hAnsi="Times New Roman"/>
                <w:i/>
                <w:iCs/>
              </w:rPr>
            </w:pPr>
          </w:p>
        </w:tc>
      </w:tr>
      <w:tr w:rsidR="00140BAF" w:rsidRPr="003B71E0" w14:paraId="5E0EAEBE"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1820A21" w14:textId="497DD976" w:rsidR="00140BAF" w:rsidRDefault="00FD7805" w:rsidP="00F914BE">
            <w:pPr>
              <w:pStyle w:val="naisc"/>
              <w:spacing w:before="0" w:after="0"/>
              <w:rPr>
                <w:sz w:val="20"/>
                <w:szCs w:val="20"/>
              </w:rPr>
            </w:pPr>
            <w:r>
              <w:rPr>
                <w:sz w:val="20"/>
                <w:szCs w:val="20"/>
              </w:rPr>
              <w:t>1</w:t>
            </w:r>
            <w:r w:rsidR="0048635D">
              <w:rPr>
                <w:sz w:val="20"/>
                <w:szCs w:val="20"/>
              </w:rPr>
              <w:t>1</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4CB6CA0" w14:textId="77777777" w:rsidR="00140BAF" w:rsidRPr="00FF218E" w:rsidRDefault="00140BA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733E3C82" w14:textId="17D59AFC" w:rsidR="008304E6" w:rsidRDefault="008304E6" w:rsidP="00F914BE">
            <w:pPr>
              <w:pStyle w:val="Bodytext70"/>
              <w:shd w:val="clear" w:color="auto" w:fill="auto"/>
              <w:spacing w:after="0" w:line="240" w:lineRule="auto"/>
              <w:ind w:left="62" w:right="23"/>
              <w:jc w:val="center"/>
              <w:rPr>
                <w:b/>
                <w:sz w:val="24"/>
                <w:szCs w:val="24"/>
                <w:u w:val="single"/>
              </w:rPr>
            </w:pPr>
            <w:r>
              <w:rPr>
                <w:b/>
                <w:sz w:val="24"/>
                <w:szCs w:val="24"/>
                <w:u w:val="single"/>
              </w:rPr>
              <w:t>Latvijas darba devēju konfederācija</w:t>
            </w:r>
          </w:p>
          <w:p w14:paraId="1A0F7A80" w14:textId="77777777" w:rsidR="008304E6" w:rsidRPr="008304E6" w:rsidRDefault="008304E6" w:rsidP="00F914BE">
            <w:pPr>
              <w:jc w:val="both"/>
              <w:rPr>
                <w:bCs/>
              </w:rPr>
            </w:pPr>
            <w:r w:rsidRPr="008304E6">
              <w:rPr>
                <w:bCs/>
              </w:rPr>
              <w:t xml:space="preserve">LDDK iebilst pret ZIŅOJUMA KOPSAVILKUMA sadaļu “Atalgojuma fonda taisnīga sadale”” VM piedāvātajā redakcijā. </w:t>
            </w:r>
          </w:p>
          <w:p w14:paraId="5EDB44E9" w14:textId="77777777" w:rsidR="008304E6" w:rsidRPr="008304E6" w:rsidRDefault="008304E6" w:rsidP="00F914BE">
            <w:pPr>
              <w:jc w:val="both"/>
              <w:rPr>
                <w:b/>
                <w:bCs/>
              </w:rPr>
            </w:pPr>
            <w:r w:rsidRPr="008304E6">
              <w:rPr>
                <w:b/>
                <w:bCs/>
              </w:rPr>
              <w:t>Pamatojums</w:t>
            </w:r>
          </w:p>
          <w:p w14:paraId="1CEF8945" w14:textId="77777777" w:rsidR="008304E6" w:rsidRPr="008304E6" w:rsidRDefault="008304E6" w:rsidP="00F914BE">
            <w:pPr>
              <w:jc w:val="both"/>
              <w:rPr>
                <w:bCs/>
              </w:rPr>
            </w:pPr>
            <w:r w:rsidRPr="008304E6">
              <w:rPr>
                <w:bCs/>
              </w:rPr>
              <w:t>Sadaļā norādīts: “</w:t>
            </w:r>
            <w:r w:rsidRPr="008304E6">
              <w:rPr>
                <w:bCs/>
                <w:iCs/>
              </w:rPr>
              <w:t xml:space="preserve">Līdz 2020.gada 31.decembrim valsts apmaksāto veselības aprūpes pakalpojumu tarifos </w:t>
            </w:r>
            <w:r w:rsidRPr="008304E6">
              <w:rPr>
                <w:iCs/>
              </w:rPr>
              <w:t>aktualizēt</w:t>
            </w:r>
            <w:r w:rsidRPr="008304E6">
              <w:rPr>
                <w:bCs/>
                <w:iCs/>
              </w:rPr>
              <w:t xml:space="preserve"> faktisko darba samaksas apmēru (vidējā darba samaksa pēc NVD datiem, ko iestādes faktiski maksā ārstniecības personām), samazinot pārējo veselības aprūpes tarifa elementu vērtības koeficientus</w:t>
            </w:r>
            <w:r w:rsidRPr="008304E6">
              <w:rPr>
                <w:bCs/>
              </w:rPr>
              <w:t xml:space="preserve">”. </w:t>
            </w:r>
          </w:p>
          <w:p w14:paraId="6B1331C1" w14:textId="77898404" w:rsidR="00140BAF" w:rsidRPr="008304E6" w:rsidRDefault="008304E6" w:rsidP="00F914BE">
            <w:pPr>
              <w:pStyle w:val="Bodytext70"/>
              <w:shd w:val="clear" w:color="auto" w:fill="auto"/>
              <w:spacing w:after="0" w:line="240" w:lineRule="auto"/>
              <w:ind w:right="23"/>
              <w:rPr>
                <w:sz w:val="24"/>
                <w:szCs w:val="24"/>
              </w:rPr>
            </w:pPr>
            <w:r w:rsidRPr="008304E6">
              <w:rPr>
                <w:bCs/>
                <w:sz w:val="24"/>
                <w:szCs w:val="24"/>
              </w:rPr>
              <w:t>LDDK ieskatā atalgojuma komponente ir jāpalielina, bet ar nosacījumu, ka par palielinājuma apmēru tiek palielināts pats tarifs, pretējā gadījumā valsts ķīlnieka lomā nostāda ārstniecības iestādes vadītājus, jo pakalpojumu nodrošināšanai ir nepieciešams ne tikai personāls, bet arī infrastruktūra, iekārtas un materiāl</w:t>
            </w:r>
            <w:r w:rsidR="00E03D1F">
              <w:rPr>
                <w:bCs/>
                <w:sz w:val="24"/>
                <w:szCs w:val="24"/>
              </w:rPr>
              <w:t>i.</w:t>
            </w:r>
          </w:p>
        </w:tc>
        <w:tc>
          <w:tcPr>
            <w:tcW w:w="4111" w:type="dxa"/>
            <w:gridSpan w:val="2"/>
            <w:tcBorders>
              <w:top w:val="single" w:sz="6" w:space="0" w:color="000000"/>
              <w:left w:val="single" w:sz="6" w:space="0" w:color="000000"/>
              <w:bottom w:val="single" w:sz="6" w:space="0" w:color="000000"/>
              <w:right w:val="single" w:sz="6" w:space="0" w:color="000000"/>
            </w:tcBorders>
          </w:tcPr>
          <w:p w14:paraId="062541F1" w14:textId="0630F0F5" w:rsidR="008304E6" w:rsidRDefault="008304E6" w:rsidP="00F914BE">
            <w:pPr>
              <w:pStyle w:val="naisc"/>
              <w:spacing w:before="0" w:after="0"/>
              <w:rPr>
                <w:b/>
                <w:bCs/>
              </w:rPr>
            </w:pPr>
            <w:r>
              <w:rPr>
                <w:b/>
                <w:bCs/>
              </w:rPr>
              <w:t>Ņ</w:t>
            </w:r>
            <w:r w:rsidRPr="008C041D">
              <w:rPr>
                <w:b/>
                <w:bCs/>
              </w:rPr>
              <w:t>emts vērā</w:t>
            </w:r>
          </w:p>
          <w:p w14:paraId="250EE128" w14:textId="77777777" w:rsidR="008304E6" w:rsidRDefault="008304E6" w:rsidP="00F914BE">
            <w:pPr>
              <w:pStyle w:val="naisc"/>
              <w:spacing w:before="0" w:after="0"/>
              <w:jc w:val="both"/>
            </w:pPr>
            <w:r>
              <w:t xml:space="preserve">Ziņojumā (gan kopsavilkumā, gan sadaļā V “Turpmākā rīcība”) šis punkts ir iekļauts pie veselības aprūpes tarifu pārskatīšanas kā viena no iespējām, </w:t>
            </w:r>
            <w:r w:rsidRPr="00AB52A8">
              <w:rPr>
                <w:b/>
                <w:bCs/>
                <w:u w:val="single"/>
              </w:rPr>
              <w:t>kas jāizvērtē</w:t>
            </w:r>
            <w:r>
              <w:rPr>
                <w:b/>
                <w:bCs/>
                <w:u w:val="single"/>
              </w:rPr>
              <w:t>.</w:t>
            </w:r>
            <w:r>
              <w:t xml:space="preserve"> </w:t>
            </w:r>
          </w:p>
          <w:p w14:paraId="2EC9C677" w14:textId="70611ECE" w:rsidR="008304E6" w:rsidRDefault="00E03D1F" w:rsidP="00F914BE">
            <w:pPr>
              <w:pStyle w:val="naisc"/>
              <w:spacing w:before="0" w:after="0"/>
              <w:jc w:val="both"/>
            </w:pPr>
            <w:r>
              <w:t xml:space="preserve">Šobrīd nenotiek tarifa elementu pārskatīšana. </w:t>
            </w:r>
          </w:p>
          <w:p w14:paraId="5A68AE13" w14:textId="79868AB9" w:rsidR="00140BAF" w:rsidRDefault="008304E6" w:rsidP="00F914BE">
            <w:pPr>
              <w:pStyle w:val="naisc"/>
              <w:spacing w:before="0" w:after="0"/>
              <w:jc w:val="both"/>
              <w:rPr>
                <w:b/>
                <w:bCs/>
              </w:rPr>
            </w:pPr>
            <w:r>
              <w:t xml:space="preserve">Pie izvērtēšanas tiks rosināta diskusija ar asociācijām un sadarbības partneriem, tai skaitā </w:t>
            </w:r>
            <w:r w:rsidR="00EC6EB7">
              <w:t>LDDK</w:t>
            </w:r>
            <w:r>
              <w:t>.</w:t>
            </w:r>
          </w:p>
        </w:tc>
        <w:tc>
          <w:tcPr>
            <w:tcW w:w="2410" w:type="dxa"/>
            <w:gridSpan w:val="2"/>
            <w:tcBorders>
              <w:top w:val="single" w:sz="4" w:space="0" w:color="auto"/>
              <w:left w:val="single" w:sz="4" w:space="0" w:color="auto"/>
              <w:bottom w:val="single" w:sz="4" w:space="0" w:color="auto"/>
            </w:tcBorders>
          </w:tcPr>
          <w:p w14:paraId="7CEAFD91" w14:textId="77777777" w:rsidR="00140BAF" w:rsidRPr="00086103" w:rsidRDefault="00140BAF" w:rsidP="00F914BE">
            <w:pPr>
              <w:pStyle w:val="Standard"/>
              <w:jc w:val="both"/>
              <w:rPr>
                <w:rFonts w:ascii="Times New Roman" w:hAnsi="Times New Roman"/>
                <w:i/>
                <w:iCs/>
              </w:rPr>
            </w:pPr>
          </w:p>
        </w:tc>
      </w:tr>
      <w:tr w:rsidR="00374742" w:rsidRPr="00820E9A" w14:paraId="6099D735" w14:textId="77777777" w:rsidTr="00374742">
        <w:tc>
          <w:tcPr>
            <w:tcW w:w="534" w:type="dxa"/>
            <w:tcBorders>
              <w:top w:val="single" w:sz="6" w:space="0" w:color="000000"/>
              <w:left w:val="single" w:sz="6" w:space="0" w:color="000000"/>
              <w:bottom w:val="single" w:sz="6" w:space="0" w:color="000000"/>
              <w:right w:val="single" w:sz="6" w:space="0" w:color="000000"/>
            </w:tcBorders>
          </w:tcPr>
          <w:p w14:paraId="562C6D06" w14:textId="02F4E91A" w:rsidR="00374742" w:rsidRDefault="00FD7805" w:rsidP="00F914BE">
            <w:pPr>
              <w:pStyle w:val="naisc"/>
              <w:spacing w:before="0" w:after="0"/>
              <w:rPr>
                <w:sz w:val="20"/>
                <w:szCs w:val="20"/>
              </w:rPr>
            </w:pPr>
            <w:r>
              <w:rPr>
                <w:sz w:val="20"/>
                <w:szCs w:val="20"/>
              </w:rPr>
              <w:t>1</w:t>
            </w:r>
            <w:r w:rsidR="0048635D">
              <w:rPr>
                <w:sz w:val="20"/>
                <w:szCs w:val="20"/>
              </w:rPr>
              <w:t>2</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015F5979" w14:textId="77777777" w:rsidR="00374742" w:rsidRPr="00FF218E" w:rsidRDefault="00374742"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1C487775" w14:textId="77777777" w:rsidR="00374742" w:rsidRPr="00E03D1F" w:rsidRDefault="00374742" w:rsidP="00F914BE">
            <w:pPr>
              <w:pStyle w:val="Bodytext70"/>
              <w:shd w:val="clear" w:color="auto" w:fill="auto"/>
              <w:spacing w:after="0" w:line="240" w:lineRule="auto"/>
              <w:ind w:left="62" w:right="23"/>
              <w:jc w:val="center"/>
              <w:rPr>
                <w:b/>
                <w:sz w:val="24"/>
                <w:szCs w:val="24"/>
                <w:u w:val="single"/>
              </w:rPr>
            </w:pPr>
            <w:r w:rsidRPr="00E03D1F">
              <w:rPr>
                <w:b/>
                <w:sz w:val="24"/>
                <w:szCs w:val="24"/>
                <w:u w:val="single"/>
              </w:rPr>
              <w:t>Latvijas darba devēju konfederācija</w:t>
            </w:r>
          </w:p>
          <w:p w14:paraId="231B78EE" w14:textId="77777777" w:rsidR="00374742" w:rsidRPr="00E03D1F" w:rsidRDefault="00374742" w:rsidP="00F914BE">
            <w:pPr>
              <w:jc w:val="both"/>
              <w:rPr>
                <w:bCs/>
              </w:rPr>
            </w:pPr>
            <w:r w:rsidRPr="00E03D1F">
              <w:rPr>
                <w:bCs/>
              </w:rPr>
              <w:t xml:space="preserve">LDDK iebilst pret ZIŅOJUMA nodaļas “II Esošās situācijas raksturojums: problēmu analīze” 2.1. sadaļu VM piedāvātajā redakcijā. </w:t>
            </w:r>
          </w:p>
          <w:p w14:paraId="6FFB097E" w14:textId="77777777" w:rsidR="00374742" w:rsidRPr="00E03D1F" w:rsidRDefault="00374742" w:rsidP="00F914BE">
            <w:pPr>
              <w:jc w:val="both"/>
              <w:rPr>
                <w:b/>
                <w:bCs/>
              </w:rPr>
            </w:pPr>
            <w:r w:rsidRPr="00E03D1F">
              <w:rPr>
                <w:b/>
                <w:bCs/>
              </w:rPr>
              <w:t>Pamatojums</w:t>
            </w:r>
          </w:p>
          <w:p w14:paraId="0CA8081C" w14:textId="77777777" w:rsidR="00374742" w:rsidRPr="00E03D1F" w:rsidRDefault="00374742" w:rsidP="00F914BE">
            <w:pPr>
              <w:jc w:val="both"/>
            </w:pPr>
            <w:r w:rsidRPr="00E03D1F">
              <w:rPr>
                <w:bCs/>
              </w:rPr>
              <w:lastRenderedPageBreak/>
              <w:t>Sadaļā ir teikts: “</w:t>
            </w:r>
            <w:r w:rsidRPr="00E03D1F">
              <w:t>Ārstniecības iestāžu vadītāji nejūt īpašnieka un valsts atbalstu, ir nevienlīdzība pieejamajā finansējuma salīdzinājumā ar privāto sektoru (..). LDDK ieskatā šāda redakcija neatbilst divu iemeslu dēļ:</w:t>
            </w:r>
          </w:p>
          <w:p w14:paraId="254BCBDA" w14:textId="77777777" w:rsidR="00374742" w:rsidRPr="00E03D1F" w:rsidRDefault="00374742" w:rsidP="00F914BE">
            <w:pPr>
              <w:pStyle w:val="ListParagraph"/>
              <w:numPr>
                <w:ilvl w:val="0"/>
                <w:numId w:val="20"/>
              </w:numPr>
              <w:spacing w:after="0" w:line="240" w:lineRule="auto"/>
              <w:jc w:val="both"/>
              <w:rPr>
                <w:rFonts w:ascii="Times New Roman" w:hAnsi="Times New Roman"/>
                <w:sz w:val="24"/>
                <w:szCs w:val="24"/>
              </w:rPr>
            </w:pPr>
            <w:r w:rsidRPr="00E03D1F">
              <w:rPr>
                <w:rFonts w:ascii="Times New Roman" w:hAnsi="Times New Roman"/>
                <w:sz w:val="24"/>
                <w:szCs w:val="24"/>
              </w:rPr>
              <w:t xml:space="preserve">Ārstniecības iestādes, tostarp publiskā sektora dibinātās, vairumā gadījumu ir kapitālsabiedrības, kas privāto tiesību subjekti. </w:t>
            </w:r>
          </w:p>
          <w:p w14:paraId="67D82E14" w14:textId="77777777" w:rsidR="00374742" w:rsidRPr="00E03D1F" w:rsidRDefault="00374742" w:rsidP="00F914BE">
            <w:pPr>
              <w:pStyle w:val="ListParagraph"/>
              <w:numPr>
                <w:ilvl w:val="0"/>
                <w:numId w:val="20"/>
              </w:numPr>
              <w:spacing w:after="0" w:line="240" w:lineRule="auto"/>
              <w:jc w:val="both"/>
              <w:rPr>
                <w:rFonts w:ascii="Times New Roman" w:hAnsi="Times New Roman"/>
                <w:bCs/>
                <w:sz w:val="24"/>
                <w:szCs w:val="24"/>
              </w:rPr>
            </w:pPr>
            <w:r w:rsidRPr="00E03D1F">
              <w:rPr>
                <w:rFonts w:ascii="Times New Roman" w:hAnsi="Times New Roman"/>
                <w:sz w:val="24"/>
                <w:szCs w:val="24"/>
              </w:rPr>
              <w:t xml:space="preserve">Attiecībā uz valsts apmaksāto pakalpojumu sniegšanai nodrošināmo finansējumu publiskā sektora dibinātās kapitālsabiedrības nav sliktākā situācijā. </w:t>
            </w:r>
          </w:p>
          <w:p w14:paraId="41F825B6" w14:textId="6B6CA4D5" w:rsidR="00374742" w:rsidRDefault="00374742" w:rsidP="00F914BE">
            <w:pPr>
              <w:jc w:val="center"/>
              <w:rPr>
                <w:b/>
                <w:u w:val="single"/>
              </w:rPr>
            </w:pPr>
            <w:r w:rsidRPr="00E03D1F">
              <w:rPr>
                <w:bCs/>
              </w:rPr>
              <w:t xml:space="preserve">LDDK ieskatā ir tieši pretēji, jo atšķirībā no publiskā sektora </w:t>
            </w:r>
            <w:r w:rsidRPr="00E03D1F">
              <w:t>dibinātajām ārstniecības iestādēm</w:t>
            </w:r>
            <w:r w:rsidRPr="00E03D1F">
              <w:rPr>
                <w:bCs/>
              </w:rPr>
              <w:t xml:space="preserve">, privātpersonu </w:t>
            </w:r>
            <w:r w:rsidRPr="00E03D1F">
              <w:t>dibinātajām</w:t>
            </w:r>
            <w:r w:rsidRPr="00E03D1F">
              <w:rPr>
                <w:bCs/>
              </w:rPr>
              <w:t xml:space="preserve">  ārstniecības iestādēm neatbilstīgu tarifu u.c. iemeslu radušos zaudējumus nesedz ne valsts, ne pašvaldība. Arī tehnoloģijas jāiegādājas, infrastruktūra jāveido un jāuztur no pašu līdzekļiem, ko publiskā sektora ārstniecības iestādēm nereti nofinansē valsts, pašvaldības. Ņemot vērā augšminēto, </w:t>
            </w:r>
            <w:r w:rsidRPr="00E03D1F">
              <w:t>LDDK aicina iepriekš minēto teikuma daļu no ZIŅOJUMA izslēgt.</w:t>
            </w:r>
          </w:p>
        </w:tc>
        <w:tc>
          <w:tcPr>
            <w:tcW w:w="4111" w:type="dxa"/>
            <w:gridSpan w:val="2"/>
            <w:tcBorders>
              <w:top w:val="single" w:sz="6" w:space="0" w:color="000000"/>
              <w:left w:val="single" w:sz="6" w:space="0" w:color="000000"/>
              <w:bottom w:val="single" w:sz="6" w:space="0" w:color="000000"/>
              <w:right w:val="single" w:sz="6" w:space="0" w:color="000000"/>
            </w:tcBorders>
          </w:tcPr>
          <w:p w14:paraId="283B9EAD" w14:textId="253371B2" w:rsidR="00374742" w:rsidRPr="000D6631" w:rsidRDefault="00374742" w:rsidP="00F914BE">
            <w:pPr>
              <w:jc w:val="center"/>
              <w:rPr>
                <w:b/>
                <w:bCs/>
              </w:rPr>
            </w:pPr>
            <w:r>
              <w:rPr>
                <w:b/>
                <w:bCs/>
              </w:rPr>
              <w:lastRenderedPageBreak/>
              <w:t>Ņ</w:t>
            </w:r>
            <w:r w:rsidRPr="000D6631">
              <w:rPr>
                <w:b/>
                <w:bCs/>
              </w:rPr>
              <w:t>emts vērā</w:t>
            </w:r>
          </w:p>
          <w:p w14:paraId="12432353" w14:textId="300CF39A" w:rsidR="00374742" w:rsidRPr="00374742" w:rsidRDefault="00374742" w:rsidP="00F914BE">
            <w:pPr>
              <w:pStyle w:val="naisc"/>
              <w:spacing w:before="0" w:after="0"/>
              <w:jc w:val="both"/>
              <w:rPr>
                <w:rFonts w:cstheme="minorHAnsi"/>
                <w:u w:val="single"/>
              </w:rPr>
            </w:pPr>
            <w:r>
              <w:rPr>
                <w:rFonts w:cstheme="minorHAnsi"/>
              </w:rPr>
              <w:t xml:space="preserve">Domnīcā tika pieaicināti 34 eksperti, </w:t>
            </w:r>
            <w:r w:rsidRPr="000D6631">
              <w:t xml:space="preserve">iesaistoties ārstiem un māsām no dažādām ārstniecības iestādēm, veselības aprūpes nozares darba </w:t>
            </w:r>
            <w:r w:rsidRPr="000D6631">
              <w:lastRenderedPageBreak/>
              <w:t>devējiem, augstskolu mācībspēkiem un veselības aprūpes politikas veidotājiem, kā arī pārstāvjiem no Veselības ministrijas, Nacionālā veselības dienesta, Finanšu ministrijas un Valsts kancelejas</w:t>
            </w:r>
            <w:r>
              <w:rPr>
                <w:rFonts w:cstheme="minorHAnsi"/>
              </w:rPr>
              <w:t xml:space="preserve">. Eksperti katrs no savas puses definēja viņuprāt pastāvošās problēmas esošajā atalgojuma modelī un piedāvāja dažādus risinājuma variantus jaunajam modelim. </w:t>
            </w:r>
            <w:r w:rsidRPr="00374742">
              <w:rPr>
                <w:rFonts w:cstheme="minorHAnsi"/>
                <w:u w:val="single"/>
              </w:rPr>
              <w:t>Šis ir pieaicināto ekspertu vērtējums, ne Veselības ministrijas.</w:t>
            </w:r>
          </w:p>
          <w:p w14:paraId="67CB9E25" w14:textId="7A4B3CD5" w:rsidR="00374742" w:rsidRPr="00692403" w:rsidRDefault="00374742" w:rsidP="00F914BE">
            <w:pPr>
              <w:pStyle w:val="naisc"/>
              <w:spacing w:before="0" w:after="0"/>
              <w:jc w:val="both"/>
              <w:rPr>
                <w:b/>
                <w:bCs/>
              </w:rPr>
            </w:pPr>
            <w:r>
              <w:rPr>
                <w:rFonts w:cstheme="minorHAnsi"/>
              </w:rPr>
              <w:t>Pēc visas informācijas apkopošanas Veselības ministrijas eksperti sadarbībā ar Valsts kancelejas ekspertiem izstrādāja jauno ārstniecības personu atalgojuma modeli. Un izstrādātos risinājuma priekšlikumus virza Veselības ministrija.</w:t>
            </w:r>
          </w:p>
        </w:tc>
        <w:tc>
          <w:tcPr>
            <w:tcW w:w="2410" w:type="dxa"/>
            <w:gridSpan w:val="2"/>
            <w:tcBorders>
              <w:top w:val="single" w:sz="4" w:space="0" w:color="auto"/>
              <w:left w:val="single" w:sz="4" w:space="0" w:color="auto"/>
              <w:bottom w:val="single" w:sz="4" w:space="0" w:color="auto"/>
            </w:tcBorders>
          </w:tcPr>
          <w:p w14:paraId="097ECD62" w14:textId="77777777" w:rsidR="00374742" w:rsidRPr="00820E9A" w:rsidRDefault="00374742" w:rsidP="00F914BE">
            <w:pPr>
              <w:pStyle w:val="Standard"/>
              <w:jc w:val="both"/>
              <w:rPr>
                <w:rFonts w:ascii="Times New Roman" w:hAnsi="Times New Roman"/>
                <w:i/>
                <w:iCs/>
              </w:rPr>
            </w:pPr>
          </w:p>
        </w:tc>
      </w:tr>
      <w:tr w:rsidR="0042441F" w:rsidRPr="00820E9A" w14:paraId="10636836" w14:textId="77777777" w:rsidTr="00374742">
        <w:tc>
          <w:tcPr>
            <w:tcW w:w="534" w:type="dxa"/>
            <w:tcBorders>
              <w:top w:val="single" w:sz="6" w:space="0" w:color="000000"/>
              <w:left w:val="single" w:sz="6" w:space="0" w:color="000000"/>
              <w:bottom w:val="single" w:sz="6" w:space="0" w:color="000000"/>
              <w:right w:val="single" w:sz="6" w:space="0" w:color="000000"/>
            </w:tcBorders>
          </w:tcPr>
          <w:p w14:paraId="7826C305" w14:textId="5DC1734F" w:rsidR="0042441F" w:rsidRDefault="00727EC5" w:rsidP="00F914BE">
            <w:pPr>
              <w:pStyle w:val="naisc"/>
              <w:spacing w:before="0" w:after="0"/>
              <w:rPr>
                <w:sz w:val="20"/>
                <w:szCs w:val="20"/>
              </w:rPr>
            </w:pPr>
            <w:r>
              <w:rPr>
                <w:sz w:val="20"/>
                <w:szCs w:val="20"/>
              </w:rPr>
              <w:t>1</w:t>
            </w:r>
            <w:r w:rsidR="0048635D">
              <w:rPr>
                <w:sz w:val="20"/>
                <w:szCs w:val="20"/>
              </w:rPr>
              <w:t>3</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021495C0" w14:textId="77777777" w:rsidR="0042441F" w:rsidRPr="00FF218E" w:rsidRDefault="0042441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582C4367" w14:textId="3522A461" w:rsidR="0042441F" w:rsidRDefault="0042441F" w:rsidP="00F914BE">
            <w:pPr>
              <w:jc w:val="center"/>
            </w:pPr>
            <w:r>
              <w:rPr>
                <w:b/>
                <w:u w:val="single"/>
              </w:rPr>
              <w:t>Latvijas Pašvaldību savienība/ Latvijas lielo pilsētu asociācija</w:t>
            </w:r>
          </w:p>
          <w:p w14:paraId="6F2F2902" w14:textId="1B9FAFE9" w:rsidR="0042441F" w:rsidRPr="00785AEF" w:rsidRDefault="0042441F" w:rsidP="00F914BE">
            <w:pPr>
              <w:jc w:val="both"/>
            </w:pPr>
            <w:r w:rsidRPr="00785AEF">
              <w:t>Nav izprotamas norādes par pilna laika ekvivalenta ieviešanu ārstniecības iestādēs no 2021. gada, jo pašā Ziņojumā ir norādes par termiņiem:</w:t>
            </w:r>
          </w:p>
          <w:p w14:paraId="7F452364" w14:textId="77777777" w:rsidR="0042441F" w:rsidRPr="00785AEF" w:rsidRDefault="0042441F" w:rsidP="00F914BE">
            <w:pPr>
              <w:jc w:val="both"/>
            </w:pPr>
            <w:r w:rsidRPr="00785AEF">
              <w:rPr>
                <w:i/>
                <w:iCs/>
              </w:rPr>
              <w:t xml:space="preserve">No </w:t>
            </w:r>
            <w:r w:rsidRPr="00785AEF">
              <w:rPr>
                <w:b/>
                <w:bCs/>
                <w:i/>
                <w:iCs/>
              </w:rPr>
              <w:t>2020. gada 1. decembra līdz 31. decembrim</w:t>
            </w:r>
            <w:r w:rsidRPr="00785AEF">
              <w:rPr>
                <w:i/>
                <w:iCs/>
              </w:rPr>
              <w:t xml:space="preserve"> tiktu izvērtēti pilotprojekta testa rezultāti, apzinātas problēmu vietas un vajadzības gadījumā tiktu veiktas korekcijas PLE saturā un pamatprincipu projektā.</w:t>
            </w:r>
          </w:p>
          <w:p w14:paraId="1A6BA24D" w14:textId="77777777" w:rsidR="0042441F" w:rsidRPr="00785AEF" w:rsidRDefault="0042441F" w:rsidP="00F914BE">
            <w:pPr>
              <w:jc w:val="both"/>
            </w:pPr>
            <w:r w:rsidRPr="00785AEF">
              <w:rPr>
                <w:i/>
                <w:iCs/>
              </w:rPr>
              <w:t xml:space="preserve">Paralēli tam no </w:t>
            </w:r>
            <w:r w:rsidRPr="00785AEF">
              <w:rPr>
                <w:b/>
                <w:bCs/>
                <w:i/>
                <w:iCs/>
              </w:rPr>
              <w:t>2021. gada 1. janvāra</w:t>
            </w:r>
            <w:r w:rsidRPr="00785AEF">
              <w:rPr>
                <w:i/>
                <w:iCs/>
              </w:rPr>
              <w:t xml:space="preserve"> tiktu strādāts pie jauna Ministru kabineta noteikumu projekta sagatavošanas, kur tiktu iestrādāts PLE saturs un tā veidošanas pamatprincipi. Normatīvā akta paredzamais spēkā stāšanās laiks - </w:t>
            </w:r>
            <w:r w:rsidRPr="00785AEF">
              <w:rPr>
                <w:b/>
                <w:bCs/>
                <w:i/>
                <w:iCs/>
              </w:rPr>
              <w:t>2021. gada 1. jūlijs</w:t>
            </w:r>
            <w:r w:rsidRPr="00785AEF">
              <w:rPr>
                <w:i/>
                <w:iCs/>
              </w:rPr>
              <w:t>.</w:t>
            </w:r>
          </w:p>
          <w:p w14:paraId="2E3E17E6" w14:textId="77777777" w:rsidR="0042441F" w:rsidRPr="00785AEF" w:rsidRDefault="0042441F" w:rsidP="00F914BE">
            <w:pPr>
              <w:jc w:val="both"/>
            </w:pPr>
            <w:r w:rsidRPr="00785AEF">
              <w:rPr>
                <w:i/>
                <w:iCs/>
              </w:rPr>
              <w:lastRenderedPageBreak/>
              <w:t xml:space="preserve">No MK noteikumu stāšanās spēkā dienas visām stacionārajām ārstniecības iestādēm, kas sniedz valsts apmaksātos veselības aprūpes pakalpojumus, un NMPD līdz </w:t>
            </w:r>
            <w:r w:rsidRPr="00785AEF">
              <w:rPr>
                <w:b/>
                <w:bCs/>
                <w:i/>
                <w:iCs/>
              </w:rPr>
              <w:t>2022. gada beigām</w:t>
            </w:r>
            <w:r w:rsidRPr="00785AEF">
              <w:rPr>
                <w:i/>
                <w:iCs/>
              </w:rPr>
              <w:t xml:space="preserve"> tiek dots laiks, lai pakāpeniski ieviestu PLE saturu visās savās struktūrvienībās.</w:t>
            </w:r>
          </w:p>
          <w:p w14:paraId="1F27A7AD" w14:textId="77777777" w:rsidR="0042441F" w:rsidRPr="00785AEF" w:rsidRDefault="0042441F" w:rsidP="00F914BE">
            <w:pPr>
              <w:jc w:val="both"/>
              <w:rPr>
                <w:i/>
                <w:iCs/>
              </w:rPr>
            </w:pPr>
            <w:r w:rsidRPr="00785AEF">
              <w:rPr>
                <w:i/>
                <w:iCs/>
              </w:rPr>
              <w:t xml:space="preserve">Jaunais ārstniecības personu atalgojuma modelis sāktu pilnībā darboties ar </w:t>
            </w:r>
            <w:r w:rsidRPr="00785AEF">
              <w:rPr>
                <w:b/>
                <w:bCs/>
                <w:i/>
                <w:iCs/>
              </w:rPr>
              <w:t>2023. gada 1. janvāri</w:t>
            </w:r>
            <w:r w:rsidRPr="00785AEF">
              <w:rPr>
                <w:i/>
                <w:iCs/>
              </w:rPr>
              <w:t>.</w:t>
            </w:r>
          </w:p>
          <w:p w14:paraId="4F585883" w14:textId="77777777" w:rsidR="0042441F" w:rsidRPr="00785AEF" w:rsidRDefault="0042441F" w:rsidP="00F914BE">
            <w:pPr>
              <w:jc w:val="both"/>
              <w:rPr>
                <w:i/>
                <w:iCs/>
              </w:rPr>
            </w:pPr>
          </w:p>
          <w:p w14:paraId="0B486A11" w14:textId="77777777" w:rsidR="0042441F" w:rsidRDefault="0042441F" w:rsidP="00F914BE">
            <w:pPr>
              <w:jc w:val="both"/>
            </w:pPr>
            <w:r w:rsidRPr="00785AEF">
              <w:t xml:space="preserve">Pirms tam  VM un NVD jāveic būtiski uzdevumi, kuri definēti šajā Ziņojumā – Slimnīcu līmeņošana – ne tikai formāla, bet pēc būtības un pēc mūsu viedokļa – šim līmenim obligāti jāatspoguļojas pakalpojuma apmaksas koeficientā – jo augstāks līmenis, jo augstāks koeficients – pamatojums – sniegto pakalpojumu struktūra pēc diagnozēm saistībā ar finanšu un cilvēkresursu patēriņu konkrētā ārstniecības iestādē. </w:t>
            </w:r>
          </w:p>
          <w:p w14:paraId="3899D797" w14:textId="77777777" w:rsidR="0042441F" w:rsidRDefault="0042441F" w:rsidP="00F914BE">
            <w:pPr>
              <w:jc w:val="both"/>
            </w:pPr>
            <w:r w:rsidRPr="00785AEF">
              <w:t>Tāpat NVD pakalpojumu tarifu pārskatīšanu paredz tikai 2021. gadā, 2020.g. finansējumu palielinot esošo tarifu ietvaros.</w:t>
            </w:r>
          </w:p>
          <w:p w14:paraId="00F09CD1" w14:textId="77777777" w:rsidR="0042441F" w:rsidRDefault="0042441F" w:rsidP="00F914BE">
            <w:pPr>
              <w:jc w:val="both"/>
            </w:pPr>
          </w:p>
          <w:p w14:paraId="29BCB30D" w14:textId="77777777" w:rsidR="0042441F" w:rsidRPr="00785AEF" w:rsidRDefault="0042441F" w:rsidP="00F914BE">
            <w:pPr>
              <w:jc w:val="both"/>
            </w:pPr>
            <w:r w:rsidRPr="00785AEF">
              <w:t>Tāpat pēc Ziņojuma nav skaidrības, kurš no modeļiem tiks pielietots mērķa algas sasniegšanai, jo budžets 2021. gadam vēl nav pieņemts, tādēļ nav un nevar būt zināms iestādēm paredzētais finansējums.</w:t>
            </w:r>
          </w:p>
          <w:p w14:paraId="472DCB3F" w14:textId="77777777" w:rsidR="0042441F" w:rsidRPr="00785AEF" w:rsidRDefault="0042441F" w:rsidP="00F914BE">
            <w:pPr>
              <w:jc w:val="both"/>
            </w:pPr>
          </w:p>
          <w:p w14:paraId="42DB06D7" w14:textId="77777777" w:rsidR="0042441F" w:rsidRPr="00785AEF" w:rsidRDefault="0042441F" w:rsidP="00F914BE">
            <w:pPr>
              <w:jc w:val="both"/>
            </w:pPr>
            <w:r w:rsidRPr="00785AEF">
              <w:t>Pēc OECD pamatprincipiem, uz kuriem vajadzētu būt balstītam arī jaunajam ārstniecības personu atalgojuma modelim, būtiskākais ir lai atalgojuma sistēma būtu caurskatāma, prognozējama un viegli izprotama, kā arī tiktu piemērots vienlīdzīgas attieksmes princips. Pašreiz piedāvātais modelis pieļauj subjektīvu attieksmi individuālajā novērtējumā, kas sastāda būtisku atalgojuma sadaļu. Tādēļ nepieciešams kvalitātes kritērijus un indikatīvās vērtības noteikt vienoti visiem pakalpojumi sniedzējiem, neatstājot tikai iestādes ziņā.</w:t>
            </w:r>
            <w:r>
              <w:t xml:space="preserve"> </w:t>
            </w:r>
          </w:p>
          <w:p w14:paraId="24411C9C" w14:textId="77777777" w:rsidR="0042441F" w:rsidRDefault="0042441F" w:rsidP="00F914BE">
            <w:pPr>
              <w:jc w:val="both"/>
            </w:pPr>
          </w:p>
          <w:p w14:paraId="125736CA" w14:textId="6F978E75" w:rsidR="0042441F" w:rsidRDefault="0042441F" w:rsidP="00F914BE">
            <w:pPr>
              <w:jc w:val="both"/>
            </w:pPr>
            <w:r w:rsidRPr="00785AEF">
              <w:t>Piedāvātajā atalgojuma modelī nav ņemtas vērā atšķirības, kā iestādes saņem finansējumu – pēc DRG vai pēc fakta. Tā kā dzemdību palīdzībā lielākā daļa finansējuma tiek saņemta pēc fakta, piedāvātajā modelī PLE ir grūti definēt (līdzīgi kā tuberkulozes slimniekiem, sirds transplantācijām un citām nozarēm, ko apmaksā pēc fakta) – tas zināmā mērā rada pretrunu – būtiskākais ir preventīvais darbs, lai mazinātos šādu saslimšanu skaits, nevis maksāt pēc paveiktā. Tas pats attiecas uz dzemdību palīdzību – svarīgāk ir fizioloģisko dzemdību skaita pieaugums, nevis intensitātes piemaksas pēc veikto procedūru sarežģītības.</w:t>
            </w:r>
          </w:p>
          <w:p w14:paraId="488CE180" w14:textId="77777777" w:rsidR="0042441F" w:rsidRDefault="0042441F" w:rsidP="00F914BE">
            <w:pPr>
              <w:jc w:val="both"/>
            </w:pPr>
          </w:p>
          <w:p w14:paraId="6AC18ED6" w14:textId="5528D3D9" w:rsidR="0042441F" w:rsidRPr="00BB17DC" w:rsidRDefault="0042441F" w:rsidP="00F914BE">
            <w:pPr>
              <w:jc w:val="both"/>
            </w:pPr>
            <w:r>
              <w:t xml:space="preserve">Papildus uztrauc, vai pie darba samaksas mainīgās daļas ierobežošanas un visu kritēriju iekļaušanu pamatalgā, tas nemudinās speciālistus atteikties no atsevišķiem darba pienākumiem. </w:t>
            </w:r>
          </w:p>
        </w:tc>
        <w:tc>
          <w:tcPr>
            <w:tcW w:w="4111" w:type="dxa"/>
            <w:gridSpan w:val="2"/>
            <w:tcBorders>
              <w:top w:val="single" w:sz="6" w:space="0" w:color="000000"/>
              <w:left w:val="single" w:sz="6" w:space="0" w:color="000000"/>
              <w:bottom w:val="single" w:sz="6" w:space="0" w:color="000000"/>
              <w:right w:val="single" w:sz="6" w:space="0" w:color="000000"/>
            </w:tcBorders>
          </w:tcPr>
          <w:p w14:paraId="27CE821A" w14:textId="32F616FC" w:rsidR="0042441F" w:rsidRDefault="0042441F" w:rsidP="00F914BE">
            <w:pPr>
              <w:pStyle w:val="naisc"/>
              <w:spacing w:before="0" w:after="0"/>
              <w:rPr>
                <w:b/>
                <w:bCs/>
              </w:rPr>
            </w:pPr>
            <w:r w:rsidRPr="00692403">
              <w:rPr>
                <w:b/>
                <w:bCs/>
              </w:rPr>
              <w:lastRenderedPageBreak/>
              <w:t>Ņemts vērā</w:t>
            </w:r>
          </w:p>
          <w:p w14:paraId="25DC89DB" w14:textId="288CC972" w:rsidR="002C5D80" w:rsidRDefault="002C5D80" w:rsidP="00F914BE">
            <w:pPr>
              <w:pStyle w:val="naisc"/>
              <w:spacing w:before="0" w:after="0"/>
              <w:jc w:val="both"/>
            </w:pPr>
            <w:r>
              <w:t>Iebildums pēc būtības nepiedāvā veikt izmaiņas atalgojuma modelī.</w:t>
            </w:r>
          </w:p>
          <w:p w14:paraId="3C18D2C3" w14:textId="77777777" w:rsidR="002C5D80" w:rsidRPr="002C5D80" w:rsidRDefault="002C5D80" w:rsidP="00F914BE">
            <w:pPr>
              <w:pStyle w:val="naisc"/>
              <w:spacing w:before="0" w:after="0"/>
              <w:jc w:val="both"/>
            </w:pPr>
          </w:p>
          <w:p w14:paraId="28575954" w14:textId="32407D37" w:rsidR="0042441F" w:rsidRPr="00820E9A" w:rsidRDefault="00820E9A" w:rsidP="00F914BE">
            <w:pPr>
              <w:pStyle w:val="naisc"/>
              <w:spacing w:before="0" w:after="0"/>
              <w:jc w:val="both"/>
            </w:pPr>
            <w:r w:rsidRPr="00820E9A">
              <w:t xml:space="preserve">2021.gadam </w:t>
            </w:r>
            <w:r w:rsidR="00D51A08">
              <w:t xml:space="preserve">un turpmāk ik gadu </w:t>
            </w:r>
            <w:r w:rsidRPr="00820E9A">
              <w:t xml:space="preserve">papildus tika piešķirti 183 milj. veselības aprūpes darbinieku darba samaksas palielināšanai, kas ļaus vidēji  palielināt ārstniecības personu darba samaksu par 25,39%. Līdz ar to, lai veicinātu efektīvāku un taisnīgāku papildus piešķirtā finansējuma sadali, stacionārajām ārstniecības iestādēm vajadzētu pakāpeniski uzsākt PLE ieviešanu iestādē. Uzskatām, ka </w:t>
            </w:r>
            <w:r w:rsidRPr="00820E9A">
              <w:lastRenderedPageBreak/>
              <w:t>informatīvajā ziņojumā iekļautā informācija par PLE sastāvdaļām ir pietiekama, lai sāktu pārskatīt ārstniecības personu pienākumus un pakāpeniski gatavotos pilnīgai  PLE satura ieviešanai iestādē.</w:t>
            </w:r>
          </w:p>
          <w:p w14:paraId="28549AC5" w14:textId="77777777" w:rsidR="00820E9A" w:rsidRPr="00820E9A" w:rsidRDefault="00820E9A" w:rsidP="00F914BE">
            <w:pPr>
              <w:pStyle w:val="naisc"/>
              <w:spacing w:before="0" w:after="0"/>
              <w:jc w:val="both"/>
              <w:rPr>
                <w:color w:val="20140F"/>
              </w:rPr>
            </w:pPr>
          </w:p>
          <w:p w14:paraId="7B64A2F8" w14:textId="71886CC9" w:rsidR="0042441F" w:rsidRPr="00820E9A" w:rsidRDefault="0042441F" w:rsidP="00F914BE">
            <w:pPr>
              <w:jc w:val="both"/>
            </w:pPr>
            <w:r w:rsidRPr="00820E9A">
              <w:rPr>
                <w:color w:val="20140F"/>
              </w:rPr>
              <w:t>Domnīcas darba gaitā tika konstatētas vairākas veselības aprūpes nozares problēmas, bet ņemot vērā domnīcas mērķi, darbs tika koncentrēts uz jaunā ārstniecības personu atalgojuma modeļa izveidi.</w:t>
            </w:r>
            <w:r w:rsidR="00820E9A" w:rsidRPr="00820E9A">
              <w:rPr>
                <w:color w:val="212529"/>
              </w:rPr>
              <w:t xml:space="preserve"> Jaunā atalgojuma sistēma jāsadala 2 daļās – jaunais ārstniecības personu atalgojuma modelis un apmaksas sistēma, kur </w:t>
            </w:r>
            <w:r w:rsidR="00820E9A" w:rsidRPr="00820E9A">
              <w:t>ziņojumā ir iekļauts punkts par veselības aprūpes tarifu pārskatīšanu kā vienu no iespējām vai cita finansēšanas modeļa ieviešanas izvērtēšanu. Apmaksas sistēmas izvērtēšana ir iekļauta turpmākās rīcības plānā.  Pie izvērtēšanas tiks rosināta diskusija arī ar asociācijām un sadarbības partneriem.</w:t>
            </w:r>
          </w:p>
          <w:p w14:paraId="6EF33C60" w14:textId="618E8571" w:rsidR="00820E9A" w:rsidRPr="00820E9A" w:rsidRDefault="00820E9A" w:rsidP="00F914BE">
            <w:pPr>
              <w:pStyle w:val="Heading1"/>
              <w:spacing w:before="0" w:beforeAutospacing="0" w:after="0" w:afterAutospacing="0"/>
              <w:jc w:val="both"/>
              <w:rPr>
                <w:b w:val="0"/>
                <w:bCs w:val="0"/>
                <w:sz w:val="24"/>
                <w:szCs w:val="24"/>
              </w:rPr>
            </w:pPr>
            <w:r w:rsidRPr="00820E9A">
              <w:rPr>
                <w:b w:val="0"/>
                <w:bCs w:val="0"/>
                <w:color w:val="20140F"/>
                <w:sz w:val="24"/>
                <w:szCs w:val="24"/>
              </w:rPr>
              <w:t xml:space="preserve">Ministru kabineta protokollēmums papildināts ar 3.punktu, </w:t>
            </w:r>
            <w:r w:rsidR="00D51A08">
              <w:rPr>
                <w:b w:val="0"/>
                <w:bCs w:val="0"/>
                <w:color w:val="20140F"/>
                <w:sz w:val="24"/>
                <w:szCs w:val="24"/>
              </w:rPr>
              <w:t>kas</w:t>
            </w:r>
            <w:r w:rsidRPr="00820E9A">
              <w:rPr>
                <w:b w:val="0"/>
                <w:bCs w:val="0"/>
                <w:color w:val="20140F"/>
                <w:sz w:val="24"/>
                <w:szCs w:val="24"/>
              </w:rPr>
              <w:t xml:space="preserve"> pasaka, kurš no modeļiem tiks pielietots  mērķa algas sasniegšanai, kā arī pārrēķināta informatīvā ziņojuma VI sadaļa “</w:t>
            </w:r>
            <w:r w:rsidRPr="00820E9A">
              <w:rPr>
                <w:b w:val="0"/>
                <w:bCs w:val="0"/>
                <w:sz w:val="24"/>
                <w:szCs w:val="24"/>
              </w:rPr>
              <w:t>Finansējums ārstniecības personu darba samaksai atbilstoši domnīcā izstrādātajam modelim</w:t>
            </w:r>
            <w:r>
              <w:rPr>
                <w:b w:val="0"/>
                <w:bCs w:val="0"/>
                <w:sz w:val="24"/>
                <w:szCs w:val="24"/>
              </w:rPr>
              <w:t xml:space="preserve">” atbilstoši likumprojekta “Par valsts budžetu 2021.gadam” izstrādes laikā papildus piešķirtajiem 183 milj. veselības aprūpes </w:t>
            </w:r>
            <w:r>
              <w:rPr>
                <w:b w:val="0"/>
                <w:bCs w:val="0"/>
                <w:sz w:val="24"/>
                <w:szCs w:val="24"/>
              </w:rPr>
              <w:lastRenderedPageBreak/>
              <w:t>nozares nodarbināto atalgojuma palielinājumam.</w:t>
            </w:r>
          </w:p>
          <w:p w14:paraId="08574E75" w14:textId="4A91E200" w:rsidR="00D51A08" w:rsidRDefault="00820E9A" w:rsidP="00F914BE">
            <w:pPr>
              <w:pStyle w:val="naisc"/>
              <w:spacing w:before="0" w:after="0"/>
              <w:jc w:val="both"/>
              <w:rPr>
                <w:color w:val="20140F"/>
              </w:rPr>
            </w:pPr>
            <w:r w:rsidRPr="00820E9A">
              <w:rPr>
                <w:color w:val="20140F"/>
              </w:rPr>
              <w:t xml:space="preserve"> </w:t>
            </w:r>
            <w:r w:rsidR="00D51A08" w:rsidRPr="00D51A08">
              <w:t>Pakalpojuma plānošana netika ietverta pētāmo problēmu lokā, ņemot vērā jau iepriekš minēto par domnīcas izveides mērķi un tās uzdevumiem, bet ārstniecības iestādēm ir iespēja izvēlēties piemērotāko kombināciju starp ambulatoro, stacionāro darbu vai citu PLE sastāvā noteikto pienākumu. Saskaņā ar izstrādāto modeli, ārstniecības iestādei ir jāizstrādā ārstniecības personām PLE ietvaros veicamo pienākumu saraksti, kas ir atkarīgi no iestādes darbības specifikas un sniedzamo veselības aprūpes pakalpojumu sastāva.</w:t>
            </w:r>
            <w:r w:rsidR="00D51A08">
              <w:t xml:space="preserve"> </w:t>
            </w:r>
            <w:r w:rsidR="00D51A08">
              <w:rPr>
                <w:color w:val="20140F"/>
              </w:rPr>
              <w:t>Atzīmējam, ka šis vēl tiks izvērtēts 2021.gadā, iesaistot sociālos partnerus.</w:t>
            </w:r>
          </w:p>
          <w:p w14:paraId="37F66919" w14:textId="2C4F232E" w:rsidR="00D51A08" w:rsidRDefault="00D51A08" w:rsidP="00F914BE">
            <w:pPr>
              <w:jc w:val="both"/>
            </w:pPr>
          </w:p>
          <w:p w14:paraId="1E918868" w14:textId="6DC2263F" w:rsidR="00D51A08" w:rsidRPr="00D51A08" w:rsidRDefault="00D51A08" w:rsidP="00F914BE">
            <w:pPr>
              <w:jc w:val="both"/>
            </w:pPr>
            <w:r w:rsidRPr="00D51A08">
              <w:t>Esošā situācija valstī – jau tagad vidējā mainīgā daļa ir 38% ārstiem un 29% māsām.  Mainīgās daļas īpatsvaram atalgojumā jābūt ne lielākam kā 30% gan māsām, gan ārstiem, jo lielāks pamatalgas īpatsvars veicinās lielāku stabilitāti, paredzamību un drošības sajūtu – pie nosacījuma, ka pamatalga ir konkurētspējīga. Mainīgās daļas izmantošanas nolūks nākotnē būtu atalgot ārstniecības personu iniciatīvu, palielinātu intensitāti un izcilību sniegumā,</w:t>
            </w:r>
            <w:r>
              <w:t xml:space="preserve"> </w:t>
            </w:r>
            <w:r w:rsidRPr="00D51A08">
              <w:t>priekšroku dodot komandas, nevis individuāliem materiālās stimulēšanas risinājumiem.</w:t>
            </w:r>
          </w:p>
        </w:tc>
        <w:tc>
          <w:tcPr>
            <w:tcW w:w="2410" w:type="dxa"/>
            <w:gridSpan w:val="2"/>
            <w:tcBorders>
              <w:top w:val="single" w:sz="4" w:space="0" w:color="auto"/>
              <w:left w:val="single" w:sz="4" w:space="0" w:color="auto"/>
              <w:bottom w:val="single" w:sz="4" w:space="0" w:color="auto"/>
            </w:tcBorders>
          </w:tcPr>
          <w:p w14:paraId="502AAE09" w14:textId="77777777" w:rsidR="0042441F" w:rsidRPr="00820E9A" w:rsidRDefault="0042441F" w:rsidP="00F914BE">
            <w:pPr>
              <w:pStyle w:val="Standard"/>
              <w:jc w:val="both"/>
              <w:rPr>
                <w:rFonts w:ascii="Times New Roman" w:hAnsi="Times New Roman"/>
                <w:i/>
                <w:iCs/>
              </w:rPr>
            </w:pPr>
          </w:p>
        </w:tc>
        <w:bookmarkStart w:id="1" w:name="_GoBack"/>
        <w:bookmarkEnd w:id="1"/>
      </w:tr>
      <w:tr w:rsidR="0042441F" w:rsidRPr="003B71E0" w14:paraId="1F2ACFD9"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D4DCA32" w14:textId="589EC351" w:rsidR="0042441F" w:rsidRDefault="00727EC5" w:rsidP="00F914BE">
            <w:pPr>
              <w:pStyle w:val="naisc"/>
              <w:spacing w:before="0" w:after="0"/>
              <w:rPr>
                <w:sz w:val="20"/>
                <w:szCs w:val="20"/>
              </w:rPr>
            </w:pPr>
            <w:r>
              <w:rPr>
                <w:sz w:val="20"/>
                <w:szCs w:val="20"/>
              </w:rPr>
              <w:lastRenderedPageBreak/>
              <w:t>1</w:t>
            </w:r>
            <w:r w:rsidR="0048635D">
              <w:rPr>
                <w:sz w:val="20"/>
                <w:szCs w:val="20"/>
              </w:rPr>
              <w:t>4</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7C5299C8" w14:textId="4D2A19F1" w:rsidR="0042441F" w:rsidRPr="00FF218E" w:rsidRDefault="00D51A08" w:rsidP="00F914BE">
            <w:pPr>
              <w:pStyle w:val="naisc"/>
              <w:spacing w:before="0" w:after="0"/>
              <w:jc w:val="both"/>
              <w:rPr>
                <w:sz w:val="20"/>
                <w:szCs w:val="20"/>
              </w:rPr>
            </w:pPr>
            <w:r w:rsidRPr="007B6938">
              <w:rPr>
                <w:i/>
                <w:iCs/>
              </w:rPr>
              <w:t>Mērķa alga veidotu algu intervāla viduspunktu, paredzot ārstniecības personu algas variācijas iespēju amplitūdā +/-30% no mērķa algas. Tas nozīmē, ka, piemēram, ārsta alga var atrasties robežās no 2160 līdz 4012 EUR, bet māsas alga robežās no 1274 līdz 2366 EUR. Ārstniecības iestāžu atalgojuma stratēģijas virzāmas uz to, lai visu ārstniecības personu atalgojums nākotnē pakāpeniski iekļautos šī intervāla robežās.</w:t>
            </w:r>
          </w:p>
        </w:tc>
        <w:tc>
          <w:tcPr>
            <w:tcW w:w="5670" w:type="dxa"/>
            <w:tcBorders>
              <w:top w:val="single" w:sz="6" w:space="0" w:color="000000"/>
              <w:left w:val="single" w:sz="6" w:space="0" w:color="000000"/>
              <w:bottom w:val="single" w:sz="6" w:space="0" w:color="000000"/>
              <w:right w:val="single" w:sz="6" w:space="0" w:color="000000"/>
            </w:tcBorders>
          </w:tcPr>
          <w:p w14:paraId="6BBB71EF" w14:textId="76CE20C5" w:rsidR="00F1577B" w:rsidRDefault="00F1577B" w:rsidP="00F914BE">
            <w:pPr>
              <w:jc w:val="center"/>
            </w:pPr>
            <w:r>
              <w:rPr>
                <w:b/>
                <w:u w:val="single"/>
              </w:rPr>
              <w:t>Latvijas Pašvaldību savienība/ Latvijas lielo pilsētu asociācija</w:t>
            </w:r>
          </w:p>
          <w:p w14:paraId="3171A74B" w14:textId="45EE8D9C" w:rsidR="00F1577B" w:rsidRDefault="00F1577B" w:rsidP="00F914BE">
            <w:pPr>
              <w:jc w:val="both"/>
            </w:pPr>
            <w:r>
              <w:t xml:space="preserve">Ieviešot jaunu atalgojuma modeli, var rasties situācija, ja veidosies krasas atšķirības starp valsts apmaksāto pakalpojumu sniedzējiem un privātiem ārstniecības pakalpojuma sniedzējiem, līdz ar to var veidoties vēl lielāks ārstniecības personu iztrūkums. </w:t>
            </w:r>
          </w:p>
          <w:p w14:paraId="07E281A6" w14:textId="77777777" w:rsidR="0042441F" w:rsidRDefault="0042441F" w:rsidP="00F914BE">
            <w:pPr>
              <w:pStyle w:val="naisc"/>
              <w:spacing w:before="0" w:after="0"/>
              <w:rPr>
                <w:b/>
                <w:u w:val="single"/>
              </w:rPr>
            </w:pPr>
          </w:p>
        </w:tc>
        <w:tc>
          <w:tcPr>
            <w:tcW w:w="4111" w:type="dxa"/>
            <w:gridSpan w:val="2"/>
            <w:tcBorders>
              <w:top w:val="single" w:sz="6" w:space="0" w:color="000000"/>
              <w:left w:val="single" w:sz="6" w:space="0" w:color="000000"/>
              <w:bottom w:val="single" w:sz="6" w:space="0" w:color="000000"/>
              <w:right w:val="single" w:sz="6" w:space="0" w:color="000000"/>
            </w:tcBorders>
          </w:tcPr>
          <w:p w14:paraId="721A9DB7" w14:textId="5FE6CCCB" w:rsidR="00692403" w:rsidRPr="00692403" w:rsidRDefault="00692403" w:rsidP="00F914BE">
            <w:pPr>
              <w:pStyle w:val="naisc"/>
              <w:spacing w:before="0" w:after="0"/>
              <w:rPr>
                <w:b/>
                <w:bCs/>
              </w:rPr>
            </w:pPr>
            <w:r w:rsidRPr="00692403">
              <w:rPr>
                <w:b/>
                <w:bCs/>
              </w:rPr>
              <w:t>Ņemts vērā</w:t>
            </w:r>
          </w:p>
          <w:p w14:paraId="365152AF" w14:textId="254035A2" w:rsidR="00692403" w:rsidRDefault="00692403" w:rsidP="00F914BE">
            <w:pPr>
              <w:jc w:val="both"/>
              <w:rPr>
                <w:color w:val="212529"/>
              </w:rPr>
            </w:pPr>
            <w:r w:rsidRPr="00692403">
              <w:t>Kopējā tendence pēdējos gados norāda, ka pieaug no valsts budžeta finansēto slodžu skaits gan māsām, gan ārstiem. Motivējošai, taisnīgai un caurskatāmai darba samaksas sistēmai, kas ir šī jaunā ārstniecības personu atalgojuma modeļa mērķis,</w:t>
            </w:r>
            <w:r>
              <w:t xml:space="preserve"> </w:t>
            </w:r>
            <w:r w:rsidRPr="00692403">
              <w:t>vajadzētu palielināt interesi par darbu valsts vai pašvaldību kapitālsab</w:t>
            </w:r>
            <w:r>
              <w:t>iedrībās.</w:t>
            </w:r>
            <w:r w:rsidRPr="003F2613">
              <w:rPr>
                <w:color w:val="212529"/>
              </w:rPr>
              <w:t xml:space="preserve"> </w:t>
            </w:r>
          </w:p>
          <w:p w14:paraId="179477AD" w14:textId="57E59071" w:rsidR="0042441F" w:rsidRPr="00436629" w:rsidRDefault="00436629" w:rsidP="00F914BE">
            <w:pPr>
              <w:jc w:val="both"/>
            </w:pPr>
            <w:r w:rsidRPr="00436629">
              <w:t xml:space="preserve">Kā </w:t>
            </w:r>
            <w:r>
              <w:t>arī jaunais ārstniecības personu atalgojuma modelis paredz, ka īpaši retu vai darba tirgū nepietiekami pieejamu vai unikālu speciālistu vai specialitāšu piesaistei pieļaujama tā saucamo “tirgus indeksu” izmantošana, tādējādi palielinot atsevišķu ārstniecības personu vai reto specialitāšu pārstāvju darba samaksu līdz pat 50% apmērā.</w:t>
            </w:r>
          </w:p>
        </w:tc>
        <w:tc>
          <w:tcPr>
            <w:tcW w:w="2410" w:type="dxa"/>
            <w:gridSpan w:val="2"/>
            <w:tcBorders>
              <w:top w:val="single" w:sz="4" w:space="0" w:color="auto"/>
              <w:left w:val="single" w:sz="4" w:space="0" w:color="auto"/>
              <w:bottom w:val="single" w:sz="4" w:space="0" w:color="auto"/>
            </w:tcBorders>
          </w:tcPr>
          <w:p w14:paraId="35BFEE6E" w14:textId="77777777" w:rsidR="0042441F" w:rsidRPr="00086103" w:rsidRDefault="0042441F" w:rsidP="00F914BE">
            <w:pPr>
              <w:pStyle w:val="Standard"/>
              <w:jc w:val="both"/>
              <w:rPr>
                <w:rFonts w:ascii="Times New Roman" w:hAnsi="Times New Roman"/>
                <w:i/>
                <w:iCs/>
              </w:rPr>
            </w:pPr>
          </w:p>
        </w:tc>
      </w:tr>
      <w:tr w:rsidR="0042441F" w:rsidRPr="003B71E0" w14:paraId="0782F3A5"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5107EAD" w14:textId="74537876" w:rsidR="0042441F" w:rsidRDefault="00727EC5" w:rsidP="00F914BE">
            <w:pPr>
              <w:pStyle w:val="naisc"/>
              <w:spacing w:before="0" w:after="0"/>
              <w:rPr>
                <w:sz w:val="20"/>
                <w:szCs w:val="20"/>
              </w:rPr>
            </w:pPr>
            <w:r>
              <w:rPr>
                <w:sz w:val="20"/>
                <w:szCs w:val="20"/>
              </w:rPr>
              <w:t>1</w:t>
            </w:r>
            <w:r w:rsidR="0048635D">
              <w:rPr>
                <w:sz w:val="20"/>
                <w:szCs w:val="20"/>
              </w:rPr>
              <w:t>5</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44D8A723" w14:textId="4339236D" w:rsidR="0042441F" w:rsidRPr="00FF218E" w:rsidRDefault="00436629" w:rsidP="00F914BE">
            <w:pPr>
              <w:pStyle w:val="naisc"/>
              <w:spacing w:before="0" w:after="0"/>
              <w:jc w:val="both"/>
              <w:rPr>
                <w:sz w:val="20"/>
                <w:szCs w:val="20"/>
              </w:rPr>
            </w:pPr>
            <w:r w:rsidRPr="009D558E">
              <w:rPr>
                <w:i/>
                <w:iCs/>
              </w:rPr>
              <w:t xml:space="preserve">Ministru kabineta 2018. gada 18. decembra noteikumos Nr. 851 „Noteikumi par zemāko mēnešalgu un speciālo piemaksu veselības aprūpes jomā nodarbinātiem” (turpmāk – MK noteikumi Nr. 851) ir noteiktas 6 ārstniecības personu, kas sniedz valsts apmaksātos veselības </w:t>
            </w:r>
            <w:r w:rsidRPr="009D558E">
              <w:rPr>
                <w:i/>
                <w:iCs/>
              </w:rPr>
              <w:lastRenderedPageBreak/>
              <w:t>aprūpes pakalpojumus, amatu klasifikācijas kategorijas un tām atbilstošā zemākā mēnešalgas likme par slodzi</w:t>
            </w:r>
          </w:p>
        </w:tc>
        <w:tc>
          <w:tcPr>
            <w:tcW w:w="5670" w:type="dxa"/>
            <w:tcBorders>
              <w:top w:val="single" w:sz="6" w:space="0" w:color="000000"/>
              <w:left w:val="single" w:sz="6" w:space="0" w:color="000000"/>
              <w:bottom w:val="single" w:sz="6" w:space="0" w:color="000000"/>
              <w:right w:val="single" w:sz="6" w:space="0" w:color="000000"/>
            </w:tcBorders>
          </w:tcPr>
          <w:p w14:paraId="50C2C30A" w14:textId="77777777" w:rsidR="00436629" w:rsidRDefault="00436629" w:rsidP="00F914BE">
            <w:pPr>
              <w:jc w:val="center"/>
            </w:pPr>
            <w:r>
              <w:rPr>
                <w:b/>
                <w:u w:val="single"/>
              </w:rPr>
              <w:lastRenderedPageBreak/>
              <w:t>Latvijas Pašvaldību savienība/ Latvijas lielo pilsētu asociācija</w:t>
            </w:r>
          </w:p>
          <w:p w14:paraId="4690BFF5" w14:textId="6C329F21" w:rsidR="0042441F" w:rsidRPr="00436629" w:rsidRDefault="00436629" w:rsidP="00F914BE">
            <w:pPr>
              <w:pStyle w:val="CommentText"/>
              <w:jc w:val="both"/>
              <w:rPr>
                <w:sz w:val="24"/>
                <w:szCs w:val="24"/>
              </w:rPr>
            </w:pPr>
            <w:r>
              <w:rPr>
                <w:sz w:val="24"/>
                <w:szCs w:val="24"/>
                <w:lang w:val="en-US"/>
              </w:rPr>
              <w:t>Pašvaldības</w:t>
            </w:r>
            <w:r>
              <w:rPr>
                <w:sz w:val="24"/>
                <w:szCs w:val="24"/>
              </w:rPr>
              <w:t xml:space="preserve">, </w:t>
            </w:r>
            <w:r w:rsidRPr="00212F14">
              <w:rPr>
                <w:sz w:val="24"/>
                <w:szCs w:val="24"/>
              </w:rPr>
              <w:t>kuru iestādēs</w:t>
            </w:r>
            <w:r>
              <w:rPr>
                <w:sz w:val="24"/>
                <w:szCs w:val="24"/>
              </w:rPr>
              <w:t xml:space="preserve"> šobrīd tiek nodarbinātas ārstniecības personas, piemēram, māsas izglītības un pirmsskolas izglītības iestādēs, ārstniecības un pacientu aprūpes ilgstošās sociālās aprūpes institūcijās (pansionātos), patversmēs, īslaicīgās sociālās aprūpes gultās u.c., cenšas nodrošināt konkurētspējīgu atalgojumu </w:t>
            </w:r>
            <w:r w:rsidRPr="00212F14">
              <w:rPr>
                <w:sz w:val="24"/>
                <w:szCs w:val="24"/>
              </w:rPr>
              <w:t>minētajās</w:t>
            </w:r>
            <w:r>
              <w:rPr>
                <w:sz w:val="24"/>
                <w:szCs w:val="24"/>
              </w:rPr>
              <w:t xml:space="preserve"> iestādēs nodarbinātajām ārstniecības personām, ievērojot MK noteikumus Nr.851 un vidējo atalgojumu nozarē. Ziņojumā tiek runāts tikai par tām ārstniecības personām, kuras strādā stacionāros un ambulatorajās iestādēs, taču nav </w:t>
            </w:r>
            <w:r w:rsidRPr="00212F14">
              <w:rPr>
                <w:sz w:val="24"/>
                <w:szCs w:val="24"/>
              </w:rPr>
              <w:t>skaidrs,</w:t>
            </w:r>
            <w:r>
              <w:rPr>
                <w:sz w:val="24"/>
                <w:szCs w:val="24"/>
              </w:rPr>
              <w:t xml:space="preserve"> kāda atalgojuma sistēma būs jānodrošina citās iestādēs </w:t>
            </w:r>
            <w:r>
              <w:rPr>
                <w:sz w:val="24"/>
                <w:szCs w:val="24"/>
              </w:rPr>
              <w:lastRenderedPageBreak/>
              <w:t>strādājošām ārstniecības personām. Ja pēc jaunā atalgojuma modeļa ieviešanas</w:t>
            </w:r>
            <w:r w:rsidRPr="00D915AD">
              <w:rPr>
                <w:strike/>
                <w:sz w:val="24"/>
                <w:szCs w:val="24"/>
              </w:rPr>
              <w:t xml:space="preserve">, </w:t>
            </w:r>
            <w:r>
              <w:rPr>
                <w:sz w:val="24"/>
                <w:szCs w:val="24"/>
              </w:rPr>
              <w:t xml:space="preserve">ārstniecības personām, kuras nestrādā ārstniecības iestādēs tiks novērota krasa algas atšķirība, sagaidāms vēl liekāks darbinieku iztrūkums sociālajā nozarē. </w:t>
            </w:r>
          </w:p>
        </w:tc>
        <w:tc>
          <w:tcPr>
            <w:tcW w:w="4111" w:type="dxa"/>
            <w:gridSpan w:val="2"/>
            <w:tcBorders>
              <w:top w:val="single" w:sz="6" w:space="0" w:color="000000"/>
              <w:left w:val="single" w:sz="6" w:space="0" w:color="000000"/>
              <w:bottom w:val="single" w:sz="6" w:space="0" w:color="000000"/>
              <w:right w:val="single" w:sz="6" w:space="0" w:color="000000"/>
            </w:tcBorders>
          </w:tcPr>
          <w:p w14:paraId="2E5BD77F" w14:textId="344B6FBF" w:rsidR="00436629" w:rsidRPr="00692403" w:rsidRDefault="00436629" w:rsidP="00F914BE">
            <w:pPr>
              <w:pStyle w:val="naisc"/>
              <w:spacing w:before="0" w:after="0"/>
              <w:rPr>
                <w:b/>
                <w:bCs/>
              </w:rPr>
            </w:pPr>
            <w:r w:rsidRPr="00692403">
              <w:rPr>
                <w:b/>
                <w:bCs/>
              </w:rPr>
              <w:lastRenderedPageBreak/>
              <w:t>Ņemts vērā</w:t>
            </w:r>
          </w:p>
          <w:p w14:paraId="24ED2903" w14:textId="03E00E3D" w:rsidR="0042441F" w:rsidRDefault="00A87DB8" w:rsidP="00F914BE">
            <w:pPr>
              <w:pStyle w:val="naisc"/>
              <w:spacing w:before="0" w:after="0"/>
              <w:jc w:val="both"/>
            </w:pPr>
            <w:r w:rsidRPr="00A87DB8">
              <w:t>Jaunais ārstniecības personu darba samaksas modelis neparedz regulējumu šīm ārstniecības personām, bet uz tām attiecas turpmāk plānotais atalgojuma palielinājums.</w:t>
            </w:r>
          </w:p>
          <w:p w14:paraId="3A20F677" w14:textId="3C8BC666" w:rsidR="006C5F50" w:rsidRPr="00727BBE" w:rsidRDefault="00727BBE" w:rsidP="00F914BE">
            <w:pPr>
              <w:pStyle w:val="naisc"/>
              <w:spacing w:before="0" w:after="0"/>
              <w:jc w:val="both"/>
            </w:pPr>
            <w:r>
              <w:t xml:space="preserve">Kā arī jāatzīmē, ka saskaņā ar Ārstniecības likumā noteikto, ārstniecības persona drīkst nodarboties ar ārstniecību tikai ārstniecības iestādē. Gadījumos, ja ārstniecības persona ir nodarbināta savā profesijā, kas nav tipiska ambulatorā vai stacionārā ārstniecības iestāde, Ārstniecības iestāžu </w:t>
            </w:r>
            <w:r>
              <w:lastRenderedPageBreak/>
              <w:t>reģistrā attiecīgā speciālista kabinets kā ambulatora ārstniecības iestāde, piemēram, izglītības iestādēs māsas kabinets.</w:t>
            </w:r>
          </w:p>
        </w:tc>
        <w:tc>
          <w:tcPr>
            <w:tcW w:w="2410" w:type="dxa"/>
            <w:gridSpan w:val="2"/>
            <w:tcBorders>
              <w:top w:val="single" w:sz="4" w:space="0" w:color="auto"/>
              <w:left w:val="single" w:sz="4" w:space="0" w:color="auto"/>
              <w:bottom w:val="single" w:sz="4" w:space="0" w:color="auto"/>
            </w:tcBorders>
          </w:tcPr>
          <w:p w14:paraId="1D9C129E" w14:textId="77777777" w:rsidR="0042441F" w:rsidRPr="00086103" w:rsidRDefault="0042441F" w:rsidP="00F914BE">
            <w:pPr>
              <w:pStyle w:val="Standard"/>
              <w:jc w:val="both"/>
              <w:rPr>
                <w:rFonts w:ascii="Times New Roman" w:hAnsi="Times New Roman"/>
                <w:i/>
                <w:iCs/>
              </w:rPr>
            </w:pPr>
          </w:p>
        </w:tc>
      </w:tr>
      <w:tr w:rsidR="0042441F" w:rsidRPr="003B71E0" w14:paraId="119363B1"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62C4F55" w14:textId="7F78B8E8" w:rsidR="0042441F" w:rsidRDefault="00727EC5" w:rsidP="00F914BE">
            <w:pPr>
              <w:pStyle w:val="naisc"/>
              <w:spacing w:before="0" w:after="0"/>
              <w:rPr>
                <w:sz w:val="20"/>
                <w:szCs w:val="20"/>
              </w:rPr>
            </w:pPr>
            <w:r>
              <w:rPr>
                <w:sz w:val="20"/>
                <w:szCs w:val="20"/>
              </w:rPr>
              <w:t>1</w:t>
            </w:r>
            <w:r w:rsidR="0048635D">
              <w:rPr>
                <w:sz w:val="20"/>
                <w:szCs w:val="20"/>
              </w:rPr>
              <w:t>6</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CEC25E6" w14:textId="62761705" w:rsidR="0042441F" w:rsidRPr="00FF218E" w:rsidRDefault="00A87DB8" w:rsidP="00F914BE">
            <w:pPr>
              <w:pStyle w:val="naisc"/>
              <w:spacing w:before="0" w:after="0"/>
              <w:jc w:val="both"/>
              <w:rPr>
                <w:sz w:val="20"/>
                <w:szCs w:val="20"/>
              </w:rPr>
            </w:pPr>
            <w:r w:rsidRPr="00D75F7E">
              <w:rPr>
                <w:i/>
                <w:iCs/>
              </w:rPr>
              <w:t>… analizējot vidējo darba samaksu, ir redzama tendence, ka ārsti pamatā strādā pie 1 līdz 3 darba devējiem vienlaikus, lai nopelnītu nepieciešamos līdzekļus savu vajadzību nodrošināšanai… Šāda situācija būtu novēršama..</w:t>
            </w:r>
          </w:p>
        </w:tc>
        <w:tc>
          <w:tcPr>
            <w:tcW w:w="5670" w:type="dxa"/>
            <w:tcBorders>
              <w:top w:val="single" w:sz="6" w:space="0" w:color="000000"/>
              <w:left w:val="single" w:sz="6" w:space="0" w:color="000000"/>
              <w:bottom w:val="single" w:sz="6" w:space="0" w:color="000000"/>
              <w:right w:val="single" w:sz="6" w:space="0" w:color="000000"/>
            </w:tcBorders>
          </w:tcPr>
          <w:p w14:paraId="70995B4F" w14:textId="77777777" w:rsidR="00A87DB8" w:rsidRDefault="00A87DB8" w:rsidP="00F914BE">
            <w:pPr>
              <w:jc w:val="center"/>
            </w:pPr>
            <w:r>
              <w:rPr>
                <w:b/>
                <w:u w:val="single"/>
              </w:rPr>
              <w:t>Latvijas Pašvaldību savienība/ Latvijas lielo pilsētu asociācija</w:t>
            </w:r>
          </w:p>
          <w:p w14:paraId="2577445C" w14:textId="77777777" w:rsidR="00A87DB8" w:rsidRDefault="00A87DB8" w:rsidP="00F914BE">
            <w:pPr>
              <w:pStyle w:val="CommentText"/>
              <w:jc w:val="both"/>
              <w:rPr>
                <w:sz w:val="24"/>
                <w:szCs w:val="24"/>
              </w:rPr>
            </w:pPr>
            <w:r>
              <w:rPr>
                <w:sz w:val="24"/>
                <w:szCs w:val="24"/>
              </w:rPr>
              <w:t xml:space="preserve">Visā valstī ir novērots ārstniecības personu iztrūkums, arī valsts finansējums (kvotas) veselības aprūpes pakalpojumiem katrā ārstniecības iestādē ir ierobežotas, tādēļ nav atbalstāms ārstu un citu ārstniecības personu ierobežošana darba vietu skaitā, jo ārstniecības personas strādājot vairākās darba vietās novērš ārstniecības personu iztrūkumu, kā arī nodrošina veselības aprūpes pakalpojumu pieejamību, tai skaitā arī valsts apmaksātiem pakalpojumiem. </w:t>
            </w:r>
          </w:p>
          <w:p w14:paraId="3A76E756" w14:textId="77777777" w:rsidR="0042441F" w:rsidRDefault="0042441F" w:rsidP="00F914BE">
            <w:pPr>
              <w:pStyle w:val="naisc"/>
              <w:spacing w:before="0" w:after="0"/>
              <w:rPr>
                <w:b/>
                <w:u w:val="single"/>
              </w:rPr>
            </w:pPr>
          </w:p>
        </w:tc>
        <w:tc>
          <w:tcPr>
            <w:tcW w:w="4111" w:type="dxa"/>
            <w:gridSpan w:val="2"/>
            <w:tcBorders>
              <w:top w:val="single" w:sz="6" w:space="0" w:color="000000"/>
              <w:left w:val="single" w:sz="6" w:space="0" w:color="000000"/>
              <w:bottom w:val="single" w:sz="6" w:space="0" w:color="000000"/>
              <w:right w:val="single" w:sz="6" w:space="0" w:color="000000"/>
            </w:tcBorders>
          </w:tcPr>
          <w:p w14:paraId="011773F7" w14:textId="4D0AD0B9" w:rsidR="00A87DB8" w:rsidRPr="00692403" w:rsidRDefault="00A87DB8" w:rsidP="00F914BE">
            <w:pPr>
              <w:pStyle w:val="naisc"/>
              <w:spacing w:before="0" w:after="0"/>
              <w:rPr>
                <w:b/>
                <w:bCs/>
              </w:rPr>
            </w:pPr>
            <w:r w:rsidRPr="00692403">
              <w:rPr>
                <w:b/>
                <w:bCs/>
              </w:rPr>
              <w:t>Ņemts vērā</w:t>
            </w:r>
          </w:p>
          <w:p w14:paraId="7E958E9A" w14:textId="15F6B266" w:rsidR="0042441F" w:rsidRDefault="00A87DB8" w:rsidP="00F914BE">
            <w:pPr>
              <w:pStyle w:val="naisc"/>
              <w:spacing w:before="0" w:after="0"/>
              <w:jc w:val="both"/>
              <w:rPr>
                <w:b/>
                <w:bCs/>
              </w:rPr>
            </w:pPr>
            <w:r w:rsidRPr="00A87DB8">
              <w:t>Jaunās atalgojuma sistēmas mērķis nav ierobežot ārstniecības person</w:t>
            </w:r>
            <w:r>
              <w:t>as</w:t>
            </w:r>
            <w:r w:rsidRPr="00A87DB8">
              <w:t xml:space="preserve"> strādāt vairākās darba vietās, bet stimulēt izvēlēties vienu darba vietu, novēršot psiholoģiskās un fiziskās izdegšanas riskus.</w:t>
            </w:r>
            <w:r>
              <w:t xml:space="preserve"> Uzskatām, ka taisnīga, konkurētspējīga un caurskatāma darba samaksas sistēma, būs tas faktors, kas liks ārstniecības personām </w:t>
            </w:r>
            <w:r w:rsidR="006C578E">
              <w:t>izvēlēties vienu darba vietu.</w:t>
            </w:r>
          </w:p>
        </w:tc>
        <w:tc>
          <w:tcPr>
            <w:tcW w:w="2410" w:type="dxa"/>
            <w:gridSpan w:val="2"/>
            <w:tcBorders>
              <w:top w:val="single" w:sz="4" w:space="0" w:color="auto"/>
              <w:left w:val="single" w:sz="4" w:space="0" w:color="auto"/>
              <w:bottom w:val="single" w:sz="4" w:space="0" w:color="auto"/>
            </w:tcBorders>
          </w:tcPr>
          <w:p w14:paraId="4A8CAB45" w14:textId="77777777" w:rsidR="0042441F" w:rsidRPr="00086103" w:rsidRDefault="0042441F" w:rsidP="00F914BE">
            <w:pPr>
              <w:pStyle w:val="Standard"/>
              <w:jc w:val="both"/>
              <w:rPr>
                <w:rFonts w:ascii="Times New Roman" w:hAnsi="Times New Roman"/>
                <w:i/>
                <w:iCs/>
              </w:rPr>
            </w:pPr>
          </w:p>
        </w:tc>
      </w:tr>
      <w:tr w:rsidR="00A87DB8" w:rsidRPr="003B71E0" w14:paraId="42F0F7B1" w14:textId="77777777" w:rsidTr="00374742">
        <w:tc>
          <w:tcPr>
            <w:tcW w:w="534" w:type="dxa"/>
            <w:tcBorders>
              <w:top w:val="single" w:sz="6" w:space="0" w:color="000000"/>
              <w:left w:val="single" w:sz="6" w:space="0" w:color="000000"/>
              <w:bottom w:val="single" w:sz="6" w:space="0" w:color="000000"/>
              <w:right w:val="single" w:sz="6" w:space="0" w:color="000000"/>
            </w:tcBorders>
          </w:tcPr>
          <w:p w14:paraId="49046A68" w14:textId="10742FE6" w:rsidR="00A87DB8" w:rsidRDefault="00727EC5" w:rsidP="00F914BE">
            <w:pPr>
              <w:pStyle w:val="naisc"/>
              <w:spacing w:before="0" w:after="0"/>
              <w:rPr>
                <w:sz w:val="20"/>
                <w:szCs w:val="20"/>
              </w:rPr>
            </w:pPr>
            <w:r>
              <w:rPr>
                <w:sz w:val="20"/>
                <w:szCs w:val="20"/>
              </w:rPr>
              <w:t>1</w:t>
            </w:r>
            <w:r w:rsidR="0048635D">
              <w:rPr>
                <w:sz w:val="20"/>
                <w:szCs w:val="20"/>
              </w:rPr>
              <w:t>7</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4972E781" w14:textId="5EE8105D" w:rsidR="00A87DB8" w:rsidRPr="002C5D80" w:rsidRDefault="002C5D80" w:rsidP="00F914BE">
            <w:pPr>
              <w:pStyle w:val="naisc"/>
              <w:spacing w:before="0" w:after="0"/>
              <w:jc w:val="both"/>
            </w:pPr>
            <w:r>
              <w:t xml:space="preserve">Ziņojuma kopsavilkuma sadaļā “Identificētās problēmas”: </w:t>
            </w:r>
            <w:r w:rsidRPr="002C5D80">
              <w:rPr>
                <w:i/>
                <w:iCs/>
              </w:rPr>
              <w:t>“.. nav pietiekamas skaidrības un argumentu mērķa algas apjomam.</w:t>
            </w:r>
            <w:r>
              <w:t>.”</w:t>
            </w:r>
          </w:p>
        </w:tc>
        <w:tc>
          <w:tcPr>
            <w:tcW w:w="5670" w:type="dxa"/>
            <w:tcBorders>
              <w:top w:val="single" w:sz="6" w:space="0" w:color="000000"/>
              <w:left w:val="single" w:sz="6" w:space="0" w:color="000000"/>
              <w:bottom w:val="single" w:sz="6" w:space="0" w:color="000000"/>
              <w:right w:val="single" w:sz="6" w:space="0" w:color="000000"/>
            </w:tcBorders>
          </w:tcPr>
          <w:p w14:paraId="664C6BC8" w14:textId="77777777" w:rsidR="002C5D80" w:rsidRDefault="002C5D80" w:rsidP="00F914BE">
            <w:pPr>
              <w:pStyle w:val="naisc"/>
              <w:spacing w:before="0" w:after="0"/>
              <w:rPr>
                <w:b/>
                <w:u w:val="single"/>
              </w:rPr>
            </w:pPr>
            <w:r>
              <w:rPr>
                <w:b/>
                <w:u w:val="single"/>
              </w:rPr>
              <w:t>Latvijas Veselības un sociālās aprūpes darbinieku arodbiedrība</w:t>
            </w:r>
          </w:p>
          <w:p w14:paraId="5ECAEED1" w14:textId="2A38AF41" w:rsidR="00A87DB8" w:rsidRDefault="002C5D80" w:rsidP="00F914BE">
            <w:pPr>
              <w:pStyle w:val="naisc"/>
              <w:spacing w:before="0" w:after="0"/>
              <w:jc w:val="both"/>
              <w:rPr>
                <w:bCs/>
              </w:rPr>
            </w:pPr>
            <w:r>
              <w:rPr>
                <w:bCs/>
              </w:rPr>
              <w:t xml:space="preserve">Apgalvojums </w:t>
            </w:r>
            <w:r w:rsidRPr="002C5D80">
              <w:rPr>
                <w:bCs/>
                <w:i/>
                <w:iCs/>
              </w:rPr>
              <w:t>nav pietiekamas skaidrības un argumentu mērķa algas apjomam</w:t>
            </w:r>
            <w:r>
              <w:rPr>
                <w:bCs/>
              </w:rPr>
              <w:t xml:space="preserve"> nav patiess, jo:</w:t>
            </w:r>
          </w:p>
          <w:p w14:paraId="70049C51" w14:textId="77777777" w:rsidR="002C5D80" w:rsidRDefault="00EA4694" w:rsidP="00F914BE">
            <w:pPr>
              <w:pStyle w:val="naisc"/>
              <w:spacing w:before="0" w:after="0"/>
              <w:jc w:val="both"/>
              <w:rPr>
                <w:bCs/>
              </w:rPr>
            </w:pPr>
            <w:r>
              <w:rPr>
                <w:bCs/>
              </w:rPr>
              <w:t xml:space="preserve">1.MK rīkojums Nr.326 </w:t>
            </w:r>
            <w:r w:rsidRPr="00EA4694">
              <w:rPr>
                <w:bCs/>
                <w:i/>
                <w:iCs/>
              </w:rPr>
              <w:t>Par pamatnostādnēm “Cilvēkresursu attīstība veselības aprūpē”</w:t>
            </w:r>
            <w:r>
              <w:rPr>
                <w:bCs/>
              </w:rPr>
              <w:t xml:space="preserve"> (18.05.2005) nosaka, ka vidējā ārstniecības personāla vidējā darba samaksa (VDS) ir 60%, bet jaunākā  personāla VDS – 40% no ārstu VDS; periodā no 2016 līdz 2019.g. šī proporcija bija attiecīgi 57% un 39% (ziņojums 29.lpp.); jaunā kārtība paredz, ka vidējā ārstniecības personāla VDS būs 59% no ārstu VDS (Ziņojums 53.lpp.);</w:t>
            </w:r>
          </w:p>
          <w:p w14:paraId="5E4F20B5" w14:textId="5C8E7FD5" w:rsidR="00EA4694" w:rsidRDefault="005D1B2E" w:rsidP="00F914BE">
            <w:pPr>
              <w:pStyle w:val="naisc"/>
              <w:spacing w:before="0" w:after="0"/>
              <w:jc w:val="both"/>
              <w:rPr>
                <w:bCs/>
              </w:rPr>
            </w:pPr>
            <w:r>
              <w:rPr>
                <w:bCs/>
              </w:rPr>
              <w:t>2.</w:t>
            </w:r>
            <w:r w:rsidR="00EA4694">
              <w:rPr>
                <w:bCs/>
              </w:rPr>
              <w:t xml:space="preserve">MK rīkojums Nr.870 </w:t>
            </w:r>
            <w:r w:rsidR="00EA4694" w:rsidRPr="005D1B2E">
              <w:rPr>
                <w:bCs/>
                <w:i/>
                <w:iCs/>
              </w:rPr>
              <w:t>Par programmu “Cilvēkresursu attīstība veselības aprūpē 2006. – 2015.</w:t>
            </w:r>
            <w:r w:rsidRPr="005D1B2E">
              <w:rPr>
                <w:bCs/>
                <w:i/>
                <w:iCs/>
              </w:rPr>
              <w:t>gadam”</w:t>
            </w:r>
            <w:r>
              <w:rPr>
                <w:bCs/>
              </w:rPr>
              <w:t xml:space="preserve"> nosaka, ka ar 2009.g. ārstu VDS jābūt 2,5 reizes lielākai par VDS </w:t>
            </w:r>
            <w:r>
              <w:rPr>
                <w:bCs/>
              </w:rPr>
              <w:lastRenderedPageBreak/>
              <w:t>tautsaimniecībā iepriekšējā budžeta plānošanas gadā (nobīde pret reālo laiku – divi gadi; ieviesta precīzākas budžeta plānošanas nolūkā);</w:t>
            </w:r>
          </w:p>
          <w:p w14:paraId="61CB0776" w14:textId="1A8D00B5" w:rsidR="002F1BCA" w:rsidRDefault="002F1BCA" w:rsidP="00F914BE">
            <w:pPr>
              <w:pStyle w:val="naisc"/>
              <w:spacing w:before="0" w:after="0"/>
              <w:jc w:val="both"/>
              <w:rPr>
                <w:bCs/>
              </w:rPr>
            </w:pPr>
            <w:r>
              <w:rPr>
                <w:bCs/>
              </w:rPr>
              <w:t>3.koeficents 2,5 tika izraudzīts atbilstoši attīstīto valstu pieredzei un ir tuvs ziņojumā aktualizētajam koeficientam 2,74;</w:t>
            </w:r>
          </w:p>
          <w:p w14:paraId="2E60F10D" w14:textId="378DC556" w:rsidR="002F1BCA" w:rsidRDefault="002F1BCA" w:rsidP="00F914BE">
            <w:pPr>
              <w:pStyle w:val="naisc"/>
              <w:spacing w:before="0" w:after="0"/>
              <w:jc w:val="both"/>
              <w:rPr>
                <w:bCs/>
              </w:rPr>
            </w:pPr>
            <w:r>
              <w:rPr>
                <w:bCs/>
              </w:rPr>
              <w:t xml:space="preserve">4.Veidojot konceptuālo ziņojumu </w:t>
            </w:r>
            <w:r w:rsidRPr="002F1BCA">
              <w:rPr>
                <w:bCs/>
                <w:i/>
                <w:iCs/>
              </w:rPr>
              <w:t>Par veselības aprūpes sistēmas reformu</w:t>
            </w:r>
            <w:r>
              <w:rPr>
                <w:bCs/>
              </w:rPr>
              <w:t xml:space="preserve"> (apstiprināts ar MK rīkojumu Nr.394, 07.08.2017.), tika ievērots gan iepriekš minētais, gan reālās budžeta iespējas; aprēķini liecināja, ka 2021.gadā ārsta VDS sasniedzot divas VDS tautsaimniecībā, ārsta VDS būs tuvu 2,5 VDS tautsaimniecībā 2019.g.;</w:t>
            </w:r>
          </w:p>
          <w:p w14:paraId="54D84FCE" w14:textId="66B86211" w:rsidR="002F1BCA" w:rsidRDefault="002F1BCA" w:rsidP="00F914BE">
            <w:pPr>
              <w:pStyle w:val="naisc"/>
              <w:spacing w:before="0" w:after="0"/>
              <w:jc w:val="both"/>
              <w:rPr>
                <w:bCs/>
              </w:rPr>
            </w:pPr>
            <w:r>
              <w:rPr>
                <w:bCs/>
              </w:rPr>
              <w:t>5.esošajā sistēmā izraudzītais mērķa algas apjoms bija sasniedzams un efektīvs, jo tuvošanās tam veicināja darbaspēka pārvirzīšanos uz valsts apmaksāto pakalpojumu segmentu (Ziņojuma kopsavilkums, 7.-9.lpp.); 2019.g. ārsta VDS sasniedza 1,9 VDS tautsaimniecībā reālajā laikā un 2,2 VDS tautsaimniecībā</w:t>
            </w:r>
          </w:p>
          <w:p w14:paraId="582823E4" w14:textId="3ACA4919" w:rsidR="005D1B2E" w:rsidRPr="002C5D80" w:rsidRDefault="002F1BCA" w:rsidP="00F914BE">
            <w:pPr>
              <w:pStyle w:val="naisc"/>
              <w:spacing w:before="0" w:after="0"/>
              <w:jc w:val="both"/>
              <w:rPr>
                <w:bCs/>
              </w:rPr>
            </w:pPr>
            <w:r>
              <w:rPr>
                <w:bCs/>
              </w:rPr>
              <w:t>2017.gadā.</w:t>
            </w:r>
          </w:p>
        </w:tc>
        <w:tc>
          <w:tcPr>
            <w:tcW w:w="4111" w:type="dxa"/>
            <w:gridSpan w:val="2"/>
            <w:tcBorders>
              <w:top w:val="single" w:sz="6" w:space="0" w:color="000000"/>
              <w:left w:val="single" w:sz="6" w:space="0" w:color="000000"/>
              <w:bottom w:val="single" w:sz="6" w:space="0" w:color="000000"/>
              <w:right w:val="single" w:sz="6" w:space="0" w:color="000000"/>
            </w:tcBorders>
          </w:tcPr>
          <w:p w14:paraId="5E0D54AC" w14:textId="77777777" w:rsidR="002C5D80" w:rsidRDefault="002C5D80" w:rsidP="00F914BE">
            <w:pPr>
              <w:pStyle w:val="naisc"/>
              <w:spacing w:before="0" w:after="0"/>
              <w:rPr>
                <w:b/>
                <w:bCs/>
              </w:rPr>
            </w:pPr>
            <w:r w:rsidRPr="00692403">
              <w:rPr>
                <w:b/>
                <w:bCs/>
              </w:rPr>
              <w:lastRenderedPageBreak/>
              <w:t>Ņemts vērā</w:t>
            </w:r>
          </w:p>
          <w:p w14:paraId="407640DF" w14:textId="77777777" w:rsidR="002C5D80" w:rsidRDefault="002C5D80" w:rsidP="00F914BE">
            <w:pPr>
              <w:pStyle w:val="naisc"/>
              <w:spacing w:before="0" w:after="0"/>
              <w:jc w:val="both"/>
            </w:pPr>
            <w:r>
              <w:t>Iebildums pēc būtības nepiedāvā veikt izmaiņas atalgojuma modelī.</w:t>
            </w:r>
          </w:p>
          <w:p w14:paraId="3D33FB94" w14:textId="77777777" w:rsidR="00A87DB8" w:rsidRDefault="00A87DB8" w:rsidP="00F914BE">
            <w:pPr>
              <w:pStyle w:val="naisc"/>
              <w:spacing w:before="0" w:after="0"/>
              <w:jc w:val="both"/>
              <w:rPr>
                <w:b/>
                <w:bCs/>
              </w:rPr>
            </w:pPr>
          </w:p>
          <w:p w14:paraId="20F034B4" w14:textId="32A963BC" w:rsidR="002F1BCA" w:rsidRDefault="002F1BCA" w:rsidP="00F914BE">
            <w:pPr>
              <w:pStyle w:val="naisc"/>
              <w:spacing w:before="0" w:after="0"/>
              <w:jc w:val="both"/>
              <w:rPr>
                <w:rFonts w:cstheme="minorHAnsi"/>
              </w:rPr>
            </w:pPr>
            <w:r>
              <w:rPr>
                <w:rFonts w:cstheme="minorHAnsi"/>
              </w:rPr>
              <w:t xml:space="preserve">Domnīcā tika pieaicināti 34 eksperti, </w:t>
            </w:r>
            <w:r w:rsidRPr="000D6631">
              <w:t>iesaistoties ārstiem un māsām no dažādām ārstniecības iestādēm, veselības aprūpes nozares darba devējiem, augstskolu mācībspēkiem un veselības aprūpes politikas veidotājiem, kā arī pārstāvjiem no Veselības ministrijas, Nacionālā veselības dienesta, Finanšu ministrijas un Valsts kancelejas</w:t>
            </w:r>
            <w:r>
              <w:rPr>
                <w:rFonts w:cstheme="minorHAnsi"/>
              </w:rPr>
              <w:t xml:space="preserve">. Eksperti katrs no savas puses definēja viņuprāt pastāvošās problēmas </w:t>
            </w:r>
            <w:r>
              <w:rPr>
                <w:rFonts w:cstheme="minorHAnsi"/>
              </w:rPr>
              <w:lastRenderedPageBreak/>
              <w:t>esošajā atalgojuma modelī un piedāvāja dažādus risinājuma variantus jaunajam modelim.</w:t>
            </w:r>
            <w:r w:rsidR="00DA7817">
              <w:rPr>
                <w:rFonts w:cstheme="minorHAnsi"/>
              </w:rPr>
              <w:t xml:space="preserve"> Ziņojuma kopsavilkuma sadaļa “Identificētās problēmas” ir </w:t>
            </w:r>
            <w:r w:rsidR="00665A43">
              <w:rPr>
                <w:rFonts w:cstheme="minorHAnsi"/>
                <w:u w:val="single"/>
              </w:rPr>
              <w:t>domnīcas</w:t>
            </w:r>
            <w:r w:rsidR="00DA7817" w:rsidRPr="00DA7817">
              <w:rPr>
                <w:rFonts w:cstheme="minorHAnsi"/>
                <w:u w:val="single"/>
              </w:rPr>
              <w:t xml:space="preserve"> ekspertu izvirzītās problēmas esošajā atalgojumu sistēmā</w:t>
            </w:r>
            <w:r w:rsidR="00DA7817">
              <w:rPr>
                <w:rFonts w:cstheme="minorHAnsi"/>
              </w:rPr>
              <w:t>, ne Veselības ministrijas.</w:t>
            </w:r>
          </w:p>
          <w:p w14:paraId="0138554B" w14:textId="76206744" w:rsidR="00DA7817" w:rsidRDefault="00DA7817" w:rsidP="00F914BE">
            <w:pPr>
              <w:pStyle w:val="naisc"/>
              <w:spacing w:before="0" w:after="0"/>
              <w:jc w:val="both"/>
              <w:rPr>
                <w:rFonts w:cstheme="minorHAnsi"/>
              </w:rPr>
            </w:pPr>
          </w:p>
          <w:p w14:paraId="689F605F" w14:textId="52F22322" w:rsidR="00DA7817" w:rsidRPr="00DA7817" w:rsidRDefault="00B91368" w:rsidP="00F914BE">
            <w:pPr>
              <w:jc w:val="both"/>
              <w:rPr>
                <w:b/>
                <w:bCs/>
              </w:rPr>
            </w:pPr>
            <w:r>
              <w:t>LVSADA m</w:t>
            </w:r>
            <w:r w:rsidR="00DA7817" w:rsidRPr="00DA7817">
              <w:t>inētais ziņojums</w:t>
            </w:r>
            <w:r>
              <w:t xml:space="preserve"> “Par pamatnostādnēm “Cilvēkresursu attīstība veselības aprūpē””</w:t>
            </w:r>
            <w:r w:rsidR="00DA7817" w:rsidRPr="00DA7817">
              <w:t xml:space="preserve"> ir </w:t>
            </w:r>
            <w:r w:rsidR="00DA7817" w:rsidRPr="00B91368">
              <w:rPr>
                <w:b/>
                <w:bCs/>
                <w:u w:val="single"/>
              </w:rPr>
              <w:t xml:space="preserve">15 gadus vecs </w:t>
            </w:r>
            <w:r w:rsidR="00DA7817" w:rsidRPr="00DA7817">
              <w:t>un izstrādāts citos ekonomiskos apstākļos. Ziņojumā nav minētas atsauces vai metodoloģija kā iegūtas noteiktās vērtības, ziņojumā norādītie skaitļi ir noteikti kā</w:t>
            </w:r>
            <w:r w:rsidR="00DA7817" w:rsidRPr="00DA7817">
              <w:rPr>
                <w:b/>
                <w:bCs/>
              </w:rPr>
              <w:t xml:space="preserve"> </w:t>
            </w:r>
            <w:r w:rsidR="00DA7817" w:rsidRPr="00B91368">
              <w:t>pieņēmumi budžeta vajadzību aprēķinam, nevis sasniedzamās mērķa vērtības.</w:t>
            </w:r>
            <w:r w:rsidR="00DA7817" w:rsidRPr="00DA7817">
              <w:rPr>
                <w:b/>
                <w:bCs/>
              </w:rPr>
              <w:t xml:space="preserve"> </w:t>
            </w:r>
            <w:r w:rsidR="00DA7817" w:rsidRPr="00DA7817">
              <w:t xml:space="preserve">Domnīcas </w:t>
            </w:r>
            <w:r>
              <w:t>eksperti</w:t>
            </w:r>
            <w:r w:rsidR="00DA7817" w:rsidRPr="00DA7817">
              <w:t xml:space="preserve"> tieši uzsvēra šo rādītāju pamatotības trūkumu.</w:t>
            </w:r>
          </w:p>
          <w:p w14:paraId="0D251414" w14:textId="00A2C5D1" w:rsidR="00B91368" w:rsidRPr="00913EEF" w:rsidRDefault="00B91368" w:rsidP="00F914BE">
            <w:pPr>
              <w:pStyle w:val="naisc"/>
              <w:spacing w:before="0" w:after="0"/>
              <w:jc w:val="both"/>
              <w:rPr>
                <w:rFonts w:cstheme="minorHAnsi"/>
              </w:rPr>
            </w:pPr>
            <w:r>
              <w:t>Atalgojuma sistēmas izveides prasības balstās uz labo praksi atalgojuma sistēmu veidošanā un OECD un citu organizāciju pārvaldības, personāla vadības un atalgojuma sistēmu ekspertu ieteikumiem</w:t>
            </w:r>
            <w:r w:rsidR="00913EEF">
              <w:t>.</w:t>
            </w:r>
            <w:r w:rsidR="00913EEF">
              <w:rPr>
                <w:rFonts w:cstheme="minorHAnsi"/>
              </w:rPr>
              <w:t xml:space="preserve"> Pamatojoties  uz to ā</w:t>
            </w:r>
            <w:r>
              <w:rPr>
                <w:rFonts w:cstheme="minorHAnsi"/>
              </w:rPr>
              <w:t xml:space="preserve">rstniecības personu mērķa alga tika noteikta ar analītisko intelektuālā darba vērtēšanas punktu/metodi, kas ir starptautiski atzīta un Valsts kancelejai pieder metodes lietošanas tiesības valsts sektorā nodarbināto darba samaksas sistēmas uzturēšanas vajadzībām. Kopā ar ekspertiem domnīcas procesā tika izvērtēti dažādi amati un mērķa algas </w:t>
            </w:r>
            <w:r>
              <w:rPr>
                <w:rFonts w:cstheme="minorHAnsi"/>
              </w:rPr>
              <w:lastRenderedPageBreak/>
              <w:t xml:space="preserve">noteiktas pēc starptautiski atzītās metodes. </w:t>
            </w:r>
            <w:r>
              <w:t>P</w:t>
            </w:r>
            <w:r w:rsidRPr="00DD25C7">
              <w:t xml:space="preserve">ēc grupu punktiem izvērtētā ārstu mērķa alga </w:t>
            </w:r>
            <w:r w:rsidRPr="00DD25C7">
              <w:rPr>
                <w:rFonts w:eastAsiaTheme="minorEastAsia"/>
              </w:rPr>
              <w:t>nodrošinās ārstiem atalgojuma apmēru - vidējā darba samaksa tautsaimniecībā nodarbinātajiem ar koeficientu 2,74, kas atbilstu OECD valstu vidējam rādītājam</w:t>
            </w:r>
            <w:r>
              <w:rPr>
                <w:rFonts w:eastAsiaTheme="minorEastAsia"/>
              </w:rPr>
              <w:t>, kas arī būtu atjaunotais mērķis, kas būtu jāsasniedz.</w:t>
            </w:r>
          </w:p>
          <w:p w14:paraId="2FF7A173" w14:textId="49606BB9" w:rsidR="00B91368" w:rsidRDefault="00B91368" w:rsidP="00F914BE">
            <w:pPr>
              <w:pStyle w:val="naisc"/>
              <w:spacing w:before="0" w:after="0"/>
              <w:jc w:val="both"/>
              <w:rPr>
                <w:rFonts w:eastAsiaTheme="minorEastAsia"/>
              </w:rPr>
            </w:pPr>
          </w:p>
          <w:p w14:paraId="16F5CE7A" w14:textId="248A1E20" w:rsidR="00DA7817" w:rsidRPr="00353D42" w:rsidRDefault="007B39A9" w:rsidP="00F914BE">
            <w:pPr>
              <w:pStyle w:val="naisc"/>
              <w:spacing w:before="0" w:after="0"/>
              <w:jc w:val="both"/>
              <w:rPr>
                <w:rFonts w:eastAsiaTheme="minorEastAsia"/>
              </w:rPr>
            </w:pPr>
            <w:r>
              <w:rPr>
                <w:rFonts w:eastAsiaTheme="minorEastAsia"/>
              </w:rPr>
              <w:t>Līdz ar to uzskatām, ka informatīv</w:t>
            </w:r>
            <w:r w:rsidR="00353D42">
              <w:rPr>
                <w:rFonts w:eastAsiaTheme="minorEastAsia"/>
              </w:rPr>
              <w:t>ais</w:t>
            </w:r>
            <w:r>
              <w:rPr>
                <w:rFonts w:eastAsiaTheme="minorEastAsia"/>
              </w:rPr>
              <w:t xml:space="preserve"> ziņojum</w:t>
            </w:r>
            <w:r w:rsidR="00353D42">
              <w:rPr>
                <w:rFonts w:eastAsiaTheme="minorEastAsia"/>
              </w:rPr>
              <w:t>s</w:t>
            </w:r>
            <w:r>
              <w:rPr>
                <w:rFonts w:eastAsiaTheme="minorEastAsia"/>
              </w:rPr>
              <w:t>, kas izst</w:t>
            </w:r>
            <w:r w:rsidR="00353D42">
              <w:rPr>
                <w:rFonts w:eastAsiaTheme="minorEastAsia"/>
              </w:rPr>
              <w:t>r</w:t>
            </w:r>
            <w:r>
              <w:rPr>
                <w:rFonts w:eastAsiaTheme="minorEastAsia"/>
              </w:rPr>
              <w:t>ādāts, ņemot vērā labo praksi atalgojuma sistēmu veidošanā</w:t>
            </w:r>
            <w:r w:rsidR="00353D42">
              <w:rPr>
                <w:rFonts w:eastAsiaTheme="minorEastAsia"/>
              </w:rPr>
              <w:t xml:space="preserve"> un atjaunoto informāciju atbilstošu šī brīža ekonomiskajiem apstākļiem, </w:t>
            </w:r>
            <w:r>
              <w:rPr>
                <w:rFonts w:eastAsiaTheme="minorEastAsia"/>
              </w:rPr>
              <w:t xml:space="preserve"> </w:t>
            </w:r>
            <w:r w:rsidR="00353D42">
              <w:rPr>
                <w:rFonts w:eastAsiaTheme="minorEastAsia"/>
              </w:rPr>
              <w:t xml:space="preserve">nav pretrunā ar </w:t>
            </w:r>
            <w:r w:rsidR="00353D42">
              <w:t>LVSADA minētajiem dokumentiem.</w:t>
            </w:r>
          </w:p>
        </w:tc>
        <w:tc>
          <w:tcPr>
            <w:tcW w:w="2410" w:type="dxa"/>
            <w:gridSpan w:val="2"/>
            <w:tcBorders>
              <w:top w:val="single" w:sz="4" w:space="0" w:color="auto"/>
              <w:left w:val="single" w:sz="4" w:space="0" w:color="auto"/>
              <w:bottom w:val="single" w:sz="4" w:space="0" w:color="auto"/>
            </w:tcBorders>
          </w:tcPr>
          <w:p w14:paraId="6EFEE054" w14:textId="77777777" w:rsidR="00A87DB8" w:rsidRPr="00086103" w:rsidRDefault="00A87DB8" w:rsidP="00F914BE">
            <w:pPr>
              <w:pStyle w:val="Standard"/>
              <w:jc w:val="both"/>
              <w:rPr>
                <w:rFonts w:ascii="Times New Roman" w:hAnsi="Times New Roman"/>
                <w:i/>
                <w:iCs/>
              </w:rPr>
            </w:pPr>
          </w:p>
        </w:tc>
      </w:tr>
      <w:tr w:rsidR="00353D42" w:rsidRPr="003B71E0" w14:paraId="0B76623A"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15B20D6" w14:textId="3DCF3278" w:rsidR="00353D42" w:rsidRDefault="00727EC5" w:rsidP="00F914BE">
            <w:pPr>
              <w:pStyle w:val="naisc"/>
              <w:spacing w:before="0" w:after="0"/>
              <w:rPr>
                <w:sz w:val="20"/>
                <w:szCs w:val="20"/>
              </w:rPr>
            </w:pPr>
            <w:r>
              <w:rPr>
                <w:sz w:val="20"/>
                <w:szCs w:val="20"/>
              </w:rPr>
              <w:lastRenderedPageBreak/>
              <w:t>1</w:t>
            </w:r>
            <w:r w:rsidR="0048635D">
              <w:rPr>
                <w:sz w:val="20"/>
                <w:szCs w:val="20"/>
              </w:rPr>
              <w:t>8</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0077BED" w14:textId="4F910A8E" w:rsidR="00353D42" w:rsidRPr="00FF218E" w:rsidRDefault="00353D42" w:rsidP="00F914BE">
            <w:pPr>
              <w:pStyle w:val="naisc"/>
              <w:spacing w:before="0" w:after="0"/>
              <w:jc w:val="both"/>
              <w:rPr>
                <w:sz w:val="20"/>
                <w:szCs w:val="20"/>
              </w:rPr>
            </w:pPr>
            <w:r>
              <w:t xml:space="preserve">Ziņojuma kopsavilkuma sadaļā “Identificētās problēmas”: </w:t>
            </w:r>
            <w:r w:rsidRPr="002C5D80">
              <w:rPr>
                <w:i/>
                <w:iCs/>
              </w:rPr>
              <w:t xml:space="preserve">“.. </w:t>
            </w:r>
            <w:r>
              <w:rPr>
                <w:i/>
                <w:iCs/>
              </w:rPr>
              <w:t>nav definēta vēlamā proporcija starp pamatalgu un atalgojuma mainīgo daļu</w:t>
            </w:r>
            <w:r w:rsidRPr="002C5D80">
              <w:rPr>
                <w:i/>
                <w:iCs/>
              </w:rPr>
              <w:t>.</w:t>
            </w:r>
            <w:r>
              <w:t>.”</w:t>
            </w:r>
          </w:p>
        </w:tc>
        <w:tc>
          <w:tcPr>
            <w:tcW w:w="5670" w:type="dxa"/>
            <w:tcBorders>
              <w:top w:val="single" w:sz="6" w:space="0" w:color="000000"/>
              <w:left w:val="single" w:sz="6" w:space="0" w:color="000000"/>
              <w:bottom w:val="single" w:sz="6" w:space="0" w:color="000000"/>
              <w:right w:val="single" w:sz="6" w:space="0" w:color="000000"/>
            </w:tcBorders>
          </w:tcPr>
          <w:p w14:paraId="374F7DD2" w14:textId="77777777" w:rsidR="00353D42" w:rsidRDefault="00353D42" w:rsidP="00F914BE">
            <w:pPr>
              <w:pStyle w:val="naisc"/>
              <w:spacing w:before="0" w:after="0"/>
              <w:rPr>
                <w:b/>
                <w:u w:val="single"/>
              </w:rPr>
            </w:pPr>
            <w:r>
              <w:rPr>
                <w:b/>
                <w:u w:val="single"/>
              </w:rPr>
              <w:t>Latvijas Veselības un sociālās aprūpes darbinieku arodbiedrība</w:t>
            </w:r>
          </w:p>
          <w:p w14:paraId="2F04D9AD" w14:textId="73EB45FC" w:rsidR="00353D42" w:rsidRDefault="00353D42" w:rsidP="00F914BE">
            <w:pPr>
              <w:pStyle w:val="naisc"/>
              <w:spacing w:before="0" w:after="0"/>
              <w:jc w:val="both"/>
              <w:rPr>
                <w:bCs/>
              </w:rPr>
            </w:pPr>
            <w:r>
              <w:rPr>
                <w:bCs/>
              </w:rPr>
              <w:t>Apgalvojums</w:t>
            </w:r>
            <w:r w:rsidRPr="002C5D80">
              <w:rPr>
                <w:i/>
                <w:iCs/>
              </w:rPr>
              <w:t xml:space="preserve"> </w:t>
            </w:r>
            <w:r>
              <w:rPr>
                <w:i/>
                <w:iCs/>
              </w:rPr>
              <w:t>nav definēta vēlamā proporcija starp pamatalgu un atalgojuma mainīgo daļu</w:t>
            </w:r>
            <w:r>
              <w:rPr>
                <w:bCs/>
              </w:rPr>
              <w:t xml:space="preserve"> nav patiess, jo:</w:t>
            </w:r>
          </w:p>
          <w:p w14:paraId="23E8C1B8" w14:textId="2172CBFD" w:rsidR="00353D42" w:rsidRDefault="00353D42" w:rsidP="00F914BE">
            <w:pPr>
              <w:pStyle w:val="naisc"/>
              <w:spacing w:before="0" w:after="0"/>
              <w:jc w:val="both"/>
              <w:rPr>
                <w:bCs/>
              </w:rPr>
            </w:pPr>
            <w:r>
              <w:rPr>
                <w:bCs/>
              </w:rPr>
              <w:t>1.MK rīkojums Nr.326 Par pamatnostādnēm “Cilvēkresursu attīstība veselības aprūpē” (18.05.2005) nosaka, ka darba samaksa sastāv no amatalgas (70%) un piemaksām (30%); praksē piemaksas veido 38% no VDS</w:t>
            </w:r>
          </w:p>
          <w:p w14:paraId="43996CB2" w14:textId="77777777" w:rsidR="00353D42" w:rsidRDefault="00353D42" w:rsidP="00F914BE">
            <w:pPr>
              <w:pStyle w:val="naisc"/>
              <w:spacing w:before="0" w:after="0"/>
              <w:jc w:val="both"/>
              <w:rPr>
                <w:bCs/>
              </w:rPr>
            </w:pPr>
            <w:r>
              <w:rPr>
                <w:bCs/>
              </w:rPr>
              <w:t>Ārstiem un 29% no VDS māsām (Ziņojuma kopsavilkums, 11.lpp);</w:t>
            </w:r>
          </w:p>
          <w:p w14:paraId="0A29DFD5" w14:textId="5F4E336C" w:rsidR="00353D42" w:rsidRPr="00353D42" w:rsidRDefault="00353D42" w:rsidP="00F914BE">
            <w:pPr>
              <w:pStyle w:val="naisc"/>
              <w:spacing w:before="0" w:after="0"/>
              <w:jc w:val="both"/>
              <w:rPr>
                <w:bCs/>
              </w:rPr>
            </w:pPr>
            <w:r>
              <w:rPr>
                <w:bCs/>
              </w:rPr>
              <w:t>2.darbiniekiem lielākoties ir zināms un saprotams MK noteikumos Nr.851 “Noteikumi par zemāko mēnešalgu un speciālo piemaksu veselības aprūpes jomā nodarbinātajiem (10.12.2019) paredzēto piemaksu apmērs un pamatojums (Ziņojums, 22.lpp.)</w:t>
            </w:r>
            <w:r w:rsidR="000759E8">
              <w:rPr>
                <w:bCs/>
              </w:rPr>
              <w:t>.</w:t>
            </w:r>
          </w:p>
        </w:tc>
        <w:tc>
          <w:tcPr>
            <w:tcW w:w="4111" w:type="dxa"/>
            <w:gridSpan w:val="2"/>
            <w:tcBorders>
              <w:top w:val="single" w:sz="6" w:space="0" w:color="000000"/>
              <w:left w:val="single" w:sz="6" w:space="0" w:color="000000"/>
              <w:bottom w:val="single" w:sz="6" w:space="0" w:color="000000"/>
              <w:right w:val="single" w:sz="6" w:space="0" w:color="000000"/>
            </w:tcBorders>
          </w:tcPr>
          <w:p w14:paraId="575DE80B" w14:textId="77777777" w:rsidR="000759E8" w:rsidRDefault="000759E8" w:rsidP="00F914BE">
            <w:pPr>
              <w:pStyle w:val="naisc"/>
              <w:spacing w:before="0" w:after="0"/>
              <w:rPr>
                <w:b/>
                <w:bCs/>
              </w:rPr>
            </w:pPr>
            <w:r w:rsidRPr="00692403">
              <w:rPr>
                <w:b/>
                <w:bCs/>
              </w:rPr>
              <w:t>Ņemts vērā</w:t>
            </w:r>
          </w:p>
          <w:p w14:paraId="489BDCBD" w14:textId="77777777" w:rsidR="000759E8" w:rsidRDefault="000759E8" w:rsidP="00F914BE">
            <w:pPr>
              <w:pStyle w:val="naisc"/>
              <w:spacing w:before="0" w:after="0"/>
              <w:jc w:val="both"/>
            </w:pPr>
            <w:r>
              <w:t>Iebildums pēc būtības nepiedāvā veikt izmaiņas atalgojuma modelī.</w:t>
            </w:r>
          </w:p>
          <w:p w14:paraId="5014D964" w14:textId="77777777" w:rsidR="00353D42" w:rsidRDefault="00353D42" w:rsidP="00F914BE">
            <w:pPr>
              <w:pStyle w:val="naisc"/>
              <w:spacing w:before="0" w:after="0"/>
              <w:jc w:val="both"/>
              <w:rPr>
                <w:b/>
                <w:bCs/>
              </w:rPr>
            </w:pPr>
          </w:p>
          <w:p w14:paraId="60781181" w14:textId="053D0E69" w:rsidR="000759E8" w:rsidRDefault="000759E8" w:rsidP="00F914BE">
            <w:pPr>
              <w:pStyle w:val="naisc"/>
              <w:spacing w:before="0" w:after="0"/>
              <w:jc w:val="both"/>
              <w:rPr>
                <w:rFonts w:cstheme="minorHAnsi"/>
                <w:u w:val="single"/>
              </w:rPr>
            </w:pPr>
            <w:r>
              <w:rPr>
                <w:rFonts w:cstheme="minorHAnsi"/>
              </w:rPr>
              <w:t xml:space="preserve">Ziņojuma kopsavilkuma sadaļa “Identificētās problēmas” ir </w:t>
            </w:r>
            <w:r w:rsidR="00665A43">
              <w:rPr>
                <w:rFonts w:cstheme="minorHAnsi"/>
                <w:u w:val="single"/>
              </w:rPr>
              <w:t>domnīcas</w:t>
            </w:r>
            <w:r w:rsidRPr="00DA7817">
              <w:rPr>
                <w:rFonts w:cstheme="minorHAnsi"/>
                <w:u w:val="single"/>
              </w:rPr>
              <w:t xml:space="preserve"> ekspertu izvirzītās problēmas esošajā atalgojumu sistēmā</w:t>
            </w:r>
            <w:r>
              <w:rPr>
                <w:rFonts w:cstheme="minorHAnsi"/>
                <w:u w:val="single"/>
              </w:rPr>
              <w:t>.</w:t>
            </w:r>
          </w:p>
          <w:p w14:paraId="30747A79" w14:textId="5C4A6D3C" w:rsidR="000759E8" w:rsidRDefault="000759E8" w:rsidP="00F914BE">
            <w:pPr>
              <w:pStyle w:val="naisc"/>
              <w:spacing w:before="0" w:after="0"/>
              <w:jc w:val="both"/>
              <w:rPr>
                <w:rFonts w:cstheme="minorHAnsi"/>
              </w:rPr>
            </w:pPr>
            <w:r>
              <w:rPr>
                <w:rFonts w:cstheme="minorHAnsi"/>
              </w:rPr>
              <w:t xml:space="preserve">Lai arī 2005.gada </w:t>
            </w:r>
            <w:r>
              <w:rPr>
                <w:bCs/>
              </w:rPr>
              <w:t>ziņojums Par pamatnostādnēm “Cilvēkresursu attīstība veselības aprūpē”</w:t>
            </w:r>
            <w:r>
              <w:rPr>
                <w:rFonts w:cstheme="minorHAnsi"/>
              </w:rPr>
              <w:t xml:space="preserve"> nosaka vēlamo proporciju starp </w:t>
            </w:r>
            <w:r w:rsidR="00E11E49">
              <w:rPr>
                <w:rFonts w:cstheme="minorHAnsi"/>
              </w:rPr>
              <w:t>mēnešalgu</w:t>
            </w:r>
            <w:r>
              <w:rPr>
                <w:rFonts w:cstheme="minorHAnsi"/>
              </w:rPr>
              <w:t xml:space="preserve"> un piemaksām, kā redzams praksē šis šobrīd nedarbojas, ja māsu vidējais atalgojums vēl iekļaujas norādītajā proporcijā, tad ārst</w:t>
            </w:r>
            <w:r w:rsidR="00E11E49">
              <w:rPr>
                <w:rFonts w:cstheme="minorHAnsi"/>
              </w:rPr>
              <w:t>iem piemaksu daļa ir lielāka kā norādītie 30% no</w:t>
            </w:r>
            <w:r>
              <w:rPr>
                <w:rFonts w:cstheme="minorHAnsi"/>
              </w:rPr>
              <w:t xml:space="preserve"> v</w:t>
            </w:r>
            <w:r w:rsidR="00E11E49">
              <w:rPr>
                <w:rFonts w:cstheme="minorHAnsi"/>
              </w:rPr>
              <w:t xml:space="preserve">idējā atalgojuma. Kā arī jānorāda, ka pēc NVD 2019.gada </w:t>
            </w:r>
            <w:r w:rsidR="00E11E49">
              <w:rPr>
                <w:rFonts w:cstheme="minorHAnsi"/>
              </w:rPr>
              <w:lastRenderedPageBreak/>
              <w:t xml:space="preserve">atskaitēm ņemtais ārstu piemaksu apjoms 38% no vidējā atalgojuma ir vidējais uz visiem, kā prakse rāda un arī </w:t>
            </w:r>
            <w:r w:rsidR="00913EEF">
              <w:rPr>
                <w:rFonts w:cstheme="minorHAnsi"/>
              </w:rPr>
              <w:t xml:space="preserve">pēc </w:t>
            </w:r>
            <w:r w:rsidR="00E11E49">
              <w:rPr>
                <w:rFonts w:cstheme="minorHAnsi"/>
              </w:rPr>
              <w:t>domnīcas ekspert</w:t>
            </w:r>
            <w:r w:rsidR="00913EEF">
              <w:rPr>
                <w:rFonts w:cstheme="minorHAnsi"/>
              </w:rPr>
              <w:t>u</w:t>
            </w:r>
            <w:r w:rsidR="00E11E49">
              <w:rPr>
                <w:rFonts w:cstheme="minorHAnsi"/>
              </w:rPr>
              <w:t xml:space="preserve"> atzinuma, daļai ārstu šis piemaksu apjoms var pārsniegt vairākas reizes mēnešalgu. </w:t>
            </w:r>
          </w:p>
          <w:p w14:paraId="267C394F" w14:textId="6B55C1C1" w:rsidR="00E11E49" w:rsidRDefault="00E11E49" w:rsidP="00F914BE">
            <w:pPr>
              <w:pStyle w:val="naisc"/>
              <w:spacing w:before="0" w:after="0"/>
              <w:jc w:val="both"/>
              <w:rPr>
                <w:rFonts w:cstheme="minorHAnsi"/>
              </w:rPr>
            </w:pPr>
            <w:r>
              <w:rPr>
                <w:rFonts w:cstheme="minorHAnsi"/>
              </w:rPr>
              <w:t xml:space="preserve">Līdz ar to viens no jaunā atalgojuma modeļa uzdevumiem ir risināt šo problēmu, pārvirzot daļu no piemaksu objektiem uz </w:t>
            </w:r>
            <w:r w:rsidR="00F129A2">
              <w:rPr>
                <w:rFonts w:cstheme="minorHAnsi"/>
              </w:rPr>
              <w:t>p</w:t>
            </w:r>
            <w:r>
              <w:rPr>
                <w:rFonts w:cstheme="minorHAnsi"/>
              </w:rPr>
              <w:t>amatalgu.</w:t>
            </w:r>
          </w:p>
          <w:p w14:paraId="037CB2B8" w14:textId="115FC21B" w:rsidR="00E11E49" w:rsidRPr="000759E8" w:rsidRDefault="00E11E49" w:rsidP="00F914BE">
            <w:pPr>
              <w:pStyle w:val="naisc"/>
              <w:spacing w:before="0" w:after="0"/>
              <w:jc w:val="both"/>
              <w:rPr>
                <w:b/>
                <w:bCs/>
              </w:rPr>
            </w:pPr>
            <w:r>
              <w:rPr>
                <w:rFonts w:cstheme="minorHAnsi"/>
              </w:rPr>
              <w:t xml:space="preserve">Kā arī atkārtoti </w:t>
            </w:r>
            <w:r w:rsidR="00913EEF">
              <w:rPr>
                <w:rFonts w:cstheme="minorHAnsi"/>
              </w:rPr>
              <w:t xml:space="preserve">tika </w:t>
            </w:r>
            <w:r>
              <w:rPr>
                <w:rFonts w:cstheme="minorHAnsi"/>
              </w:rPr>
              <w:t>izvirzīti nosacījumi atalgojuma mainīgās daļas proporcijai</w:t>
            </w:r>
            <w:r w:rsidR="00CA5B7A">
              <w:rPr>
                <w:rFonts w:cstheme="minorHAnsi"/>
              </w:rPr>
              <w:t>, kas nav pretrunā ar LVSADA minēto dokumentu, kā arī piedāvāti problēmas risinājumi.</w:t>
            </w:r>
          </w:p>
        </w:tc>
        <w:tc>
          <w:tcPr>
            <w:tcW w:w="2410" w:type="dxa"/>
            <w:gridSpan w:val="2"/>
            <w:tcBorders>
              <w:top w:val="single" w:sz="4" w:space="0" w:color="auto"/>
              <w:left w:val="single" w:sz="4" w:space="0" w:color="auto"/>
              <w:bottom w:val="single" w:sz="4" w:space="0" w:color="auto"/>
            </w:tcBorders>
          </w:tcPr>
          <w:p w14:paraId="61E0E321" w14:textId="77777777" w:rsidR="00353D42" w:rsidRPr="00086103" w:rsidRDefault="00353D42" w:rsidP="00F914BE">
            <w:pPr>
              <w:pStyle w:val="Standard"/>
              <w:jc w:val="both"/>
              <w:rPr>
                <w:rFonts w:ascii="Times New Roman" w:hAnsi="Times New Roman"/>
                <w:i/>
                <w:iCs/>
              </w:rPr>
            </w:pPr>
          </w:p>
        </w:tc>
      </w:tr>
      <w:tr w:rsidR="00353D42" w:rsidRPr="003B71E0" w14:paraId="7BC64FAA" w14:textId="77777777" w:rsidTr="00374742">
        <w:tc>
          <w:tcPr>
            <w:tcW w:w="534" w:type="dxa"/>
            <w:tcBorders>
              <w:top w:val="single" w:sz="6" w:space="0" w:color="000000"/>
              <w:left w:val="single" w:sz="6" w:space="0" w:color="000000"/>
              <w:bottom w:val="single" w:sz="6" w:space="0" w:color="000000"/>
              <w:right w:val="single" w:sz="6" w:space="0" w:color="000000"/>
            </w:tcBorders>
          </w:tcPr>
          <w:p w14:paraId="57A2FA80" w14:textId="1F3B511F" w:rsidR="00353D42" w:rsidRDefault="00727EC5" w:rsidP="00F914BE">
            <w:pPr>
              <w:pStyle w:val="naisc"/>
              <w:spacing w:before="0" w:after="0"/>
              <w:rPr>
                <w:sz w:val="20"/>
                <w:szCs w:val="20"/>
              </w:rPr>
            </w:pPr>
            <w:r>
              <w:rPr>
                <w:sz w:val="20"/>
                <w:szCs w:val="20"/>
              </w:rPr>
              <w:t>1</w:t>
            </w:r>
            <w:r w:rsidR="0048635D">
              <w:rPr>
                <w:sz w:val="20"/>
                <w:szCs w:val="20"/>
              </w:rPr>
              <w:t>9</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2270D984" w14:textId="6C330C23" w:rsidR="00353D42" w:rsidRPr="00FF218E" w:rsidRDefault="00CA5B7A" w:rsidP="00F914BE">
            <w:pPr>
              <w:pStyle w:val="naisc"/>
              <w:spacing w:before="0" w:after="0"/>
              <w:jc w:val="both"/>
              <w:rPr>
                <w:sz w:val="20"/>
                <w:szCs w:val="20"/>
              </w:rPr>
            </w:pPr>
            <w:r>
              <w:t xml:space="preserve">Ziņojuma kopsavilkuma sadaļā “Identificētās problēmas”: </w:t>
            </w:r>
            <w:r w:rsidRPr="002C5D80">
              <w:rPr>
                <w:i/>
                <w:iCs/>
              </w:rPr>
              <w:t xml:space="preserve">“.. </w:t>
            </w:r>
            <w:r>
              <w:rPr>
                <w:i/>
                <w:iCs/>
              </w:rPr>
              <w:t>nav skaidrības par personu kvalifikācijas, darba apjoma un darba kvalitātes saistību ar atalgojumu</w:t>
            </w:r>
            <w:r w:rsidRPr="002C5D80">
              <w:rPr>
                <w:i/>
                <w:iCs/>
              </w:rPr>
              <w:t>.</w:t>
            </w:r>
            <w:r>
              <w:t>.”</w:t>
            </w:r>
          </w:p>
        </w:tc>
        <w:tc>
          <w:tcPr>
            <w:tcW w:w="5670" w:type="dxa"/>
            <w:tcBorders>
              <w:top w:val="single" w:sz="6" w:space="0" w:color="000000"/>
              <w:left w:val="single" w:sz="6" w:space="0" w:color="000000"/>
              <w:bottom w:val="single" w:sz="6" w:space="0" w:color="000000"/>
              <w:right w:val="single" w:sz="6" w:space="0" w:color="000000"/>
            </w:tcBorders>
          </w:tcPr>
          <w:p w14:paraId="27876E70" w14:textId="6DF2F8F6" w:rsidR="00CA5B7A" w:rsidRPr="00CA5B7A" w:rsidRDefault="00CA5B7A" w:rsidP="00F914BE">
            <w:pPr>
              <w:pStyle w:val="naisc"/>
              <w:spacing w:before="0" w:after="0"/>
              <w:rPr>
                <w:b/>
                <w:u w:val="single"/>
              </w:rPr>
            </w:pPr>
            <w:r>
              <w:rPr>
                <w:b/>
                <w:u w:val="single"/>
              </w:rPr>
              <w:t>Latvijas Veselības un sociālās aprūpes darbinieku arodbiedrība</w:t>
            </w:r>
          </w:p>
          <w:p w14:paraId="4390CE57" w14:textId="13F7F69F" w:rsidR="00CA5B7A" w:rsidRDefault="00CA5B7A" w:rsidP="00F914BE">
            <w:pPr>
              <w:pStyle w:val="naisc"/>
              <w:spacing w:before="0" w:after="0"/>
              <w:jc w:val="both"/>
              <w:rPr>
                <w:bCs/>
              </w:rPr>
            </w:pPr>
            <w:r>
              <w:rPr>
                <w:bCs/>
              </w:rPr>
              <w:t>Apgalvojums</w:t>
            </w:r>
            <w:r w:rsidRPr="002C5D80">
              <w:rPr>
                <w:i/>
                <w:iCs/>
              </w:rPr>
              <w:t xml:space="preserve"> </w:t>
            </w:r>
            <w:r>
              <w:rPr>
                <w:i/>
                <w:iCs/>
              </w:rPr>
              <w:t>nav skaidrības par personu kvalifikācijas, darba apjoma un darba kvalitātes saistību ar atalgojumu</w:t>
            </w:r>
            <w:r>
              <w:rPr>
                <w:bCs/>
              </w:rPr>
              <w:t xml:space="preserve"> nav patiess, jo:</w:t>
            </w:r>
          </w:p>
          <w:p w14:paraId="26CB1B77" w14:textId="77777777" w:rsidR="00353D42" w:rsidRDefault="00CA5B7A" w:rsidP="00F914BE">
            <w:pPr>
              <w:pStyle w:val="naisc"/>
              <w:spacing w:before="0" w:after="0"/>
              <w:jc w:val="both"/>
              <w:rPr>
                <w:bCs/>
              </w:rPr>
            </w:pPr>
            <w:r>
              <w:rPr>
                <w:bCs/>
              </w:rPr>
              <w:t>1.MK noteikumu Nr.851 Noteikumi par zemāko mēnešalgu un speciālo piemaksu veselības aprūpes jomā nodarbinātajiem (10.12.2019) ir noteiktas zemākās mēnešalgas likmes sešās amatu kvalifikācijas kategorijās (1.kategorijai – 1 187 euro, 6.kategorijai – 576 euro);</w:t>
            </w:r>
          </w:p>
          <w:p w14:paraId="5E556EB3" w14:textId="33B7A19D" w:rsidR="00CA5B7A" w:rsidRPr="00CA5B7A" w:rsidRDefault="00CA5B7A" w:rsidP="00F914BE">
            <w:pPr>
              <w:pStyle w:val="naisc"/>
              <w:spacing w:before="0" w:after="0"/>
              <w:jc w:val="both"/>
              <w:rPr>
                <w:bCs/>
              </w:rPr>
            </w:pPr>
            <w:r>
              <w:rPr>
                <w:bCs/>
              </w:rPr>
              <w:t>2.tajos pašos MK noteikumos ir noteikta speciālā piemaksa, ko nosaka atbilstoši darba stāžam, izglītības līmenim, akadēmiskajam vai zinātniskajam grādam un</w:t>
            </w:r>
            <w:r w:rsidR="00665A43">
              <w:rPr>
                <w:bCs/>
              </w:rPr>
              <w:t xml:space="preserve"> darba vērtējumam; piemaksa var sasniegt 15% no personai noteiktās mēnešalgas.</w:t>
            </w:r>
          </w:p>
        </w:tc>
        <w:tc>
          <w:tcPr>
            <w:tcW w:w="4111" w:type="dxa"/>
            <w:gridSpan w:val="2"/>
            <w:tcBorders>
              <w:top w:val="single" w:sz="6" w:space="0" w:color="000000"/>
              <w:left w:val="single" w:sz="6" w:space="0" w:color="000000"/>
              <w:bottom w:val="single" w:sz="6" w:space="0" w:color="000000"/>
              <w:right w:val="single" w:sz="6" w:space="0" w:color="000000"/>
            </w:tcBorders>
          </w:tcPr>
          <w:p w14:paraId="410F6536" w14:textId="77777777" w:rsidR="00665A43" w:rsidRDefault="00665A43" w:rsidP="00F914BE">
            <w:pPr>
              <w:pStyle w:val="naisc"/>
              <w:spacing w:before="0" w:after="0"/>
              <w:rPr>
                <w:b/>
                <w:bCs/>
              </w:rPr>
            </w:pPr>
            <w:r w:rsidRPr="00692403">
              <w:rPr>
                <w:b/>
                <w:bCs/>
              </w:rPr>
              <w:t>Ņemts vērā</w:t>
            </w:r>
          </w:p>
          <w:p w14:paraId="06AAB232" w14:textId="77777777" w:rsidR="00665A43" w:rsidRDefault="00665A43" w:rsidP="00F914BE">
            <w:pPr>
              <w:pStyle w:val="naisc"/>
              <w:spacing w:before="0" w:after="0"/>
              <w:jc w:val="both"/>
            </w:pPr>
            <w:r>
              <w:t>Iebildums pēc būtības nepiedāvā veikt izmaiņas atalgojuma modelī.</w:t>
            </w:r>
          </w:p>
          <w:p w14:paraId="5D82D904" w14:textId="77777777" w:rsidR="00665A43" w:rsidRDefault="00665A43" w:rsidP="00F914BE">
            <w:pPr>
              <w:pStyle w:val="naisc"/>
              <w:spacing w:before="0" w:after="0"/>
              <w:jc w:val="both"/>
              <w:rPr>
                <w:b/>
                <w:bCs/>
              </w:rPr>
            </w:pPr>
          </w:p>
          <w:p w14:paraId="7FCC58C6" w14:textId="723E0C49" w:rsidR="00665A43" w:rsidRDefault="00665A43" w:rsidP="00F914BE">
            <w:pPr>
              <w:pStyle w:val="naisc"/>
              <w:spacing w:before="0" w:after="0"/>
              <w:jc w:val="both"/>
              <w:rPr>
                <w:rFonts w:cstheme="minorHAnsi"/>
                <w:u w:val="single"/>
              </w:rPr>
            </w:pPr>
            <w:r>
              <w:rPr>
                <w:rFonts w:cstheme="minorHAnsi"/>
              </w:rPr>
              <w:t xml:space="preserve">Ziņojuma kopsavilkuma sadaļa “Identificētās problēmas” ir </w:t>
            </w:r>
            <w:r>
              <w:rPr>
                <w:rFonts w:cstheme="minorHAnsi"/>
                <w:u w:val="single"/>
              </w:rPr>
              <w:t>domnīcas</w:t>
            </w:r>
            <w:r w:rsidRPr="00DA7817">
              <w:rPr>
                <w:rFonts w:cstheme="minorHAnsi"/>
                <w:u w:val="single"/>
              </w:rPr>
              <w:t xml:space="preserve"> ekspertu izvirzītās problēmas esošajā atalgojumu sistēmā</w:t>
            </w:r>
            <w:r>
              <w:rPr>
                <w:rFonts w:cstheme="minorHAnsi"/>
                <w:u w:val="single"/>
              </w:rPr>
              <w:t>.</w:t>
            </w:r>
          </w:p>
          <w:p w14:paraId="0E84A963" w14:textId="11C04A81" w:rsidR="00353D42" w:rsidRDefault="00665A43" w:rsidP="00F914BE">
            <w:pPr>
              <w:jc w:val="both"/>
              <w:rPr>
                <w:b/>
                <w:bCs/>
              </w:rPr>
            </w:pPr>
            <w:r>
              <w:t>Domnīcas eksperti nesaskatīja caurspīdīgu un taisnīgu atalgojuma sasaisti ar darba apjomu un kvalifikāciju.</w:t>
            </w:r>
            <w:r w:rsidRPr="00236303">
              <w:t xml:space="preserve"> </w:t>
            </w:r>
            <w:r>
              <w:t xml:space="preserve">Domnīcas dalībnieku viedoklis un identificētās problēmas pamatojums atspoguļojas Ziņojuma 21. lpp., 2.p. Kā minēts ziņojumā, LVSADA nosauktās obligātās piemaksas sastāda tikai 14-17% no kopējā atalgojuma (Ziņojuma 68.lpp.). Kā arī vidējais ārstniecības personu atalgojums pēc NVD atskaitēm ir daudz augstāks kā MK noteikumos </w:t>
            </w:r>
            <w:r>
              <w:lastRenderedPageBreak/>
              <w:t xml:space="preserve">noteiktās zemākās mēnešalgas likmes, līdz ar to faktisko darbinieka atalgojumu nosaka iestādes vadība un daļa darbinieku to uzskata par </w:t>
            </w:r>
            <w:r w:rsidRPr="0013059C">
              <w:rPr>
                <w:color w:val="20140F"/>
              </w:rPr>
              <w:t>netaisnīg</w:t>
            </w:r>
            <w:r>
              <w:rPr>
                <w:color w:val="20140F"/>
              </w:rPr>
              <w:t>u</w:t>
            </w:r>
            <w:r w:rsidRPr="0013059C">
              <w:rPr>
                <w:color w:val="20140F"/>
              </w:rPr>
              <w:t xml:space="preserve"> un demotivējoš</w:t>
            </w:r>
            <w:r>
              <w:rPr>
                <w:color w:val="20140F"/>
              </w:rPr>
              <w:t>u</w:t>
            </w:r>
            <w:r w:rsidRPr="0013059C">
              <w:rPr>
                <w:color w:val="20140F"/>
              </w:rPr>
              <w:t xml:space="preserve"> atalgojuma sistēmu</w:t>
            </w:r>
            <w:r>
              <w:rPr>
                <w:color w:val="20140F"/>
              </w:rPr>
              <w:t>.</w:t>
            </w:r>
          </w:p>
        </w:tc>
        <w:tc>
          <w:tcPr>
            <w:tcW w:w="2410" w:type="dxa"/>
            <w:gridSpan w:val="2"/>
            <w:tcBorders>
              <w:top w:val="single" w:sz="4" w:space="0" w:color="auto"/>
              <w:left w:val="single" w:sz="4" w:space="0" w:color="auto"/>
              <w:bottom w:val="single" w:sz="4" w:space="0" w:color="auto"/>
            </w:tcBorders>
          </w:tcPr>
          <w:p w14:paraId="12630512" w14:textId="77777777" w:rsidR="00353D42" w:rsidRPr="00086103" w:rsidRDefault="00353D42" w:rsidP="00F914BE">
            <w:pPr>
              <w:pStyle w:val="Standard"/>
              <w:jc w:val="both"/>
              <w:rPr>
                <w:rFonts w:ascii="Times New Roman" w:hAnsi="Times New Roman"/>
                <w:i/>
                <w:iCs/>
              </w:rPr>
            </w:pPr>
          </w:p>
        </w:tc>
      </w:tr>
      <w:tr w:rsidR="00353D42" w:rsidRPr="003B71E0" w14:paraId="06B26E42"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1EB1B95" w14:textId="3C4BC5CA" w:rsidR="00353D42" w:rsidRDefault="0048635D" w:rsidP="00F914BE">
            <w:pPr>
              <w:pStyle w:val="naisc"/>
              <w:spacing w:before="0" w:after="0"/>
              <w:rPr>
                <w:sz w:val="20"/>
                <w:szCs w:val="20"/>
              </w:rPr>
            </w:pPr>
            <w:r>
              <w:rPr>
                <w:sz w:val="20"/>
                <w:szCs w:val="20"/>
              </w:rPr>
              <w:t>20</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338DC91E" w14:textId="0052959D" w:rsidR="00353D42" w:rsidRPr="00FF218E" w:rsidRDefault="00665A43" w:rsidP="00F914BE">
            <w:pPr>
              <w:pStyle w:val="naisc"/>
              <w:spacing w:before="0" w:after="0"/>
              <w:jc w:val="both"/>
              <w:rPr>
                <w:sz w:val="20"/>
                <w:szCs w:val="20"/>
              </w:rPr>
            </w:pPr>
            <w:r>
              <w:t xml:space="preserve">Ziņojuma kopsavilkuma sadaļā “Identificētās problēmas”: </w:t>
            </w:r>
            <w:r w:rsidRPr="002C5D80">
              <w:rPr>
                <w:i/>
                <w:iCs/>
              </w:rPr>
              <w:t xml:space="preserve">“.. </w:t>
            </w:r>
            <w:r>
              <w:rPr>
                <w:i/>
                <w:iCs/>
              </w:rPr>
              <w:t>trūkst skaidru, vienotu kritēriju algu fonda un ārstniecības nozares un finansējuma sadalei; sistēma nav caurskatāma ne lietotājam, ne finansējuma piešķīrējam</w:t>
            </w:r>
            <w:r w:rsidRPr="002C5D80">
              <w:rPr>
                <w:i/>
                <w:iCs/>
              </w:rPr>
              <w:t>.</w:t>
            </w:r>
            <w:r>
              <w:t>.”</w:t>
            </w:r>
          </w:p>
        </w:tc>
        <w:tc>
          <w:tcPr>
            <w:tcW w:w="5670" w:type="dxa"/>
            <w:tcBorders>
              <w:top w:val="single" w:sz="6" w:space="0" w:color="000000"/>
              <w:left w:val="single" w:sz="6" w:space="0" w:color="000000"/>
              <w:bottom w:val="single" w:sz="6" w:space="0" w:color="000000"/>
              <w:right w:val="single" w:sz="6" w:space="0" w:color="000000"/>
            </w:tcBorders>
          </w:tcPr>
          <w:p w14:paraId="6F3004C8" w14:textId="77777777" w:rsidR="00B51094" w:rsidRPr="00CA5B7A" w:rsidRDefault="00B51094" w:rsidP="00F914BE">
            <w:pPr>
              <w:pStyle w:val="naisc"/>
              <w:spacing w:before="0" w:after="0"/>
              <w:rPr>
                <w:b/>
                <w:u w:val="single"/>
              </w:rPr>
            </w:pPr>
            <w:r>
              <w:rPr>
                <w:b/>
                <w:u w:val="single"/>
              </w:rPr>
              <w:t>Latvijas Veselības un sociālās aprūpes darbinieku arodbiedrība</w:t>
            </w:r>
          </w:p>
          <w:p w14:paraId="2034697D" w14:textId="7B7420D1" w:rsidR="00B51094" w:rsidRDefault="00B51094" w:rsidP="00F914BE">
            <w:pPr>
              <w:pStyle w:val="naisc"/>
              <w:spacing w:before="0" w:after="0"/>
              <w:jc w:val="both"/>
              <w:rPr>
                <w:bCs/>
              </w:rPr>
            </w:pPr>
            <w:r>
              <w:rPr>
                <w:bCs/>
              </w:rPr>
              <w:t>Apgalvojums</w:t>
            </w:r>
            <w:r w:rsidRPr="002C5D80">
              <w:rPr>
                <w:i/>
                <w:iCs/>
              </w:rPr>
              <w:t xml:space="preserve"> </w:t>
            </w:r>
            <w:r>
              <w:rPr>
                <w:i/>
                <w:iCs/>
              </w:rPr>
              <w:t xml:space="preserve">trūkst skaidru, vienotu kritēriju algu fonda un ārstniecības nozares un finansējuma sadalei; sistēma nav caurskatāma ne lietotājam, ne finansējuma piešķīrējam </w:t>
            </w:r>
            <w:r>
              <w:t>ir daļēji patiess</w:t>
            </w:r>
            <w:r>
              <w:rPr>
                <w:bCs/>
              </w:rPr>
              <w:t>, jo:</w:t>
            </w:r>
          </w:p>
          <w:p w14:paraId="108DE90D" w14:textId="77777777" w:rsidR="00353D42" w:rsidRDefault="00B51094" w:rsidP="00F914BE">
            <w:pPr>
              <w:pStyle w:val="naisc"/>
              <w:spacing w:before="0" w:after="0"/>
              <w:jc w:val="both"/>
              <w:rPr>
                <w:bCs/>
              </w:rPr>
            </w:pPr>
            <w:r>
              <w:rPr>
                <w:bCs/>
              </w:rPr>
              <w:t>1.kritēriji ārstniecības nozares finansējuma sadalei ir atkarīgi no VM politikas nostādnēm un nav attiecināmi uz darba samaksas sistēmas struktūru;</w:t>
            </w:r>
          </w:p>
          <w:p w14:paraId="3C853342" w14:textId="77777777" w:rsidR="00B51094" w:rsidRDefault="00B51094" w:rsidP="00F914BE">
            <w:pPr>
              <w:pStyle w:val="naisc"/>
              <w:spacing w:before="0" w:after="0"/>
              <w:jc w:val="both"/>
              <w:rPr>
                <w:bCs/>
              </w:rPr>
            </w:pPr>
            <w:r>
              <w:rPr>
                <w:bCs/>
              </w:rPr>
              <w:t>2.jau tagad ir iespējams izsekot katra darbinieka ienākumiem visās viņa darba vietās (Ziņojums, 41.lpp-42.lpp.);</w:t>
            </w:r>
          </w:p>
          <w:p w14:paraId="61696142" w14:textId="1E51C8E6" w:rsidR="00B51094" w:rsidRPr="00B51094" w:rsidRDefault="00B51094" w:rsidP="00F914BE">
            <w:pPr>
              <w:pStyle w:val="naisc"/>
              <w:spacing w:before="0" w:after="0"/>
              <w:jc w:val="both"/>
              <w:rPr>
                <w:bCs/>
              </w:rPr>
            </w:pPr>
            <w:r>
              <w:rPr>
                <w:bCs/>
              </w:rPr>
              <w:t>3.MK noteikumi Nr.555 Veselības aprūpes pakalpojumu organizēšanas un samaksas kārtība nosaka VDS mēnesī ārstniecības personām atbilstoši amata kvalifikācijas grupām.</w:t>
            </w:r>
          </w:p>
        </w:tc>
        <w:tc>
          <w:tcPr>
            <w:tcW w:w="4111" w:type="dxa"/>
            <w:gridSpan w:val="2"/>
            <w:tcBorders>
              <w:top w:val="single" w:sz="6" w:space="0" w:color="000000"/>
              <w:left w:val="single" w:sz="6" w:space="0" w:color="000000"/>
              <w:bottom w:val="single" w:sz="6" w:space="0" w:color="000000"/>
              <w:right w:val="single" w:sz="6" w:space="0" w:color="000000"/>
            </w:tcBorders>
          </w:tcPr>
          <w:p w14:paraId="5D65AFBF" w14:textId="77777777" w:rsidR="00B51094" w:rsidRDefault="00B51094" w:rsidP="00F914BE">
            <w:pPr>
              <w:pStyle w:val="naisc"/>
              <w:spacing w:before="0" w:after="0"/>
              <w:rPr>
                <w:b/>
                <w:bCs/>
              </w:rPr>
            </w:pPr>
            <w:r w:rsidRPr="00692403">
              <w:rPr>
                <w:b/>
                <w:bCs/>
              </w:rPr>
              <w:t>Ņemts vērā</w:t>
            </w:r>
          </w:p>
          <w:p w14:paraId="2114100D" w14:textId="77777777" w:rsidR="00B51094" w:rsidRDefault="00B51094" w:rsidP="00F914BE">
            <w:pPr>
              <w:pStyle w:val="naisc"/>
              <w:spacing w:before="0" w:after="0"/>
              <w:jc w:val="both"/>
            </w:pPr>
            <w:r>
              <w:t>Iebildums pēc būtības nepiedāvā veikt izmaiņas atalgojuma modelī.</w:t>
            </w:r>
          </w:p>
          <w:p w14:paraId="19B87826" w14:textId="77777777" w:rsidR="00B51094" w:rsidRDefault="00B51094" w:rsidP="00F914BE">
            <w:pPr>
              <w:pStyle w:val="naisc"/>
              <w:spacing w:before="0" w:after="0"/>
              <w:jc w:val="both"/>
              <w:rPr>
                <w:b/>
                <w:bCs/>
              </w:rPr>
            </w:pPr>
          </w:p>
          <w:p w14:paraId="54E610D6" w14:textId="77777777" w:rsidR="00B51094" w:rsidRDefault="00B51094" w:rsidP="00F914BE">
            <w:pPr>
              <w:pStyle w:val="naisc"/>
              <w:spacing w:before="0" w:after="0"/>
              <w:jc w:val="both"/>
              <w:rPr>
                <w:rFonts w:cstheme="minorHAnsi"/>
                <w:u w:val="single"/>
              </w:rPr>
            </w:pPr>
            <w:r>
              <w:rPr>
                <w:rFonts w:cstheme="minorHAnsi"/>
              </w:rPr>
              <w:t xml:space="preserve">Ziņojuma kopsavilkuma sadaļa “Identificētās problēmas” ir </w:t>
            </w:r>
            <w:r>
              <w:rPr>
                <w:rFonts w:cstheme="minorHAnsi"/>
                <w:u w:val="single"/>
              </w:rPr>
              <w:t>domnīcas</w:t>
            </w:r>
            <w:r w:rsidRPr="00DA7817">
              <w:rPr>
                <w:rFonts w:cstheme="minorHAnsi"/>
                <w:u w:val="single"/>
              </w:rPr>
              <w:t xml:space="preserve"> ekspertu izvirzītās problēmas esošajā atalgojumu sistēmā</w:t>
            </w:r>
            <w:r>
              <w:rPr>
                <w:rFonts w:cstheme="minorHAnsi"/>
                <w:u w:val="single"/>
              </w:rPr>
              <w:t>.</w:t>
            </w:r>
          </w:p>
          <w:p w14:paraId="22C51E42" w14:textId="5FC57F2B" w:rsidR="00353D42" w:rsidRPr="00B51094" w:rsidRDefault="00B51094" w:rsidP="00F914BE">
            <w:pPr>
              <w:pStyle w:val="naisc"/>
              <w:spacing w:before="0" w:after="0"/>
              <w:jc w:val="both"/>
            </w:pPr>
            <w:r>
              <w:rPr>
                <w:bCs/>
              </w:rPr>
              <w:t xml:space="preserve">Kā jau LVSADA minēja ārstniecības nozares finansējuma sadale ir atkarīgi no Veselības ministrijas politikas nostādnēm, līdz ar to </w:t>
            </w:r>
            <w:r w:rsidR="00823DC6">
              <w:rPr>
                <w:bCs/>
              </w:rPr>
              <w:t xml:space="preserve">lai uzlabotu atalgojuma sistēmu un tās finansēšanu, Veselības ministrija </w:t>
            </w:r>
            <w:r w:rsidR="004E7D76">
              <w:rPr>
                <w:bCs/>
              </w:rPr>
              <w:t>kā uzdevumu ir uzlikusi finansējuma sadales pārskatīšanu un vajadzības gadījumā tās uzlabošanu.</w:t>
            </w:r>
          </w:p>
        </w:tc>
        <w:tc>
          <w:tcPr>
            <w:tcW w:w="2410" w:type="dxa"/>
            <w:gridSpan w:val="2"/>
            <w:tcBorders>
              <w:top w:val="single" w:sz="4" w:space="0" w:color="auto"/>
              <w:left w:val="single" w:sz="4" w:space="0" w:color="auto"/>
              <w:bottom w:val="single" w:sz="4" w:space="0" w:color="auto"/>
            </w:tcBorders>
          </w:tcPr>
          <w:p w14:paraId="7F26986C" w14:textId="77777777" w:rsidR="00353D42" w:rsidRPr="00086103" w:rsidRDefault="00353D42" w:rsidP="00F914BE">
            <w:pPr>
              <w:pStyle w:val="Standard"/>
              <w:jc w:val="both"/>
              <w:rPr>
                <w:rFonts w:ascii="Times New Roman" w:hAnsi="Times New Roman"/>
                <w:i/>
                <w:iCs/>
              </w:rPr>
            </w:pPr>
          </w:p>
        </w:tc>
      </w:tr>
      <w:tr w:rsidR="00353D42" w:rsidRPr="003B71E0" w14:paraId="7F7E6F68" w14:textId="77777777" w:rsidTr="00374742">
        <w:tc>
          <w:tcPr>
            <w:tcW w:w="534" w:type="dxa"/>
            <w:tcBorders>
              <w:top w:val="single" w:sz="6" w:space="0" w:color="000000"/>
              <w:left w:val="single" w:sz="6" w:space="0" w:color="000000"/>
              <w:bottom w:val="single" w:sz="6" w:space="0" w:color="000000"/>
              <w:right w:val="single" w:sz="6" w:space="0" w:color="000000"/>
            </w:tcBorders>
          </w:tcPr>
          <w:p w14:paraId="1831C149" w14:textId="21B01EBF" w:rsidR="00353D42" w:rsidRDefault="00FD7805" w:rsidP="00F914BE">
            <w:pPr>
              <w:pStyle w:val="naisc"/>
              <w:spacing w:before="0" w:after="0"/>
              <w:rPr>
                <w:sz w:val="20"/>
                <w:szCs w:val="20"/>
              </w:rPr>
            </w:pPr>
            <w:r>
              <w:rPr>
                <w:sz w:val="20"/>
                <w:szCs w:val="20"/>
              </w:rPr>
              <w:t>2</w:t>
            </w:r>
            <w:r w:rsidR="0048635D">
              <w:rPr>
                <w:sz w:val="20"/>
                <w:szCs w:val="20"/>
              </w:rPr>
              <w:t>1</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47D0BA67" w14:textId="77777777" w:rsidR="00353D42" w:rsidRPr="00FF218E" w:rsidRDefault="00353D42"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65B319CD" w14:textId="77777777" w:rsidR="004E7D76" w:rsidRPr="00CA5B7A" w:rsidRDefault="004E7D76" w:rsidP="00F914BE">
            <w:pPr>
              <w:pStyle w:val="naisc"/>
              <w:spacing w:before="0" w:after="0"/>
              <w:rPr>
                <w:b/>
                <w:u w:val="single"/>
              </w:rPr>
            </w:pPr>
            <w:r>
              <w:rPr>
                <w:b/>
                <w:u w:val="single"/>
              </w:rPr>
              <w:t>Latvijas Veselības un sociālās aprūpes darbinieku arodbiedrība</w:t>
            </w:r>
          </w:p>
          <w:p w14:paraId="61871A28" w14:textId="629B88E4" w:rsidR="004E7D76" w:rsidRDefault="004E7D76"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2D8BD3B1" w14:textId="36558424" w:rsidR="00353D42" w:rsidRPr="004E7D76" w:rsidRDefault="004E7D76" w:rsidP="00F914BE">
            <w:pPr>
              <w:pStyle w:val="naisc"/>
              <w:spacing w:before="0" w:after="0"/>
              <w:jc w:val="both"/>
              <w:rPr>
                <w:bCs/>
              </w:rPr>
            </w:pPr>
            <w:r>
              <w:rPr>
                <w:bCs/>
              </w:rPr>
              <w:t>Risks, ka labākie speciālisti aizies no valsts sektora, ir saistīts ar jaunajā darba samaksas kārtībā paredzēto ierobežojumu: augsti kvalificēta darba samaksa (alga kopā ar piemaksām nedrīkstēs pārsniegt</w:t>
            </w:r>
            <w:r w:rsidR="00774392">
              <w:rPr>
                <w:bCs/>
              </w:rPr>
              <w:t xml:space="preserve"> 30% no konkrētajā gadā noteiktās mērķa VDS (Ziņojuma kopsavilkums 9 lpp.).</w:t>
            </w:r>
          </w:p>
        </w:tc>
        <w:tc>
          <w:tcPr>
            <w:tcW w:w="4111" w:type="dxa"/>
            <w:gridSpan w:val="2"/>
            <w:tcBorders>
              <w:top w:val="single" w:sz="6" w:space="0" w:color="000000"/>
              <w:left w:val="single" w:sz="6" w:space="0" w:color="000000"/>
              <w:bottom w:val="single" w:sz="6" w:space="0" w:color="000000"/>
              <w:right w:val="single" w:sz="6" w:space="0" w:color="000000"/>
            </w:tcBorders>
          </w:tcPr>
          <w:p w14:paraId="71361638" w14:textId="5786286F" w:rsidR="00774392" w:rsidRPr="00774392" w:rsidRDefault="00774392" w:rsidP="00F914BE">
            <w:pPr>
              <w:pStyle w:val="naisc"/>
              <w:spacing w:before="0" w:after="0"/>
              <w:rPr>
                <w:b/>
                <w:bCs/>
              </w:rPr>
            </w:pPr>
            <w:r w:rsidRPr="00692403">
              <w:rPr>
                <w:b/>
                <w:bCs/>
              </w:rPr>
              <w:t>Ņemts vērā</w:t>
            </w:r>
          </w:p>
          <w:p w14:paraId="6844F1B5" w14:textId="6E8C0221" w:rsidR="00353D42" w:rsidRDefault="00774392" w:rsidP="00F914BE">
            <w:pPr>
              <w:pStyle w:val="naisc"/>
              <w:spacing w:before="0" w:after="0"/>
              <w:jc w:val="both"/>
              <w:rPr>
                <w:b/>
                <w:bCs/>
              </w:rPr>
            </w:pPr>
            <w:r>
              <w:t>Kā norādīts ziņojumā, jaunais ārstniecības personu atalgojuma modelis paredz, ka īpaši retu vai darba tirgū nepietiekami pieejamu vai unikālu speciālistu vai specialitāšu piesaistei pieļaujama tā saucamo “tirgus indeksu” izmantošana, tādējādi palielinot atsevišķu ārstniecības personu vai reto specialitāšu pārstāvju darba samaksu līdz pat 50% apmērā (kopsavilkuma sadaļā “Individuālā atalgojuma noteikšana” 11 lpp., ziņojuma 74 lpp.).</w:t>
            </w:r>
          </w:p>
        </w:tc>
        <w:tc>
          <w:tcPr>
            <w:tcW w:w="2410" w:type="dxa"/>
            <w:gridSpan w:val="2"/>
            <w:tcBorders>
              <w:top w:val="single" w:sz="4" w:space="0" w:color="auto"/>
              <w:left w:val="single" w:sz="4" w:space="0" w:color="auto"/>
              <w:bottom w:val="single" w:sz="4" w:space="0" w:color="auto"/>
            </w:tcBorders>
          </w:tcPr>
          <w:p w14:paraId="37F9A6BD" w14:textId="77777777" w:rsidR="00353D42" w:rsidRPr="00086103" w:rsidRDefault="00353D42" w:rsidP="00F914BE">
            <w:pPr>
              <w:pStyle w:val="Standard"/>
              <w:jc w:val="both"/>
              <w:rPr>
                <w:rFonts w:ascii="Times New Roman" w:hAnsi="Times New Roman"/>
                <w:i/>
                <w:iCs/>
              </w:rPr>
            </w:pPr>
          </w:p>
        </w:tc>
      </w:tr>
      <w:tr w:rsidR="00353D42" w:rsidRPr="003B71E0" w14:paraId="35AFFD1B" w14:textId="77777777" w:rsidTr="00374742">
        <w:tc>
          <w:tcPr>
            <w:tcW w:w="534" w:type="dxa"/>
            <w:tcBorders>
              <w:top w:val="single" w:sz="6" w:space="0" w:color="000000"/>
              <w:left w:val="single" w:sz="6" w:space="0" w:color="000000"/>
              <w:bottom w:val="single" w:sz="6" w:space="0" w:color="000000"/>
              <w:right w:val="single" w:sz="6" w:space="0" w:color="000000"/>
            </w:tcBorders>
          </w:tcPr>
          <w:p w14:paraId="4F0A3E44" w14:textId="782EB7EB" w:rsidR="00353D42" w:rsidRDefault="00FD7805" w:rsidP="00F914BE">
            <w:pPr>
              <w:pStyle w:val="naisc"/>
              <w:spacing w:before="0" w:after="0"/>
              <w:rPr>
                <w:sz w:val="20"/>
                <w:szCs w:val="20"/>
              </w:rPr>
            </w:pPr>
            <w:r>
              <w:rPr>
                <w:sz w:val="20"/>
                <w:szCs w:val="20"/>
              </w:rPr>
              <w:lastRenderedPageBreak/>
              <w:t>2</w:t>
            </w:r>
            <w:r w:rsidR="0048635D">
              <w:rPr>
                <w:sz w:val="20"/>
                <w:szCs w:val="20"/>
              </w:rPr>
              <w:t>2</w:t>
            </w:r>
            <w:r w:rsidR="00727EC5">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5703A299" w14:textId="77777777" w:rsidR="00353D42" w:rsidRPr="00FF218E" w:rsidRDefault="00353D42"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3F82A147" w14:textId="77777777" w:rsidR="00774392" w:rsidRPr="00CA5B7A" w:rsidRDefault="00774392" w:rsidP="00F914BE">
            <w:pPr>
              <w:pStyle w:val="naisc"/>
              <w:spacing w:before="0" w:after="0"/>
              <w:rPr>
                <w:b/>
                <w:u w:val="single"/>
              </w:rPr>
            </w:pPr>
            <w:r>
              <w:rPr>
                <w:b/>
                <w:u w:val="single"/>
              </w:rPr>
              <w:t>Latvijas Veselības un sociālās aprūpes darbinieku arodbiedrība</w:t>
            </w:r>
          </w:p>
          <w:p w14:paraId="5D0DB95E" w14:textId="77777777" w:rsidR="00774392" w:rsidRDefault="00774392"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4181B700" w14:textId="537B42DF" w:rsidR="00353D42" w:rsidRDefault="00774392" w:rsidP="00F914BE">
            <w:pPr>
              <w:pStyle w:val="naisc"/>
              <w:spacing w:before="0" w:after="0"/>
              <w:jc w:val="both"/>
              <w:rPr>
                <w:b/>
                <w:u w:val="single"/>
              </w:rPr>
            </w:pPr>
            <w:r>
              <w:rPr>
                <w:bCs/>
              </w:rPr>
              <w:t>Risks, ka notiks jaunākā medicīniskā personāla motivācijas mazināšana, ir saistīts ar jaunajā kārtībā paredzēto attiecīgās VDS proporcijas mazināšanu no 40% uz 29% (Ziņojums, 53.lpp).</w:t>
            </w:r>
          </w:p>
        </w:tc>
        <w:tc>
          <w:tcPr>
            <w:tcW w:w="4111" w:type="dxa"/>
            <w:gridSpan w:val="2"/>
            <w:tcBorders>
              <w:top w:val="single" w:sz="6" w:space="0" w:color="000000"/>
              <w:left w:val="single" w:sz="6" w:space="0" w:color="000000"/>
              <w:bottom w:val="single" w:sz="6" w:space="0" w:color="000000"/>
              <w:right w:val="single" w:sz="6" w:space="0" w:color="000000"/>
            </w:tcBorders>
          </w:tcPr>
          <w:p w14:paraId="13D3842E" w14:textId="77777777" w:rsidR="00774392" w:rsidRPr="00774392" w:rsidRDefault="00774392" w:rsidP="00F914BE">
            <w:pPr>
              <w:pStyle w:val="naisc"/>
              <w:spacing w:before="0" w:after="0"/>
              <w:rPr>
                <w:b/>
                <w:bCs/>
              </w:rPr>
            </w:pPr>
            <w:r w:rsidRPr="00692403">
              <w:rPr>
                <w:b/>
                <w:bCs/>
              </w:rPr>
              <w:t>Ņemts vērā</w:t>
            </w:r>
          </w:p>
          <w:p w14:paraId="7D986882" w14:textId="21A635FD" w:rsidR="00F4581D" w:rsidRDefault="00F4581D" w:rsidP="00F914BE">
            <w:pPr>
              <w:pStyle w:val="naisc"/>
              <w:spacing w:before="0" w:after="0"/>
              <w:jc w:val="both"/>
            </w:pPr>
            <w:r>
              <w:t>Katras ārstniecības personu grupas mērķa algas tika noteiktas</w:t>
            </w:r>
            <w:r w:rsidR="00774392" w:rsidRPr="00236303">
              <w:t>, izmantojot analītisko intelektuālā darba vērtēšanas punktu/faktoru metodi, kura izstrādāta 1996.gadā, pamatojoties uz Starptautiskās darba organizācijas (ILO) “Ženēvas shēmu” (pamatprincipiem amatu vērtības noteikšanā)</w:t>
            </w:r>
            <w:r>
              <w:t>.</w:t>
            </w:r>
          </w:p>
          <w:p w14:paraId="285658AA" w14:textId="4F3301FE" w:rsidR="00353D42" w:rsidRDefault="00F4581D" w:rsidP="00F914BE">
            <w:pPr>
              <w:pStyle w:val="naisc"/>
              <w:spacing w:before="0" w:after="0"/>
              <w:jc w:val="both"/>
              <w:rPr>
                <w:b/>
                <w:bCs/>
              </w:rPr>
            </w:pPr>
            <w:r>
              <w:t>Tajā tiek ņemti vērā</w:t>
            </w:r>
            <w:r w:rsidR="00774392">
              <w:t xml:space="preserve"> tādi faktori kā nepieciešamā izglītība, atbildība, nepieciešamā profesionālā pieredze un darba sarežģītība (Ziņojuma 51.lpp.)</w:t>
            </w:r>
            <w:r>
              <w:t>. Izvērtējot pēc iepriekš minētās metodes jaunākā medicīniskā personāla nepieciešamo izglītības līmeni un kvalifikāciju, redzams, ka iepriekšējā proporcija 40% šīs dienas ekonomikas un tirgus apstākļos ir neatbilstoša</w:t>
            </w:r>
            <w:r w:rsidR="002F4D57">
              <w:t xml:space="preserve"> un Veselības ministrija atbalsta un virza tirgum atbilstoši novērtētās amatu vērtības.</w:t>
            </w:r>
          </w:p>
        </w:tc>
        <w:tc>
          <w:tcPr>
            <w:tcW w:w="2410" w:type="dxa"/>
            <w:gridSpan w:val="2"/>
            <w:tcBorders>
              <w:top w:val="single" w:sz="4" w:space="0" w:color="auto"/>
              <w:left w:val="single" w:sz="4" w:space="0" w:color="auto"/>
              <w:bottom w:val="single" w:sz="4" w:space="0" w:color="auto"/>
            </w:tcBorders>
          </w:tcPr>
          <w:p w14:paraId="1394272F" w14:textId="77777777" w:rsidR="00353D42" w:rsidRPr="00086103" w:rsidRDefault="00353D42" w:rsidP="00F914BE">
            <w:pPr>
              <w:pStyle w:val="Standard"/>
              <w:jc w:val="both"/>
              <w:rPr>
                <w:rFonts w:ascii="Times New Roman" w:hAnsi="Times New Roman"/>
                <w:i/>
                <w:iCs/>
              </w:rPr>
            </w:pPr>
          </w:p>
        </w:tc>
      </w:tr>
      <w:tr w:rsidR="00353D42" w:rsidRPr="003B71E0" w14:paraId="2677A836" w14:textId="77777777" w:rsidTr="00374742">
        <w:tc>
          <w:tcPr>
            <w:tcW w:w="534" w:type="dxa"/>
            <w:tcBorders>
              <w:top w:val="single" w:sz="6" w:space="0" w:color="000000"/>
              <w:left w:val="single" w:sz="6" w:space="0" w:color="000000"/>
              <w:bottom w:val="single" w:sz="6" w:space="0" w:color="000000"/>
              <w:right w:val="single" w:sz="6" w:space="0" w:color="000000"/>
            </w:tcBorders>
          </w:tcPr>
          <w:p w14:paraId="507F468A" w14:textId="04B698E1" w:rsidR="00353D42" w:rsidRDefault="00727EC5" w:rsidP="00F914BE">
            <w:pPr>
              <w:pStyle w:val="naisc"/>
              <w:spacing w:before="0" w:after="0"/>
              <w:rPr>
                <w:sz w:val="20"/>
                <w:szCs w:val="20"/>
              </w:rPr>
            </w:pPr>
            <w:r>
              <w:rPr>
                <w:sz w:val="20"/>
                <w:szCs w:val="20"/>
              </w:rPr>
              <w:t>2</w:t>
            </w:r>
            <w:r w:rsidR="0048635D">
              <w:rPr>
                <w:sz w:val="20"/>
                <w:szCs w:val="20"/>
              </w:rPr>
              <w:t>3</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3DC205DB" w14:textId="77777777" w:rsidR="00353D42" w:rsidRPr="00FF218E" w:rsidRDefault="00353D42"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BB53A25" w14:textId="77777777" w:rsidR="00F4581D" w:rsidRPr="00CA5B7A" w:rsidRDefault="00F4581D" w:rsidP="00F914BE">
            <w:pPr>
              <w:pStyle w:val="naisc"/>
              <w:spacing w:before="0" w:after="0"/>
              <w:rPr>
                <w:b/>
                <w:u w:val="single"/>
              </w:rPr>
            </w:pPr>
            <w:r>
              <w:rPr>
                <w:b/>
                <w:u w:val="single"/>
              </w:rPr>
              <w:t>Latvijas Veselības un sociālās aprūpes darbinieku arodbiedrība</w:t>
            </w:r>
          </w:p>
          <w:p w14:paraId="0B90DCFC" w14:textId="77777777" w:rsidR="00F4581D" w:rsidRDefault="00F4581D"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3D8DF5BA" w14:textId="77777777" w:rsidR="00353D42" w:rsidRDefault="00F4581D" w:rsidP="00F914BE">
            <w:pPr>
              <w:pStyle w:val="naisc"/>
              <w:spacing w:before="0" w:after="0"/>
              <w:jc w:val="both"/>
              <w:rPr>
                <w:bCs/>
              </w:rPr>
            </w:pPr>
            <w:r>
              <w:rPr>
                <w:bCs/>
              </w:rPr>
              <w:t>Risks, ka jaunā kārtība pasliktinās tiesības uz taisnīgām piemaksām pastāv tāpēc, ka:</w:t>
            </w:r>
          </w:p>
          <w:p w14:paraId="11BF1F2E" w14:textId="77777777" w:rsidR="00F4581D" w:rsidRDefault="00F4581D" w:rsidP="00F914BE">
            <w:pPr>
              <w:pStyle w:val="naisc"/>
              <w:spacing w:before="0" w:after="0"/>
              <w:jc w:val="both"/>
              <w:rPr>
                <w:bCs/>
              </w:rPr>
            </w:pPr>
            <w:r>
              <w:rPr>
                <w:bCs/>
              </w:rPr>
              <w:t>1.atalgojuma mainīgajā daļā nav paredzētas ne Darba likumā noteiktās vispārējās piemaksas</w:t>
            </w:r>
            <w:r w:rsidR="005938B6">
              <w:rPr>
                <w:bCs/>
              </w:rPr>
              <w:t xml:space="preserve"> (par virsstundām, papildus darbu, prombūtnē esoša darbinieka aizvietošanu, nakts darbu, darbu svētku dienās), nedz arī MK noteikumos Nr.851 noteiktās speciālās piemaksas (piemaksas par darbu, saistīts ar īpašu risku un piemaksa </w:t>
            </w:r>
            <w:r w:rsidR="005938B6">
              <w:rPr>
                <w:bCs/>
              </w:rPr>
              <w:lastRenderedPageBreak/>
              <w:t>atbilstoši darba stāžam (Ziņojuma kopsavilkums, 10 lpp., Ziņojums, 68. un 74.lpp);</w:t>
            </w:r>
          </w:p>
          <w:p w14:paraId="576787B6" w14:textId="28876179" w:rsidR="005938B6" w:rsidRPr="00F4581D" w:rsidRDefault="005938B6" w:rsidP="00F914BE">
            <w:pPr>
              <w:pStyle w:val="naisc"/>
              <w:spacing w:before="0" w:after="0"/>
              <w:jc w:val="both"/>
              <w:rPr>
                <w:bCs/>
              </w:rPr>
            </w:pPr>
            <w:r>
              <w:rPr>
                <w:bCs/>
              </w:rPr>
              <w:t>2.ārstnieības personas atalgojuma mainīgās daļas īpatsvars nedrīkstēs pārsniegt 30% (Ziņojuma kopsavilkums, 11.lpp.); šobrīd Valsts un pašvaldību institūciju amatpersonu un darbinieku atlīdzības likums atļauj 50% (14.panta otrā daļa).</w:t>
            </w:r>
          </w:p>
        </w:tc>
        <w:tc>
          <w:tcPr>
            <w:tcW w:w="4111" w:type="dxa"/>
            <w:gridSpan w:val="2"/>
            <w:tcBorders>
              <w:top w:val="single" w:sz="6" w:space="0" w:color="000000"/>
              <w:left w:val="single" w:sz="6" w:space="0" w:color="000000"/>
              <w:bottom w:val="single" w:sz="6" w:space="0" w:color="000000"/>
              <w:right w:val="single" w:sz="6" w:space="0" w:color="000000"/>
            </w:tcBorders>
          </w:tcPr>
          <w:p w14:paraId="3226A0D3" w14:textId="77777777" w:rsidR="005938B6" w:rsidRPr="00774392" w:rsidRDefault="005938B6" w:rsidP="00F914BE">
            <w:pPr>
              <w:pStyle w:val="naisc"/>
              <w:spacing w:before="0" w:after="0"/>
              <w:rPr>
                <w:b/>
                <w:bCs/>
              </w:rPr>
            </w:pPr>
            <w:r w:rsidRPr="00692403">
              <w:rPr>
                <w:b/>
                <w:bCs/>
              </w:rPr>
              <w:lastRenderedPageBreak/>
              <w:t>Ņemts vērā</w:t>
            </w:r>
          </w:p>
          <w:p w14:paraId="77C41E30" w14:textId="066EFC18" w:rsidR="00847E94" w:rsidRDefault="00847E94" w:rsidP="00F914BE">
            <w:pPr>
              <w:pStyle w:val="naisc"/>
              <w:spacing w:before="0" w:after="0"/>
              <w:jc w:val="both"/>
            </w:pPr>
            <w:r>
              <w:t>Veselības ministrija un tās sagatavotais informatīvais ziņojums, ne izdotie normatīvie akti</w:t>
            </w:r>
            <w:r w:rsidR="00695660">
              <w:t xml:space="preserve"> MK līmenī</w:t>
            </w:r>
            <w:r>
              <w:t xml:space="preserve"> </w:t>
            </w:r>
            <w:r w:rsidRPr="00AA64CB">
              <w:rPr>
                <w:b/>
                <w:bCs/>
                <w:u w:val="single"/>
              </w:rPr>
              <w:t>nekādā veidā nevar ierobežot</w:t>
            </w:r>
            <w:r>
              <w:t xml:space="preserve"> Darba likumā </w:t>
            </w:r>
            <w:r w:rsidR="00695660">
              <w:t xml:space="preserve">noteiktās </w:t>
            </w:r>
            <w:r>
              <w:t xml:space="preserve">vispārējās piemaksas, tāpat tas attiecas MK noteikumos Nr.851 noteikto piemaksu par risku, jo </w:t>
            </w:r>
            <w:r w:rsidR="0077555E">
              <w:t>neatkarīgi no nozares izdotajiem normatīvajiem aktiem</w:t>
            </w:r>
            <w:r w:rsidR="001B35D5">
              <w:t>, piemaksu par īpašu risku</w:t>
            </w:r>
            <w:r w:rsidR="0077555E">
              <w:t xml:space="preserve"> </w:t>
            </w:r>
            <w:r>
              <w:t xml:space="preserve">primāri </w:t>
            </w:r>
            <w:r w:rsidR="001B35D5">
              <w:t>nosaka</w:t>
            </w:r>
            <w:r>
              <w:t xml:space="preserve"> Darba likums. </w:t>
            </w:r>
            <w:r w:rsidR="00F152BF">
              <w:t>Obligātās piemaksas</w:t>
            </w:r>
            <w:r w:rsidR="007A5AC2">
              <w:t xml:space="preserve"> jaunajā atalgojuma modelī</w:t>
            </w:r>
            <w:r w:rsidR="00AF244D">
              <w:t xml:space="preserve"> netiek ieskaitītas atalgojuma mainīgajā </w:t>
            </w:r>
            <w:r w:rsidR="00AF244D">
              <w:lastRenderedPageBreak/>
              <w:t>daļā</w:t>
            </w:r>
            <w:r w:rsidR="00C47A12">
              <w:t xml:space="preserve"> </w:t>
            </w:r>
            <w:r w:rsidR="00AF244D">
              <w:t>vai pamatalgā</w:t>
            </w:r>
            <w:r w:rsidR="001F4570">
              <w:t xml:space="preserve"> (kas arī uzsvērts ziņojum</w:t>
            </w:r>
            <w:r w:rsidR="00F626B7">
              <w:t>a 68.lpp</w:t>
            </w:r>
            <w:r w:rsidR="001F4570">
              <w:t xml:space="preserve">, attiecībā uz Domnīcā </w:t>
            </w:r>
            <w:r w:rsidR="00F626B7">
              <w:t>piedāvāto risinājumu</w:t>
            </w:r>
            <w:r w:rsidR="001F4570">
              <w:t>)</w:t>
            </w:r>
            <w:r w:rsidR="00F152BF">
              <w:t xml:space="preserve">, bet </w:t>
            </w:r>
            <w:r w:rsidR="00C47A12">
              <w:t>obligātās piemaksas</w:t>
            </w:r>
            <w:r w:rsidR="00F152BF">
              <w:t xml:space="preserve"> ārstniecības personām</w:t>
            </w:r>
            <w:r w:rsidR="00C47A12">
              <w:t xml:space="preserve"> atbilstoši Darba likumam un citiem normatīvajiem aktiem</w:t>
            </w:r>
            <w:r w:rsidR="00F152BF">
              <w:t xml:space="preserve"> ir jāsaņem jebkurā gadījumā.</w:t>
            </w:r>
          </w:p>
          <w:p w14:paraId="39CE3333" w14:textId="6D39C8A1" w:rsidR="00AA64CB" w:rsidRPr="00847E94" w:rsidRDefault="00BE51AF" w:rsidP="00F914BE">
            <w:pPr>
              <w:pStyle w:val="naisc"/>
              <w:spacing w:before="0" w:after="0"/>
              <w:jc w:val="both"/>
            </w:pPr>
            <w:r>
              <w:t>Kā arī</w:t>
            </w:r>
            <w:r w:rsidR="00AA64CB">
              <w:t xml:space="preserve"> jaunais ārstniecības personu atalgojuma modelis paredz</w:t>
            </w:r>
            <w:r w:rsidR="008B2234">
              <w:t>, ka</w:t>
            </w:r>
            <w:r w:rsidR="00AA64CB">
              <w:t xml:space="preserve"> īpaši retu vai darba tirgū nepietiekami pieejamu vai unikālu speciālistu vai specialitāšu piesaistei pieļaujama tā saucamo “tirgus indeksu” izmantošana, tādējādi palielinot atsevišķu ārstniecības personu vai reto specialitāšu pārstāvju darba samaksu līdz pat 50% apmērā.</w:t>
            </w:r>
          </w:p>
        </w:tc>
        <w:tc>
          <w:tcPr>
            <w:tcW w:w="2410" w:type="dxa"/>
            <w:gridSpan w:val="2"/>
            <w:tcBorders>
              <w:top w:val="single" w:sz="4" w:space="0" w:color="auto"/>
              <w:left w:val="single" w:sz="4" w:space="0" w:color="auto"/>
              <w:bottom w:val="single" w:sz="4" w:space="0" w:color="auto"/>
            </w:tcBorders>
          </w:tcPr>
          <w:p w14:paraId="368EFC73" w14:textId="77777777" w:rsidR="00353D42" w:rsidRPr="00086103" w:rsidRDefault="00353D42" w:rsidP="00F914BE">
            <w:pPr>
              <w:pStyle w:val="Standard"/>
              <w:jc w:val="both"/>
              <w:rPr>
                <w:rFonts w:ascii="Times New Roman" w:hAnsi="Times New Roman"/>
                <w:i/>
                <w:iCs/>
              </w:rPr>
            </w:pPr>
          </w:p>
        </w:tc>
      </w:tr>
      <w:tr w:rsidR="00F4581D" w:rsidRPr="003B71E0" w14:paraId="3E8126A0"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87A10F6" w14:textId="49A8584C" w:rsidR="00F4581D" w:rsidRDefault="00727EC5" w:rsidP="00F914BE">
            <w:pPr>
              <w:pStyle w:val="naisc"/>
              <w:spacing w:before="0" w:after="0"/>
              <w:rPr>
                <w:sz w:val="20"/>
                <w:szCs w:val="20"/>
              </w:rPr>
            </w:pPr>
            <w:r>
              <w:rPr>
                <w:sz w:val="20"/>
                <w:szCs w:val="20"/>
              </w:rPr>
              <w:t>2</w:t>
            </w:r>
            <w:r w:rsidR="0048635D">
              <w:rPr>
                <w:sz w:val="20"/>
                <w:szCs w:val="20"/>
              </w:rPr>
              <w:t>4</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2DE9A913" w14:textId="77777777" w:rsidR="00F4581D" w:rsidRPr="00FF218E" w:rsidRDefault="00F4581D"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F5EAA75" w14:textId="77777777" w:rsidR="00762893" w:rsidRPr="00CA5B7A" w:rsidRDefault="00762893" w:rsidP="00F914BE">
            <w:pPr>
              <w:pStyle w:val="naisc"/>
              <w:spacing w:before="0" w:after="0"/>
              <w:rPr>
                <w:b/>
                <w:u w:val="single"/>
              </w:rPr>
            </w:pPr>
            <w:r>
              <w:rPr>
                <w:b/>
                <w:u w:val="single"/>
              </w:rPr>
              <w:t>Latvijas Veselības un sociālās aprūpes darbinieku arodbiedrība</w:t>
            </w:r>
          </w:p>
          <w:p w14:paraId="5DBE1548" w14:textId="77777777" w:rsidR="00762893" w:rsidRDefault="00762893"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246A560A" w14:textId="77777777" w:rsidR="00762893" w:rsidRDefault="00762893" w:rsidP="00F914BE">
            <w:pPr>
              <w:jc w:val="both"/>
              <w:rPr>
                <w:rFonts w:eastAsiaTheme="minorHAnsi"/>
                <w:lang w:eastAsia="en-US"/>
              </w:rPr>
            </w:pPr>
            <w:r>
              <w:rPr>
                <w:rFonts w:eastAsiaTheme="minorHAnsi"/>
                <w:lang w:eastAsia="en-US"/>
              </w:rPr>
              <w:t>Risks, ka jaunā darba samaksas kārtība izraisīs birokrātijas pieaugumu, pastāv tāpēc, ka:</w:t>
            </w:r>
          </w:p>
          <w:p w14:paraId="66CFC942" w14:textId="77777777" w:rsidR="00762893" w:rsidRDefault="00762893" w:rsidP="00F914BE">
            <w:pPr>
              <w:jc w:val="both"/>
              <w:rPr>
                <w:rFonts w:eastAsiaTheme="minorHAnsi"/>
                <w:lang w:eastAsia="en-US"/>
              </w:rPr>
            </w:pPr>
            <w:r>
              <w:rPr>
                <w:rFonts w:eastAsiaTheme="minorHAnsi"/>
                <w:lang w:eastAsia="en-US"/>
              </w:rPr>
              <w:t>1.pilna laika ekvivalenta (nosaka, kādas darbības veicamas vienas slodzes ietvaros) noteikšanai un izpildes kontrolei pēc būtības darbiniekam ir jāpilda dienasgrāmata (Ziņojums 55. un 69.lpp.);</w:t>
            </w:r>
          </w:p>
          <w:p w14:paraId="78081378" w14:textId="5C69B4F9" w:rsidR="00762893" w:rsidRPr="00760459" w:rsidRDefault="00762893" w:rsidP="00F914BE">
            <w:pPr>
              <w:jc w:val="both"/>
              <w:rPr>
                <w:rFonts w:eastAsiaTheme="minorHAnsi"/>
                <w:lang w:eastAsia="en-US"/>
              </w:rPr>
            </w:pPr>
            <w:r>
              <w:rPr>
                <w:rFonts w:eastAsiaTheme="minorHAnsi"/>
                <w:lang w:eastAsia="en-US"/>
              </w:rPr>
              <w:t>2.paredzēts turpināt ārstniecības personu atalgojuma datu publiskošanu, nodrošinot detalizētāku informāciju (Ziņojuma kopsavilkums, 12.lpp); jāpiezīmē, ka NVD jau šobrīd netiek galā ar pienākumu reizi ceturksnī publicēt datus par VDS ārstniecības iestādēs.</w:t>
            </w:r>
          </w:p>
        </w:tc>
        <w:tc>
          <w:tcPr>
            <w:tcW w:w="4111" w:type="dxa"/>
            <w:gridSpan w:val="2"/>
            <w:tcBorders>
              <w:top w:val="single" w:sz="6" w:space="0" w:color="000000"/>
              <w:left w:val="single" w:sz="6" w:space="0" w:color="000000"/>
              <w:bottom w:val="single" w:sz="6" w:space="0" w:color="000000"/>
              <w:right w:val="single" w:sz="6" w:space="0" w:color="000000"/>
            </w:tcBorders>
          </w:tcPr>
          <w:p w14:paraId="402A27EF" w14:textId="77777777" w:rsidR="00762893" w:rsidRPr="00774392" w:rsidRDefault="00762893" w:rsidP="00F914BE">
            <w:pPr>
              <w:pStyle w:val="naisc"/>
              <w:spacing w:before="0" w:after="0"/>
              <w:rPr>
                <w:b/>
                <w:bCs/>
              </w:rPr>
            </w:pPr>
            <w:r w:rsidRPr="00692403">
              <w:rPr>
                <w:b/>
                <w:bCs/>
              </w:rPr>
              <w:t>Ņemts vērā</w:t>
            </w:r>
          </w:p>
          <w:p w14:paraId="4ED1D864" w14:textId="77777777" w:rsidR="00F4581D" w:rsidRDefault="000D3D85" w:rsidP="00F914BE">
            <w:pPr>
              <w:pStyle w:val="naisc"/>
              <w:spacing w:before="0" w:after="0"/>
              <w:jc w:val="both"/>
            </w:pPr>
            <w:r>
              <w:t>Dienasgrāmatu aizpildīšana tika paredzēta pilotprojektā iesaistītajās stacionārajās iestādēs PLE satura testēšanai atsevišķās struktūrvienībās, lai saprastu, kā varētu notikt PLE satura ieviešana un darba organizācija. Ziņojumā un turpmākajā rīcībā modeļa ieviešanā nekur nav paredzēta prasība dienasgrāmatu aizpildīšanai ikdienā.</w:t>
            </w:r>
          </w:p>
          <w:p w14:paraId="3871BAEF" w14:textId="7D56FC85" w:rsidR="00C47A12" w:rsidRDefault="00C47A12" w:rsidP="00F914BE">
            <w:pPr>
              <w:pStyle w:val="naisc"/>
              <w:spacing w:before="0" w:after="0"/>
              <w:jc w:val="both"/>
            </w:pPr>
            <w:r>
              <w:t>NVD</w:t>
            </w:r>
            <w:r w:rsidR="007B6263">
              <w:t xml:space="preserve"> informāciju par ārstniecības personu atalgojumu atbilstoši līgumiem ar ārstniecības iestādēm</w:t>
            </w:r>
            <w:r w:rsidR="000D3D85">
              <w:t xml:space="preserve"> </w:t>
            </w:r>
            <w:r w:rsidR="007B6263">
              <w:t xml:space="preserve">ievāc par </w:t>
            </w:r>
            <w:r w:rsidR="002F6CE3">
              <w:t>3, 6 un 12 mēnešiem</w:t>
            </w:r>
            <w:r w:rsidR="007B6263">
              <w:t>, pēc tam apkopota pārskata formā publicē arī savā tīmekļvietnē</w:t>
            </w:r>
            <w:r w:rsidR="00434296">
              <w:t xml:space="preserve"> reizi pusgadā</w:t>
            </w:r>
            <w:r w:rsidR="000D3D85">
              <w:t>.</w:t>
            </w:r>
            <w:r>
              <w:t xml:space="preserve"> No </w:t>
            </w:r>
            <w:r w:rsidR="000D3D85">
              <w:t xml:space="preserve"> </w:t>
            </w:r>
            <w:r>
              <w:t>2021.gada plānots, ka NVD līgumos ar ārstniecības iestādēm iekļaus prasību pārskatu par ārstniecības personu atalgojumu sniegt reizi pusgadā.</w:t>
            </w:r>
          </w:p>
          <w:p w14:paraId="68DFCD11" w14:textId="02E22352" w:rsidR="000D3D85" w:rsidRPr="00760459" w:rsidRDefault="000D3D85" w:rsidP="00F914BE">
            <w:pPr>
              <w:pStyle w:val="naisc"/>
              <w:spacing w:before="0" w:after="0"/>
              <w:jc w:val="both"/>
            </w:pPr>
            <w:r>
              <w:lastRenderedPageBreak/>
              <w:t>Kā arī jāatzīmē, ka nav plānota d</w:t>
            </w:r>
            <w:r w:rsidR="006C5F50">
              <w:t>atu publiskošana individuālā līmenī, tiek rosināts izvērtēt ārstniecības personu grupu dalījumu.</w:t>
            </w:r>
          </w:p>
        </w:tc>
        <w:tc>
          <w:tcPr>
            <w:tcW w:w="2410" w:type="dxa"/>
            <w:gridSpan w:val="2"/>
            <w:tcBorders>
              <w:top w:val="single" w:sz="4" w:space="0" w:color="auto"/>
              <w:left w:val="single" w:sz="4" w:space="0" w:color="auto"/>
              <w:bottom w:val="single" w:sz="4" w:space="0" w:color="auto"/>
            </w:tcBorders>
          </w:tcPr>
          <w:p w14:paraId="6CCAE35C" w14:textId="77777777" w:rsidR="00F4581D" w:rsidRPr="00086103" w:rsidRDefault="00F4581D" w:rsidP="00F914BE">
            <w:pPr>
              <w:pStyle w:val="Standard"/>
              <w:jc w:val="both"/>
              <w:rPr>
                <w:rFonts w:ascii="Times New Roman" w:hAnsi="Times New Roman"/>
                <w:i/>
                <w:iCs/>
              </w:rPr>
            </w:pPr>
          </w:p>
        </w:tc>
      </w:tr>
      <w:tr w:rsidR="00F4581D" w:rsidRPr="003B71E0" w14:paraId="0F8C82AF" w14:textId="77777777" w:rsidTr="00374742">
        <w:tc>
          <w:tcPr>
            <w:tcW w:w="534" w:type="dxa"/>
            <w:tcBorders>
              <w:top w:val="single" w:sz="6" w:space="0" w:color="000000"/>
              <w:left w:val="single" w:sz="6" w:space="0" w:color="000000"/>
              <w:bottom w:val="single" w:sz="6" w:space="0" w:color="000000"/>
              <w:right w:val="single" w:sz="6" w:space="0" w:color="000000"/>
            </w:tcBorders>
          </w:tcPr>
          <w:p w14:paraId="7BB398AB" w14:textId="52810A0D" w:rsidR="00F4581D" w:rsidRDefault="00727EC5" w:rsidP="00F914BE">
            <w:pPr>
              <w:pStyle w:val="naisc"/>
              <w:spacing w:before="0" w:after="0"/>
              <w:rPr>
                <w:sz w:val="20"/>
                <w:szCs w:val="20"/>
              </w:rPr>
            </w:pPr>
            <w:r>
              <w:rPr>
                <w:sz w:val="20"/>
                <w:szCs w:val="20"/>
              </w:rPr>
              <w:t>2</w:t>
            </w:r>
            <w:r w:rsidR="0048635D">
              <w:rPr>
                <w:sz w:val="20"/>
                <w:szCs w:val="20"/>
              </w:rPr>
              <w:t>5</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33F4E271" w14:textId="77777777" w:rsidR="00F4581D" w:rsidRPr="00FF218E" w:rsidRDefault="00F4581D"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3D70FABE" w14:textId="77777777" w:rsidR="006C5F50" w:rsidRPr="00CA5B7A" w:rsidRDefault="006C5F50" w:rsidP="00F914BE">
            <w:pPr>
              <w:pStyle w:val="naisc"/>
              <w:spacing w:before="0" w:after="0"/>
              <w:rPr>
                <w:b/>
                <w:u w:val="single"/>
              </w:rPr>
            </w:pPr>
            <w:r>
              <w:rPr>
                <w:b/>
                <w:u w:val="single"/>
              </w:rPr>
              <w:t>Latvijas Veselības un sociālās aprūpes darbinieku arodbiedrība</w:t>
            </w:r>
          </w:p>
          <w:p w14:paraId="32502EC1" w14:textId="77777777" w:rsidR="006C5F50" w:rsidRDefault="006C5F50"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549FC884" w14:textId="7C3302A5" w:rsidR="00F4581D" w:rsidRPr="00760459" w:rsidRDefault="006C5F50" w:rsidP="00F914BE">
            <w:pPr>
              <w:jc w:val="both"/>
              <w:rPr>
                <w:rFonts w:eastAsiaTheme="minorHAnsi"/>
                <w:lang w:eastAsia="en-US"/>
              </w:rPr>
            </w:pPr>
            <w:r>
              <w:rPr>
                <w:rFonts w:eastAsiaTheme="minorHAnsi"/>
                <w:lang w:eastAsia="en-US"/>
              </w:rPr>
              <w:t>Risks, ka jaunā kārtība būs saistīta ar personas datu aizsardzības pārkāpšanu, pastāv tāpēc, ka Ziņojuma kopsavilkumā nav norādes uz datu anonimitātes ievērošanu.</w:t>
            </w:r>
          </w:p>
        </w:tc>
        <w:tc>
          <w:tcPr>
            <w:tcW w:w="4111" w:type="dxa"/>
            <w:gridSpan w:val="2"/>
            <w:tcBorders>
              <w:top w:val="single" w:sz="6" w:space="0" w:color="000000"/>
              <w:left w:val="single" w:sz="6" w:space="0" w:color="000000"/>
              <w:bottom w:val="single" w:sz="6" w:space="0" w:color="000000"/>
              <w:right w:val="single" w:sz="6" w:space="0" w:color="000000"/>
            </w:tcBorders>
          </w:tcPr>
          <w:p w14:paraId="5CC7C552" w14:textId="77777777" w:rsidR="006C5F50" w:rsidRPr="00774392" w:rsidRDefault="006C5F50" w:rsidP="00F914BE">
            <w:pPr>
              <w:pStyle w:val="naisc"/>
              <w:spacing w:before="0" w:after="0"/>
              <w:rPr>
                <w:b/>
                <w:bCs/>
              </w:rPr>
            </w:pPr>
            <w:r w:rsidRPr="00692403">
              <w:rPr>
                <w:b/>
                <w:bCs/>
              </w:rPr>
              <w:t>Ņemts vērā</w:t>
            </w:r>
          </w:p>
          <w:p w14:paraId="10DC4407" w14:textId="762F3435" w:rsidR="00F4581D" w:rsidRPr="00727BBE" w:rsidRDefault="006C5F50" w:rsidP="00F914BE">
            <w:pPr>
              <w:pStyle w:val="naisc"/>
              <w:spacing w:before="0" w:after="0"/>
              <w:jc w:val="both"/>
            </w:pPr>
            <w:r w:rsidRPr="00727BBE">
              <w:t>Norādām, ka Veselības ministrija visas savas darbības veic atbilstoši Latvijas Republikā pastāvošai likumdošanai, tai skaitā</w:t>
            </w:r>
            <w:r w:rsidR="00727BBE" w:rsidRPr="00727BBE">
              <w:t xml:space="preserve"> </w:t>
            </w:r>
            <w:r w:rsidRPr="00727BBE">
              <w:t xml:space="preserve">Latvijai </w:t>
            </w:r>
            <w:r w:rsidR="00727BBE" w:rsidRPr="00727BBE">
              <w:t xml:space="preserve">kā </w:t>
            </w:r>
            <w:r w:rsidRPr="00727BBE">
              <w:t xml:space="preserve">Eiropas Savienības dalībvalstij ir jāievēro </w:t>
            </w:r>
            <w:r w:rsidRPr="00727BBE">
              <w:rPr>
                <w:spacing w:val="11"/>
              </w:rPr>
              <w:t>Vispārīgās datu aizsardzības regulas prasības</w:t>
            </w:r>
            <w:r w:rsidR="0020190F">
              <w:rPr>
                <w:spacing w:val="11"/>
              </w:rPr>
              <w:t xml:space="preserve">. </w:t>
            </w:r>
            <w:r w:rsidR="00B450F4">
              <w:rPr>
                <w:spacing w:val="11"/>
              </w:rPr>
              <w:t>z</w:t>
            </w:r>
            <w:r w:rsidR="0020190F">
              <w:rPr>
                <w:spacing w:val="11"/>
              </w:rPr>
              <w:t>iņojuma pamattekstā</w:t>
            </w:r>
            <w:r w:rsidR="00B450F4">
              <w:rPr>
                <w:spacing w:val="11"/>
              </w:rPr>
              <w:t xml:space="preserve"> </w:t>
            </w:r>
            <w:r w:rsidR="00EF75B5">
              <w:rPr>
                <w:spacing w:val="11"/>
              </w:rPr>
              <w:t xml:space="preserve">jau </w:t>
            </w:r>
            <w:r w:rsidR="00B450F4">
              <w:rPr>
                <w:spacing w:val="11"/>
              </w:rPr>
              <w:t>ir uzrakstīts, ka netiks apkopota personificēta informācija</w:t>
            </w:r>
            <w:r w:rsidR="0020190F">
              <w:rPr>
                <w:spacing w:val="11"/>
              </w:rPr>
              <w:t>, papildus papaildināta atsauce arī ziņojuma kopsavilkumā.</w:t>
            </w:r>
          </w:p>
        </w:tc>
        <w:tc>
          <w:tcPr>
            <w:tcW w:w="2410" w:type="dxa"/>
            <w:gridSpan w:val="2"/>
            <w:tcBorders>
              <w:top w:val="single" w:sz="4" w:space="0" w:color="auto"/>
              <w:left w:val="single" w:sz="4" w:space="0" w:color="auto"/>
              <w:bottom w:val="single" w:sz="4" w:space="0" w:color="auto"/>
            </w:tcBorders>
          </w:tcPr>
          <w:p w14:paraId="6D2A6C60" w14:textId="77777777" w:rsidR="00F4581D" w:rsidRPr="00086103" w:rsidRDefault="00F4581D" w:rsidP="00F914BE">
            <w:pPr>
              <w:pStyle w:val="Standard"/>
              <w:jc w:val="both"/>
              <w:rPr>
                <w:rFonts w:ascii="Times New Roman" w:hAnsi="Times New Roman"/>
                <w:i/>
                <w:iCs/>
              </w:rPr>
            </w:pPr>
          </w:p>
        </w:tc>
      </w:tr>
      <w:tr w:rsidR="00F4581D" w:rsidRPr="003B71E0" w14:paraId="04B1AE7C" w14:textId="77777777" w:rsidTr="00374742">
        <w:tc>
          <w:tcPr>
            <w:tcW w:w="534" w:type="dxa"/>
            <w:tcBorders>
              <w:top w:val="single" w:sz="6" w:space="0" w:color="000000"/>
              <w:left w:val="single" w:sz="6" w:space="0" w:color="000000"/>
              <w:bottom w:val="single" w:sz="6" w:space="0" w:color="000000"/>
              <w:right w:val="single" w:sz="6" w:space="0" w:color="000000"/>
            </w:tcBorders>
          </w:tcPr>
          <w:p w14:paraId="662AEB2B" w14:textId="256BC5BE" w:rsidR="00F4581D" w:rsidRDefault="00727EC5" w:rsidP="00F914BE">
            <w:pPr>
              <w:pStyle w:val="naisc"/>
              <w:spacing w:before="0" w:after="0"/>
              <w:rPr>
                <w:sz w:val="20"/>
                <w:szCs w:val="20"/>
              </w:rPr>
            </w:pPr>
            <w:r>
              <w:rPr>
                <w:sz w:val="20"/>
                <w:szCs w:val="20"/>
              </w:rPr>
              <w:t>2</w:t>
            </w:r>
            <w:r w:rsidR="0048635D">
              <w:rPr>
                <w:sz w:val="20"/>
                <w:szCs w:val="20"/>
              </w:rPr>
              <w:t>6</w:t>
            </w:r>
            <w:r>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78CB481" w14:textId="77777777" w:rsidR="00F4581D" w:rsidRPr="00FF218E" w:rsidRDefault="00F4581D"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5BB95B65" w14:textId="77777777" w:rsidR="00727BBE" w:rsidRPr="00CA5B7A" w:rsidRDefault="00727BBE" w:rsidP="00F914BE">
            <w:pPr>
              <w:pStyle w:val="naisc"/>
              <w:spacing w:before="0" w:after="0"/>
              <w:rPr>
                <w:b/>
                <w:u w:val="single"/>
              </w:rPr>
            </w:pPr>
            <w:r>
              <w:rPr>
                <w:b/>
                <w:u w:val="single"/>
              </w:rPr>
              <w:t>Latvijas Veselības un sociālās aprūpes darbinieku arodbiedrība</w:t>
            </w:r>
          </w:p>
          <w:p w14:paraId="70F426E0" w14:textId="77777777" w:rsidR="00727BBE" w:rsidRDefault="00727BBE" w:rsidP="00F914BE">
            <w:pPr>
              <w:pStyle w:val="naisc"/>
              <w:spacing w:before="0" w:after="0"/>
              <w:jc w:val="both"/>
              <w:rPr>
                <w:bCs/>
              </w:rPr>
            </w:pPr>
            <w:r>
              <w:rPr>
                <w:bCs/>
              </w:rPr>
              <w:t xml:space="preserve">Kopsavilkuma sadaļā </w:t>
            </w:r>
            <w:r w:rsidRPr="004E7D76">
              <w:rPr>
                <w:bCs/>
                <w:i/>
                <w:iCs/>
              </w:rPr>
              <w:t>Rezultāti, secinājumi un tālākā rīcība</w:t>
            </w:r>
            <w:r>
              <w:rPr>
                <w:bCs/>
              </w:rPr>
              <w:t xml:space="preserve"> ietvertais ir saistīts ar sekojošiem būtiskiem riskiem:</w:t>
            </w:r>
          </w:p>
          <w:p w14:paraId="0BF57136" w14:textId="6578500F" w:rsidR="00F4581D" w:rsidRPr="00760459" w:rsidRDefault="00727BBE" w:rsidP="00F914BE">
            <w:pPr>
              <w:jc w:val="both"/>
              <w:rPr>
                <w:rFonts w:eastAsiaTheme="minorHAnsi"/>
                <w:lang w:eastAsia="en-US"/>
              </w:rPr>
            </w:pPr>
            <w:r>
              <w:rPr>
                <w:rFonts w:eastAsiaTheme="minorHAnsi"/>
                <w:lang w:eastAsia="en-US"/>
              </w:rPr>
              <w:t>Risks, ka jaunā kārtība palīdzēs valdībai izvairīties no likumā noteiktās VDS paaugstināšanas veselības aprūpes darbiniekiem 2020. un 2021.gadā, pastāv tāpēc, ka Ziņojuma kopsavilkumā piedāvātais modelis mērķa algas sasniegšanai – pakāpeniski septiņu gadu laikā laika periodā no 2021. līdz 2027.gadam (11.lpp) – Veselības aprūpes finansēšanas likumā noteikto VDS paaugstināšanu neparedz.</w:t>
            </w:r>
          </w:p>
        </w:tc>
        <w:tc>
          <w:tcPr>
            <w:tcW w:w="4111" w:type="dxa"/>
            <w:gridSpan w:val="2"/>
            <w:tcBorders>
              <w:top w:val="single" w:sz="6" w:space="0" w:color="000000"/>
              <w:left w:val="single" w:sz="6" w:space="0" w:color="000000"/>
              <w:bottom w:val="single" w:sz="6" w:space="0" w:color="000000"/>
              <w:right w:val="single" w:sz="6" w:space="0" w:color="000000"/>
            </w:tcBorders>
          </w:tcPr>
          <w:p w14:paraId="5DCAB6CB" w14:textId="77777777" w:rsidR="00727BBE" w:rsidRPr="00774392" w:rsidRDefault="00727BBE" w:rsidP="00F914BE">
            <w:pPr>
              <w:pStyle w:val="naisc"/>
              <w:spacing w:before="0" w:after="0"/>
              <w:rPr>
                <w:b/>
                <w:bCs/>
              </w:rPr>
            </w:pPr>
            <w:r w:rsidRPr="00692403">
              <w:rPr>
                <w:b/>
                <w:bCs/>
              </w:rPr>
              <w:t>Ņemts vērā</w:t>
            </w:r>
          </w:p>
          <w:p w14:paraId="7A493D5F" w14:textId="77777777" w:rsidR="00F4581D" w:rsidRDefault="00727BBE" w:rsidP="00F914BE">
            <w:pPr>
              <w:pStyle w:val="naisc"/>
              <w:spacing w:before="0" w:after="0"/>
              <w:jc w:val="both"/>
            </w:pPr>
            <w:r>
              <w:t>Likumprojekta “Par valsts budžetu 2021.gadam” izstrādes laikā Veselības ministrijai tika piešķirts 183 milj. EUR, lai palielinātu darba samaksu</w:t>
            </w:r>
            <w:r w:rsidR="005973E4">
              <w:t xml:space="preserve"> veselības nozarē nodarbinātajiem, ar šo tika izpildīts Veselības aprūpes finansēšanas likuma Pārejas noteikumu 11.punkts.</w:t>
            </w:r>
          </w:p>
          <w:p w14:paraId="6204EEDF" w14:textId="0F8C04DD" w:rsidR="005973E4" w:rsidRPr="00760459" w:rsidRDefault="005973E4" w:rsidP="00F914BE">
            <w:pPr>
              <w:pStyle w:val="naisc"/>
              <w:spacing w:before="0" w:after="0"/>
              <w:jc w:val="both"/>
            </w:pPr>
            <w:r>
              <w:t xml:space="preserve">Atbilstoši papildus piešķirtajam finansējumam tiks palielināta veselības aprūpes nozares nodarbināto darba samaksa, līdz ar to tika precizēta </w:t>
            </w:r>
            <w:r w:rsidRPr="00820E9A">
              <w:rPr>
                <w:color w:val="20140F"/>
              </w:rPr>
              <w:t>informatīvā ziņojuma VI sadaļa “</w:t>
            </w:r>
            <w:r w:rsidRPr="00820E9A">
              <w:t>Finansējums ārstniecības personu darba samaksai atbilstoši domnīcā izstrādātajam modelim</w:t>
            </w:r>
            <w:r>
              <w:t>”.</w:t>
            </w:r>
          </w:p>
        </w:tc>
        <w:tc>
          <w:tcPr>
            <w:tcW w:w="2410" w:type="dxa"/>
            <w:gridSpan w:val="2"/>
            <w:tcBorders>
              <w:top w:val="single" w:sz="4" w:space="0" w:color="auto"/>
              <w:left w:val="single" w:sz="4" w:space="0" w:color="auto"/>
              <w:bottom w:val="single" w:sz="4" w:space="0" w:color="auto"/>
            </w:tcBorders>
          </w:tcPr>
          <w:p w14:paraId="724CBB13" w14:textId="77777777" w:rsidR="00F4581D" w:rsidRPr="00086103" w:rsidRDefault="00F4581D" w:rsidP="00F914BE">
            <w:pPr>
              <w:pStyle w:val="Standard"/>
              <w:jc w:val="both"/>
              <w:rPr>
                <w:rFonts w:ascii="Times New Roman" w:hAnsi="Times New Roman"/>
                <w:i/>
                <w:iCs/>
              </w:rPr>
            </w:pPr>
          </w:p>
        </w:tc>
      </w:tr>
      <w:tr w:rsidR="00205593" w:rsidRPr="003B71E0" w14:paraId="5211D8A9" w14:textId="77777777" w:rsidTr="00374742">
        <w:tc>
          <w:tcPr>
            <w:tcW w:w="534" w:type="dxa"/>
            <w:tcBorders>
              <w:top w:val="single" w:sz="6" w:space="0" w:color="000000"/>
              <w:left w:val="single" w:sz="6" w:space="0" w:color="000000"/>
              <w:bottom w:val="single" w:sz="6" w:space="0" w:color="000000"/>
              <w:right w:val="single" w:sz="6" w:space="0" w:color="000000"/>
            </w:tcBorders>
          </w:tcPr>
          <w:p w14:paraId="249774E4" w14:textId="059CC74B" w:rsidR="00205593" w:rsidRPr="0048635D" w:rsidRDefault="00205593" w:rsidP="00F914BE">
            <w:pPr>
              <w:pStyle w:val="naisc"/>
              <w:spacing w:before="0" w:after="0"/>
              <w:rPr>
                <w:sz w:val="20"/>
                <w:szCs w:val="20"/>
              </w:rPr>
            </w:pPr>
            <w:r w:rsidRPr="0048635D">
              <w:rPr>
                <w:sz w:val="20"/>
                <w:szCs w:val="20"/>
              </w:rPr>
              <w:t>2</w:t>
            </w:r>
            <w:r w:rsidR="0048635D" w:rsidRPr="0048635D">
              <w:rPr>
                <w:sz w:val="20"/>
                <w:szCs w:val="20"/>
              </w:rPr>
              <w:t>7</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16C194E" w14:textId="77777777" w:rsidR="00205593" w:rsidRPr="0048635D" w:rsidRDefault="00205593"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191A9E8B" w14:textId="77777777" w:rsidR="00205593" w:rsidRPr="0048635D" w:rsidRDefault="00205593" w:rsidP="00F914BE">
            <w:pPr>
              <w:pStyle w:val="naisc"/>
              <w:spacing w:before="0" w:after="0"/>
              <w:rPr>
                <w:b/>
                <w:u w:val="single"/>
              </w:rPr>
            </w:pPr>
            <w:r w:rsidRPr="0048635D">
              <w:rPr>
                <w:b/>
                <w:u w:val="single"/>
              </w:rPr>
              <w:t>Pārresoru koordinācijas centrs</w:t>
            </w:r>
          </w:p>
          <w:p w14:paraId="628BDE65" w14:textId="560437C9" w:rsidR="00B17145" w:rsidRPr="0048635D" w:rsidRDefault="00B17145" w:rsidP="00F914BE">
            <w:pPr>
              <w:pStyle w:val="naisc"/>
              <w:spacing w:before="0" w:after="0"/>
              <w:jc w:val="both"/>
              <w:rPr>
                <w:bCs/>
              </w:rPr>
            </w:pPr>
            <w:r w:rsidRPr="0048635D">
              <w:rPr>
                <w:bCs/>
              </w:rPr>
              <w:t xml:space="preserve">Ieviešot pilna laika ekvivalentu ārstniecības personām un samazinot atalgojuma mainīgās daļas apmēru, tiek </w:t>
            </w:r>
            <w:r w:rsidRPr="0048635D">
              <w:rPr>
                <w:bCs/>
              </w:rPr>
              <w:lastRenderedPageBreak/>
              <w:t>samazināta katra ārsta individuālā pieprasījuma un tādējādi netieši arī kvalifikācijas ietekme uz atlīdzību.</w:t>
            </w:r>
          </w:p>
          <w:p w14:paraId="7ADCEC5D" w14:textId="1351C9D9" w:rsidR="00B17145" w:rsidRPr="0048635D" w:rsidRDefault="00B17145" w:rsidP="00F914BE">
            <w:pPr>
              <w:pStyle w:val="naisc"/>
              <w:spacing w:before="0" w:after="0"/>
              <w:jc w:val="both"/>
              <w:rPr>
                <w:bCs/>
              </w:rPr>
            </w:pPr>
            <w:r w:rsidRPr="0048635D">
              <w:rPr>
                <w:bCs/>
              </w:rPr>
              <w:t>Tāpat identificējami arī citi riski, kas līdz ar piedāvātās darba samaksas kārtības ieviešanu var dot negatīvu ietekmi uz vispārējo situāciju veselības aprūpē, pacientu iespējām saņemt kvalitatīvu veselības aprūpes pakalpojumu un tiesībām izvēlēties veselības aprūpes pakalpojumu sniedzēju.</w:t>
            </w:r>
          </w:p>
          <w:p w14:paraId="0B13B44F" w14:textId="2C1FFF24" w:rsidR="00205593" w:rsidRPr="0048635D" w:rsidRDefault="00B17145" w:rsidP="00F914BE">
            <w:pPr>
              <w:pStyle w:val="naisc"/>
              <w:spacing w:before="0" w:after="0"/>
              <w:jc w:val="both"/>
              <w:rPr>
                <w:bCs/>
              </w:rPr>
            </w:pPr>
            <w:r w:rsidRPr="0048635D">
              <w:rPr>
                <w:bCs/>
              </w:rPr>
              <w:t>Lūdzam papildināt Ziņojumu ar analīzi par piedāvāto darba samaksas izmaiņu ietekmi uz veselības aprūpes pakalpojumu esamību, pieejamību un kvalitāti.</w:t>
            </w:r>
          </w:p>
        </w:tc>
        <w:tc>
          <w:tcPr>
            <w:tcW w:w="4111" w:type="dxa"/>
            <w:gridSpan w:val="2"/>
            <w:tcBorders>
              <w:top w:val="single" w:sz="6" w:space="0" w:color="000000"/>
              <w:left w:val="single" w:sz="6" w:space="0" w:color="000000"/>
              <w:bottom w:val="single" w:sz="6" w:space="0" w:color="000000"/>
              <w:right w:val="single" w:sz="6" w:space="0" w:color="000000"/>
            </w:tcBorders>
          </w:tcPr>
          <w:p w14:paraId="74BD6F16" w14:textId="77777777" w:rsidR="00205593" w:rsidRPr="0048635D" w:rsidRDefault="00B17145" w:rsidP="00F914BE">
            <w:pPr>
              <w:pStyle w:val="naisc"/>
              <w:spacing w:before="0" w:after="0"/>
              <w:rPr>
                <w:b/>
                <w:bCs/>
              </w:rPr>
            </w:pPr>
            <w:r w:rsidRPr="0048635D">
              <w:rPr>
                <w:b/>
                <w:bCs/>
              </w:rPr>
              <w:lastRenderedPageBreak/>
              <w:t>Ņemts vērā</w:t>
            </w:r>
          </w:p>
          <w:p w14:paraId="12D3640C" w14:textId="77777777" w:rsidR="00B17145" w:rsidRPr="0048635D" w:rsidRDefault="00B17145" w:rsidP="00F914BE">
            <w:pPr>
              <w:pStyle w:val="naisc"/>
              <w:spacing w:before="0" w:after="0"/>
              <w:jc w:val="both"/>
            </w:pPr>
            <w:r w:rsidRPr="0048635D">
              <w:t xml:space="preserve">Mainīgās daļas īpatsvaram atalgojumā  jābūt ne lielākam kā 30% gan māsām, </w:t>
            </w:r>
            <w:r w:rsidRPr="0048635D">
              <w:lastRenderedPageBreak/>
              <w:t>gan ārstiem, jo lielāks pamatalgas īpatsvars veicinās lielāku stabilitāti, paredzamību un drošības sajūtu – pie nosacījuma, ka pamatalga ir konkurētspējīga. Mainīgās daļas izmantošanas nolūks nākotnē būtu atalgot ārstniecības personu iniciatīvu, palielinātu intensitāti un izcilību sniegumā, priekšroku dodot komandas, nevis individuāliem materiālās stimulēšanas risinājumiem.</w:t>
            </w:r>
          </w:p>
          <w:p w14:paraId="0DF8EE8E" w14:textId="1BE7C2FB" w:rsidR="00B17145" w:rsidRPr="0048635D" w:rsidRDefault="00B17145" w:rsidP="00F914BE">
            <w:pPr>
              <w:pStyle w:val="naisc"/>
              <w:spacing w:before="0" w:after="0"/>
              <w:jc w:val="both"/>
            </w:pPr>
            <w:r w:rsidRPr="0048635D">
              <w:t>Ziņojums papildināts ar papildus informāciju par piedāvāto darba samaksas izmaiņu ietekmi uz veselības aprūpes pakalpojumu esamību, pieejamību un kvalitāti.</w:t>
            </w:r>
          </w:p>
        </w:tc>
        <w:tc>
          <w:tcPr>
            <w:tcW w:w="2410" w:type="dxa"/>
            <w:gridSpan w:val="2"/>
            <w:tcBorders>
              <w:top w:val="single" w:sz="4" w:space="0" w:color="auto"/>
              <w:left w:val="single" w:sz="4" w:space="0" w:color="auto"/>
              <w:bottom w:val="single" w:sz="4" w:space="0" w:color="auto"/>
            </w:tcBorders>
          </w:tcPr>
          <w:p w14:paraId="21E46560" w14:textId="01B8FB40" w:rsidR="00205593" w:rsidRPr="00205593" w:rsidRDefault="00205593" w:rsidP="00F914BE">
            <w:pPr>
              <w:pStyle w:val="Standard"/>
              <w:jc w:val="both"/>
              <w:rPr>
                <w:rFonts w:ascii="Times New Roman" w:hAnsi="Times New Roman"/>
                <w:i/>
                <w:iCs/>
                <w:color w:val="FF0000"/>
              </w:rPr>
            </w:pPr>
            <w:r w:rsidRPr="0022686F">
              <w:rPr>
                <w:rFonts w:ascii="Times New Roman" w:hAnsi="Times New Roman"/>
                <w:i/>
                <w:iCs/>
              </w:rPr>
              <w:lastRenderedPageBreak/>
              <w:t xml:space="preserve">Papildināta informatīvā ziņojuma Kopsavilkuma sadaļa </w:t>
            </w:r>
            <w:r w:rsidRPr="0022686F">
              <w:rPr>
                <w:rFonts w:ascii="Times New Roman" w:hAnsi="Times New Roman"/>
                <w:i/>
                <w:iCs/>
              </w:rPr>
              <w:lastRenderedPageBreak/>
              <w:t xml:space="preserve">ar informāciju par </w:t>
            </w:r>
            <w:r w:rsidR="00164F31" w:rsidRPr="0022686F">
              <w:rPr>
                <w:rFonts w:ascii="Times New Roman" w:hAnsi="Times New Roman"/>
                <w:i/>
                <w:iCs/>
              </w:rPr>
              <w:t>izstrādātā atalgojuma modeļa sekmīgas ieviešanas pamatprincipiem (12.lpp.).</w:t>
            </w:r>
          </w:p>
        </w:tc>
      </w:tr>
      <w:tr w:rsidR="00B17145" w:rsidRPr="003B71E0" w14:paraId="7199D628"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DACB53C" w14:textId="1F98043A" w:rsidR="00B17145" w:rsidRPr="0048635D" w:rsidRDefault="00B17145" w:rsidP="00F914BE">
            <w:pPr>
              <w:pStyle w:val="naisc"/>
              <w:spacing w:before="0" w:after="0"/>
              <w:rPr>
                <w:sz w:val="20"/>
                <w:szCs w:val="20"/>
              </w:rPr>
            </w:pPr>
            <w:r w:rsidRPr="0048635D">
              <w:rPr>
                <w:sz w:val="20"/>
                <w:szCs w:val="20"/>
              </w:rPr>
              <w:lastRenderedPageBreak/>
              <w:t>2</w:t>
            </w:r>
            <w:r w:rsidR="0048635D" w:rsidRPr="0048635D">
              <w:rPr>
                <w:sz w:val="20"/>
                <w:szCs w:val="20"/>
              </w:rPr>
              <w:t>8</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35B189BA" w14:textId="77777777" w:rsidR="00B17145" w:rsidRPr="0048635D" w:rsidRDefault="00B17145"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4235B9B6" w14:textId="77777777" w:rsidR="00B17145" w:rsidRPr="0048635D" w:rsidRDefault="00B17145" w:rsidP="00F914BE">
            <w:pPr>
              <w:pStyle w:val="naisc"/>
              <w:spacing w:before="0" w:after="0"/>
              <w:rPr>
                <w:b/>
                <w:u w:val="single"/>
              </w:rPr>
            </w:pPr>
            <w:r w:rsidRPr="0048635D">
              <w:rPr>
                <w:b/>
                <w:u w:val="single"/>
              </w:rPr>
              <w:t>Pārresoru koordinācijas centrs</w:t>
            </w:r>
          </w:p>
          <w:p w14:paraId="76FD709F" w14:textId="1278BBDE" w:rsidR="00B17145" w:rsidRPr="0048635D" w:rsidRDefault="00B17145" w:rsidP="00F914BE">
            <w:pPr>
              <w:pStyle w:val="naisc"/>
              <w:spacing w:before="0" w:after="0"/>
              <w:jc w:val="both"/>
              <w:rPr>
                <w:bCs/>
              </w:rPr>
            </w:pPr>
            <w:r w:rsidRPr="0048635D">
              <w:rPr>
                <w:bCs/>
              </w:rPr>
              <w:t>Lūdzam skaidrot, vai un kā pilna laika ekvivalenta ieviešana ārstniecības personām, samazinot atalgojuma mainīgās daļas apmēru un uz mainīgo daļu attiecināmos pienākumus, sekmē virzīšanos uz diagnozēm balstīta apmaksas modeļa (Diagnosis-related group, DRG) ieviešanu, kas veselības aprūpē tiek uzskatīts par efektīvāko, ar rezultātu sasaistīto apmaksas sistēmu.</w:t>
            </w:r>
          </w:p>
        </w:tc>
        <w:tc>
          <w:tcPr>
            <w:tcW w:w="4111" w:type="dxa"/>
            <w:gridSpan w:val="2"/>
            <w:tcBorders>
              <w:top w:val="single" w:sz="6" w:space="0" w:color="000000"/>
              <w:left w:val="single" w:sz="6" w:space="0" w:color="000000"/>
              <w:bottom w:val="single" w:sz="6" w:space="0" w:color="000000"/>
              <w:right w:val="single" w:sz="6" w:space="0" w:color="000000"/>
            </w:tcBorders>
          </w:tcPr>
          <w:p w14:paraId="723F7D03" w14:textId="77777777" w:rsidR="00B17145" w:rsidRPr="0048635D" w:rsidRDefault="00B17145" w:rsidP="00F914BE">
            <w:pPr>
              <w:pStyle w:val="naisc"/>
              <w:spacing w:before="0" w:after="0"/>
              <w:rPr>
                <w:b/>
                <w:bCs/>
              </w:rPr>
            </w:pPr>
            <w:r w:rsidRPr="0048635D">
              <w:rPr>
                <w:b/>
                <w:bCs/>
              </w:rPr>
              <w:t>Ņemts vērā</w:t>
            </w:r>
          </w:p>
          <w:p w14:paraId="73D66B9C" w14:textId="5B06018C" w:rsidR="00B17145" w:rsidRPr="0048635D" w:rsidRDefault="00B17145" w:rsidP="00F914BE">
            <w:pPr>
              <w:pStyle w:val="naisc"/>
              <w:spacing w:before="0" w:after="0"/>
              <w:jc w:val="both"/>
            </w:pPr>
            <w:r w:rsidRPr="0048635D">
              <w:t>Lielākā daļa no stacionārajiem valsts apmaksātajiem veselības aprūpes pakalpojumiem tiek apmaksāti kā DRG maksājums. Minētās sistemas ieviešana sekmēs DRG turpmāku ieviešanu, jo tuvinās caurspīdīgai un pieejamai darba spēka faktisko izdevumu uzskaitei un paredzamībai, tādējādi veicinot DRG sistēmas attīstību un faktisko izmaksu atspoguļošanu.</w:t>
            </w:r>
            <w:r w:rsidR="00D03DE6" w:rsidRPr="0048635D">
              <w:t xml:space="preserve"> </w:t>
            </w:r>
          </w:p>
        </w:tc>
        <w:tc>
          <w:tcPr>
            <w:tcW w:w="2410" w:type="dxa"/>
            <w:gridSpan w:val="2"/>
            <w:tcBorders>
              <w:top w:val="single" w:sz="4" w:space="0" w:color="auto"/>
              <w:left w:val="single" w:sz="4" w:space="0" w:color="auto"/>
              <w:bottom w:val="single" w:sz="4" w:space="0" w:color="auto"/>
            </w:tcBorders>
          </w:tcPr>
          <w:p w14:paraId="03EB3696" w14:textId="77777777" w:rsidR="00B17145" w:rsidRDefault="00B17145" w:rsidP="00F914BE">
            <w:pPr>
              <w:pStyle w:val="Standard"/>
              <w:jc w:val="both"/>
              <w:rPr>
                <w:rFonts w:ascii="Times New Roman" w:hAnsi="Times New Roman"/>
                <w:i/>
                <w:iCs/>
                <w:color w:val="FF0000"/>
              </w:rPr>
            </w:pPr>
          </w:p>
        </w:tc>
      </w:tr>
      <w:tr w:rsidR="00D03DE6" w:rsidRPr="003B71E0" w14:paraId="6072313B" w14:textId="77777777" w:rsidTr="00374742">
        <w:tc>
          <w:tcPr>
            <w:tcW w:w="534" w:type="dxa"/>
            <w:tcBorders>
              <w:top w:val="single" w:sz="6" w:space="0" w:color="000000"/>
              <w:left w:val="single" w:sz="6" w:space="0" w:color="000000"/>
              <w:bottom w:val="single" w:sz="6" w:space="0" w:color="000000"/>
              <w:right w:val="single" w:sz="6" w:space="0" w:color="000000"/>
            </w:tcBorders>
          </w:tcPr>
          <w:p w14:paraId="53B67EF5" w14:textId="2766DDFE" w:rsidR="00D03DE6" w:rsidRPr="0048635D" w:rsidRDefault="00D03DE6" w:rsidP="00F914BE">
            <w:pPr>
              <w:pStyle w:val="naisc"/>
              <w:spacing w:before="0" w:after="0"/>
              <w:rPr>
                <w:sz w:val="20"/>
                <w:szCs w:val="20"/>
              </w:rPr>
            </w:pPr>
            <w:r w:rsidRPr="0048635D">
              <w:rPr>
                <w:sz w:val="20"/>
                <w:szCs w:val="20"/>
              </w:rPr>
              <w:t>2</w:t>
            </w:r>
            <w:r w:rsidR="0048635D" w:rsidRPr="0048635D">
              <w:rPr>
                <w:sz w:val="20"/>
                <w:szCs w:val="20"/>
              </w:rPr>
              <w:t>9</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B315473" w14:textId="77777777" w:rsidR="00D03DE6" w:rsidRPr="0048635D" w:rsidRDefault="00D03DE6"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59EE982D" w14:textId="77777777" w:rsidR="00D03DE6" w:rsidRPr="0048635D" w:rsidRDefault="00D03DE6" w:rsidP="00F914BE">
            <w:pPr>
              <w:pStyle w:val="naisc"/>
              <w:spacing w:before="0" w:after="0"/>
              <w:rPr>
                <w:b/>
                <w:u w:val="single"/>
              </w:rPr>
            </w:pPr>
            <w:r w:rsidRPr="0048635D">
              <w:rPr>
                <w:b/>
                <w:u w:val="single"/>
              </w:rPr>
              <w:t>Pārresoru koordinācijas centrs</w:t>
            </w:r>
          </w:p>
          <w:p w14:paraId="4E817247" w14:textId="23F927ED" w:rsidR="00D03DE6" w:rsidRPr="0048635D" w:rsidRDefault="00D03DE6" w:rsidP="00F914BE">
            <w:pPr>
              <w:pStyle w:val="naisc"/>
              <w:spacing w:before="0" w:after="0"/>
              <w:jc w:val="both"/>
              <w:rPr>
                <w:bCs/>
              </w:rPr>
            </w:pPr>
            <w:r w:rsidRPr="0048635D">
              <w:rPr>
                <w:bCs/>
              </w:rPr>
              <w:t xml:space="preserve">Lūdzam papildināt Ziņojumu, raksturojot, kā Ziņojumā ietvertais risinājums sasaucas ar priekšlikumiem par nepieciešamiem uzlabojumiem cilvēkresursu jomā veselības aprūpē, kas sniegti gan Pasaules bankas 2016.gada izvērtējumā, gan OECD pārskatos par veselības aprūpes sistēmu, gan arī Valsts kontroles 2019.gads revīzijas ziņojumā “Cilvēkresursi veselības </w:t>
            </w:r>
            <w:r w:rsidRPr="0048635D">
              <w:rPr>
                <w:bCs/>
              </w:rPr>
              <w:lastRenderedPageBreak/>
              <w:t>aprūpē. Tāpat lūdzam skaidrot kā tas sasaucas ar 2017.gadā MK apstiprināto konceptuālo ziņojumu “Par veselības aprūpes sistēmas reformu”.</w:t>
            </w:r>
          </w:p>
        </w:tc>
        <w:tc>
          <w:tcPr>
            <w:tcW w:w="4111" w:type="dxa"/>
            <w:gridSpan w:val="2"/>
            <w:tcBorders>
              <w:top w:val="single" w:sz="6" w:space="0" w:color="000000"/>
              <w:left w:val="single" w:sz="6" w:space="0" w:color="000000"/>
              <w:bottom w:val="single" w:sz="6" w:space="0" w:color="000000"/>
              <w:right w:val="single" w:sz="6" w:space="0" w:color="000000"/>
            </w:tcBorders>
          </w:tcPr>
          <w:p w14:paraId="0CCAD54E" w14:textId="77777777" w:rsidR="00D03DE6" w:rsidRPr="0048635D" w:rsidRDefault="00D03DE6" w:rsidP="00F914BE">
            <w:pPr>
              <w:pStyle w:val="naisc"/>
              <w:spacing w:before="0" w:after="0"/>
              <w:rPr>
                <w:b/>
                <w:bCs/>
              </w:rPr>
            </w:pPr>
            <w:r w:rsidRPr="0048635D">
              <w:rPr>
                <w:b/>
                <w:bCs/>
              </w:rPr>
              <w:lastRenderedPageBreak/>
              <w:t>Ņemts vērā</w:t>
            </w:r>
          </w:p>
          <w:p w14:paraId="2FE396EB" w14:textId="77777777" w:rsidR="00D03DE6" w:rsidRPr="0048635D" w:rsidRDefault="00EA7456" w:rsidP="00F914BE">
            <w:pPr>
              <w:pStyle w:val="naisc"/>
              <w:spacing w:before="0" w:after="0"/>
              <w:jc w:val="both"/>
            </w:pPr>
            <w:r w:rsidRPr="0048635D">
              <w:t>Informatīvajā ziņojumā ir plaši izmantota informācija no OECD pārskatiem un datu bāzēm, uz pārskatos un datu bāzēs pieejamās informācijas bāzes ir veikta situācijas salīdzināšana ar OECD vidējiem rādītājiem un izdarīti secinājumi.</w:t>
            </w:r>
          </w:p>
          <w:p w14:paraId="3727292F" w14:textId="77777777" w:rsidR="00EA7456" w:rsidRPr="0048635D" w:rsidRDefault="00110B48" w:rsidP="00F914BE">
            <w:pPr>
              <w:pStyle w:val="naisc"/>
              <w:spacing w:before="0" w:after="0"/>
              <w:jc w:val="both"/>
            </w:pPr>
            <w:r w:rsidRPr="0048635D">
              <w:lastRenderedPageBreak/>
              <w:t xml:space="preserve">Informatīvais ziņojums sasaucas un nav pretrunā ar MK apstiprināto konceptuālo ziņojumu “Par veselības aprūpes sistēmas reformu”, kas balstīts gan uz Pasaules Bankas 2016.gada izvērtējumu, gan Pasaules veselības organizācijas un OECD rekomendācijām. </w:t>
            </w:r>
          </w:p>
          <w:p w14:paraId="3D8BD317" w14:textId="77777777" w:rsidR="001016E5" w:rsidRPr="0048635D" w:rsidRDefault="00110B48" w:rsidP="00F914BE">
            <w:pPr>
              <w:pStyle w:val="naisc"/>
              <w:spacing w:before="0" w:after="0"/>
              <w:jc w:val="both"/>
            </w:pPr>
            <w:r w:rsidRPr="0048635D">
              <w:t>Informatīvais ziņojums sasaucas ar konceptuālā ziņojuma “Par veselības aprūpes sistēmas reformu” 77.punkta (Reformu mērķi, Snieguma rādītāji) 3.apakšpunktu:</w:t>
            </w:r>
            <w:r w:rsidRPr="0048635D">
              <w:rPr>
                <w:i/>
                <w:iCs/>
              </w:rPr>
              <w:t xml:space="preserve"> ņemot vērā ārstniecības personu novecošanos un izteikti nepietiekamo māsu skaitu, - jānodrošina atalgojuma palielinājums, jāīsteno ārstniecības personu piesaiste reģioniem, jāuzlabo ārstniecības personu plānošanas un analītiskā kapacitāte,</w:t>
            </w:r>
            <w:r w:rsidRPr="0048635D">
              <w:t xml:space="preserve"> 129. punktu (Cilvēkresursi) </w:t>
            </w:r>
            <w:r w:rsidRPr="0048635D">
              <w:rPr>
                <w:i/>
                <w:iCs/>
              </w:rPr>
              <w:t xml:space="preserve">nodrošināt personāla atalgojuma pieaugumu un optimālo atalgojuma līmeni. </w:t>
            </w:r>
            <w:r w:rsidRPr="0048635D">
              <w:t>Informatīvajā ziņojumā norādīās mērķa alga pārsniedz Konceptuālajā ziņojumā norādīto sasniedzamo snieguma rādītāju “Ārstu vidējās darba samaksas koeficients pret tautsaimniecībā nodarbinātā vidējo darba algu”</w:t>
            </w:r>
            <w:r w:rsidR="00CB1D1C" w:rsidRPr="0048635D">
              <w:t xml:space="preserve"> (281.punkts), par ko ir veiktas atsauces Informatīvajā ziņojumā.</w:t>
            </w:r>
          </w:p>
          <w:p w14:paraId="5709F7F7" w14:textId="259A33BC" w:rsidR="00CB1D1C" w:rsidRPr="0048635D" w:rsidRDefault="001016E5" w:rsidP="00F914BE">
            <w:pPr>
              <w:pStyle w:val="naisc"/>
              <w:spacing w:before="0" w:after="0"/>
              <w:jc w:val="both"/>
            </w:pPr>
            <w:r w:rsidRPr="0048635D">
              <w:t xml:space="preserve">Informatīvajā ziņojumā ir atsauces gan uz Valsts Kontroles ziņojumu </w:t>
            </w:r>
            <w:r w:rsidR="00CB1D1C" w:rsidRPr="0048635D">
              <w:t xml:space="preserve"> </w:t>
            </w:r>
            <w:r w:rsidRPr="0048635D">
              <w:t>“Cilvēkresursi veselības aprūpē”, gan ES sagatavoto Eiropas Semestra ziņojumu.</w:t>
            </w:r>
          </w:p>
        </w:tc>
        <w:tc>
          <w:tcPr>
            <w:tcW w:w="2410" w:type="dxa"/>
            <w:gridSpan w:val="2"/>
            <w:tcBorders>
              <w:top w:val="single" w:sz="4" w:space="0" w:color="auto"/>
              <w:left w:val="single" w:sz="4" w:space="0" w:color="auto"/>
              <w:bottom w:val="single" w:sz="4" w:space="0" w:color="auto"/>
            </w:tcBorders>
          </w:tcPr>
          <w:p w14:paraId="347AA755" w14:textId="77777777" w:rsidR="00D03DE6" w:rsidRDefault="00D03DE6" w:rsidP="00F914BE">
            <w:pPr>
              <w:pStyle w:val="Standard"/>
              <w:jc w:val="both"/>
              <w:rPr>
                <w:rFonts w:ascii="Times New Roman" w:hAnsi="Times New Roman"/>
                <w:i/>
                <w:iCs/>
                <w:color w:val="FF0000"/>
              </w:rPr>
            </w:pPr>
          </w:p>
        </w:tc>
      </w:tr>
      <w:tr w:rsidR="00D03DE6" w:rsidRPr="003B71E0" w14:paraId="0866357B"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442322C" w14:textId="21A620F5" w:rsidR="00D03DE6" w:rsidRPr="0048635D" w:rsidRDefault="0048635D" w:rsidP="00F914BE">
            <w:pPr>
              <w:pStyle w:val="naisc"/>
              <w:spacing w:before="0" w:after="0"/>
              <w:rPr>
                <w:sz w:val="20"/>
                <w:szCs w:val="20"/>
              </w:rPr>
            </w:pPr>
            <w:r w:rsidRPr="0048635D">
              <w:rPr>
                <w:sz w:val="20"/>
                <w:szCs w:val="20"/>
              </w:rPr>
              <w:t>30</w:t>
            </w:r>
            <w:r w:rsidR="00D03DE6"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7A8B87D0" w14:textId="77777777" w:rsidR="00D03DE6" w:rsidRPr="0048635D" w:rsidRDefault="00D03DE6"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ACDB90D" w14:textId="77777777" w:rsidR="00D03DE6" w:rsidRPr="0048635D" w:rsidRDefault="00D03DE6" w:rsidP="00F914BE">
            <w:pPr>
              <w:pStyle w:val="naisc"/>
              <w:spacing w:before="0" w:after="0"/>
              <w:rPr>
                <w:b/>
                <w:u w:val="single"/>
              </w:rPr>
            </w:pPr>
            <w:r w:rsidRPr="0048635D">
              <w:rPr>
                <w:b/>
                <w:u w:val="single"/>
              </w:rPr>
              <w:t>Pārresoru koordinācijas centrs</w:t>
            </w:r>
          </w:p>
          <w:p w14:paraId="55E641DA" w14:textId="7E2D6AEC" w:rsidR="00D03DE6" w:rsidRPr="0048635D" w:rsidRDefault="00D03DE6" w:rsidP="00F914BE">
            <w:pPr>
              <w:pStyle w:val="naisc"/>
              <w:spacing w:before="0" w:after="0"/>
              <w:jc w:val="both"/>
              <w:rPr>
                <w:bCs/>
              </w:rPr>
            </w:pPr>
            <w:r w:rsidRPr="0048635D">
              <w:rPr>
                <w:bCs/>
              </w:rPr>
              <w:lastRenderedPageBreak/>
              <w:t>Lūdzam papildināt Ziņojumu, norādot, vai un kā piedāvātās izmaiņas ārstniecības personu atlīdzības kārtībā sasaucas ar citu valstu pieredzi un praksi darba samaksas noteikšanā stacionārās veselības aprūpes iestādēs strādājošiem.</w:t>
            </w:r>
          </w:p>
        </w:tc>
        <w:tc>
          <w:tcPr>
            <w:tcW w:w="4111" w:type="dxa"/>
            <w:gridSpan w:val="2"/>
            <w:tcBorders>
              <w:top w:val="single" w:sz="6" w:space="0" w:color="000000"/>
              <w:left w:val="single" w:sz="6" w:space="0" w:color="000000"/>
              <w:bottom w:val="single" w:sz="6" w:space="0" w:color="000000"/>
              <w:right w:val="single" w:sz="6" w:space="0" w:color="000000"/>
            </w:tcBorders>
          </w:tcPr>
          <w:p w14:paraId="6C7BE1A1" w14:textId="77777777" w:rsidR="00110B48" w:rsidRPr="0048635D" w:rsidRDefault="00110B48" w:rsidP="00F914BE">
            <w:pPr>
              <w:pStyle w:val="naisc"/>
              <w:spacing w:before="0" w:after="0"/>
              <w:rPr>
                <w:b/>
                <w:bCs/>
              </w:rPr>
            </w:pPr>
            <w:r w:rsidRPr="0048635D">
              <w:rPr>
                <w:b/>
                <w:bCs/>
              </w:rPr>
              <w:lastRenderedPageBreak/>
              <w:t>Ņemts vērā</w:t>
            </w:r>
          </w:p>
          <w:p w14:paraId="621C3D00" w14:textId="77777777" w:rsidR="001016E5" w:rsidRPr="0048635D" w:rsidRDefault="001016E5" w:rsidP="00F914BE">
            <w:pPr>
              <w:pStyle w:val="naisc"/>
              <w:spacing w:before="0" w:after="0"/>
              <w:jc w:val="both"/>
            </w:pPr>
            <w:r w:rsidRPr="0048635D">
              <w:lastRenderedPageBreak/>
              <w:t xml:space="preserve">Ārtsniecības personu atalgojuma modeļa izstrādes darbnīcas tika izvērtēta Vācijas, Lielbritānijas, Nīderlandes, Portugāles, Lietuvas un Igaunijas pieredze. </w:t>
            </w:r>
          </w:p>
          <w:p w14:paraId="7D793BCE" w14:textId="7CC6AC50" w:rsidR="001016E5" w:rsidRPr="0048635D" w:rsidRDefault="001016E5" w:rsidP="00F914BE">
            <w:pPr>
              <w:pStyle w:val="naisc"/>
              <w:spacing w:before="0" w:after="0"/>
              <w:jc w:val="both"/>
            </w:pPr>
            <w:r w:rsidRPr="0048635D">
              <w:t>Domnīcas darba organizācija, amatu novērtēšana, atalgojumu ietekmējošo faktoru novērtēšana tika organizēta atbilstoši starptautiski aprobētai metodoloģijai, izmantojot atzītus pētījumus, par ko</w:t>
            </w:r>
            <w:r w:rsidR="00B21803" w:rsidRPr="0048635D">
              <w:t xml:space="preserve"> Informatīvajā ziņojumā</w:t>
            </w:r>
            <w:r w:rsidRPr="0048635D">
              <w:t xml:space="preserve"> ir izdarītas atsauces</w:t>
            </w:r>
            <w:r w:rsidR="00B21803" w:rsidRPr="0048635D">
              <w:t xml:space="preserve"> konktētajos gadījumos</w:t>
            </w:r>
            <w:r w:rsidRPr="0048635D">
              <w:t xml:space="preserve">. </w:t>
            </w:r>
          </w:p>
        </w:tc>
        <w:tc>
          <w:tcPr>
            <w:tcW w:w="2410" w:type="dxa"/>
            <w:gridSpan w:val="2"/>
            <w:tcBorders>
              <w:top w:val="single" w:sz="4" w:space="0" w:color="auto"/>
              <w:left w:val="single" w:sz="4" w:space="0" w:color="auto"/>
              <w:bottom w:val="single" w:sz="4" w:space="0" w:color="auto"/>
            </w:tcBorders>
          </w:tcPr>
          <w:p w14:paraId="2EF85874" w14:textId="77777777" w:rsidR="00D03DE6" w:rsidRDefault="00D03DE6" w:rsidP="00F914BE">
            <w:pPr>
              <w:pStyle w:val="Standard"/>
              <w:jc w:val="both"/>
              <w:rPr>
                <w:rFonts w:ascii="Times New Roman" w:hAnsi="Times New Roman"/>
                <w:i/>
                <w:iCs/>
                <w:color w:val="FF0000"/>
              </w:rPr>
            </w:pPr>
          </w:p>
        </w:tc>
      </w:tr>
      <w:tr w:rsidR="00D03DE6" w:rsidRPr="003B71E0" w14:paraId="4CBC008A"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1B8222E" w14:textId="44F2700D" w:rsidR="00D03DE6" w:rsidRPr="0048635D" w:rsidRDefault="0048635D" w:rsidP="00F914BE">
            <w:pPr>
              <w:pStyle w:val="naisc"/>
              <w:spacing w:before="0" w:after="0"/>
              <w:rPr>
                <w:sz w:val="20"/>
                <w:szCs w:val="20"/>
              </w:rPr>
            </w:pPr>
            <w:r w:rsidRPr="0048635D">
              <w:rPr>
                <w:sz w:val="20"/>
                <w:szCs w:val="20"/>
              </w:rPr>
              <w:t>31</w:t>
            </w:r>
            <w:r w:rsidR="00D03DE6"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00040705" w14:textId="77777777" w:rsidR="00D03DE6" w:rsidRPr="0048635D" w:rsidRDefault="00D03DE6"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44017B19" w14:textId="77777777" w:rsidR="00D03DE6" w:rsidRPr="0048635D" w:rsidRDefault="00D03DE6" w:rsidP="00F914BE">
            <w:pPr>
              <w:pStyle w:val="naisc"/>
              <w:spacing w:before="0" w:after="0"/>
              <w:rPr>
                <w:b/>
                <w:u w:val="single"/>
              </w:rPr>
            </w:pPr>
            <w:r w:rsidRPr="0048635D">
              <w:rPr>
                <w:b/>
                <w:u w:val="single"/>
              </w:rPr>
              <w:t>Pārresoru koordinācijas centrs</w:t>
            </w:r>
          </w:p>
          <w:p w14:paraId="358E0928" w14:textId="53D54144" w:rsidR="00D03DE6" w:rsidRPr="0048635D" w:rsidRDefault="00D03DE6" w:rsidP="00F914BE">
            <w:pPr>
              <w:pStyle w:val="naisc"/>
              <w:spacing w:before="0" w:after="0"/>
              <w:jc w:val="both"/>
              <w:rPr>
                <w:bCs/>
              </w:rPr>
            </w:pPr>
            <w:r w:rsidRPr="0048635D">
              <w:rPr>
                <w:bCs/>
              </w:rPr>
              <w:t>Ārstniecības personu atalgojuma pieaugumam ir būtiska ietekme uz vidējā atalgojuma tautsaimniecībā kopumā pieaugumu. Lūdzam šo ietekmi aprēķināt un norādīt Ziņojumā, koriģējot darba samaksas pieauguma modeli tādā veidā, lai izvairītos no ārstniecības personu atalgojuma izmaiņu tiešas ietekmes uz ārstniecības personu atalgojuma pieaugumu nākotnē.</w:t>
            </w:r>
          </w:p>
        </w:tc>
        <w:tc>
          <w:tcPr>
            <w:tcW w:w="4111" w:type="dxa"/>
            <w:gridSpan w:val="2"/>
            <w:tcBorders>
              <w:top w:val="single" w:sz="6" w:space="0" w:color="000000"/>
              <w:left w:val="single" w:sz="6" w:space="0" w:color="000000"/>
              <w:bottom w:val="single" w:sz="6" w:space="0" w:color="000000"/>
              <w:right w:val="single" w:sz="6" w:space="0" w:color="000000"/>
            </w:tcBorders>
          </w:tcPr>
          <w:p w14:paraId="4F48B17F" w14:textId="77777777" w:rsidR="00D03DE6" w:rsidRPr="0048635D" w:rsidRDefault="00D03DE6" w:rsidP="00F914BE">
            <w:pPr>
              <w:pStyle w:val="naisc"/>
              <w:spacing w:before="0" w:after="0"/>
              <w:rPr>
                <w:b/>
                <w:bCs/>
              </w:rPr>
            </w:pPr>
            <w:r w:rsidRPr="0048635D">
              <w:rPr>
                <w:b/>
                <w:bCs/>
              </w:rPr>
              <w:t>Ņemts vērā</w:t>
            </w:r>
          </w:p>
          <w:p w14:paraId="2502222B" w14:textId="1754D375" w:rsidR="00D03DE6" w:rsidRPr="0048635D" w:rsidRDefault="00D03DE6" w:rsidP="00F914BE">
            <w:pPr>
              <w:pStyle w:val="naisc"/>
              <w:spacing w:before="0" w:after="0"/>
              <w:jc w:val="both"/>
            </w:pPr>
            <w:r w:rsidRPr="0048635D">
              <w:t>Lai mazinātu ārstniecības personu atalgojuma izmaiņu tiešas ietekmes uz ārstniecības personu atalgojuma pieaugumu nākotnē</w:t>
            </w:r>
            <w:r w:rsidR="00B21803" w:rsidRPr="0048635D">
              <w:t>,</w:t>
            </w:r>
            <w:r w:rsidR="001016E5" w:rsidRPr="0048635D">
              <w:t xml:space="preserve"> </w:t>
            </w:r>
            <w:r w:rsidR="00B21803" w:rsidRPr="0048635D">
              <w:t>aprēķinos tiks ņemta vērā atalgojuma indeksācija atbilstoši Finanšu ministrijas turpmākajiem gadiem prognozētajam vidējās bruto mēneša darba samaksas pieaugumam un patēriņa cenu indeksam  (kurā abu rādītāju ietekmi katrs veido 50%)).</w:t>
            </w:r>
          </w:p>
        </w:tc>
        <w:tc>
          <w:tcPr>
            <w:tcW w:w="2410" w:type="dxa"/>
            <w:gridSpan w:val="2"/>
            <w:tcBorders>
              <w:top w:val="single" w:sz="4" w:space="0" w:color="auto"/>
              <w:left w:val="single" w:sz="4" w:space="0" w:color="auto"/>
              <w:bottom w:val="single" w:sz="4" w:space="0" w:color="auto"/>
            </w:tcBorders>
          </w:tcPr>
          <w:p w14:paraId="5DE59CC4" w14:textId="77777777" w:rsidR="00D03DE6" w:rsidRDefault="00D03DE6" w:rsidP="00F914BE">
            <w:pPr>
              <w:pStyle w:val="Standard"/>
              <w:jc w:val="both"/>
              <w:rPr>
                <w:rFonts w:ascii="Times New Roman" w:hAnsi="Times New Roman"/>
                <w:i/>
                <w:iCs/>
                <w:color w:val="FF0000"/>
              </w:rPr>
            </w:pPr>
          </w:p>
        </w:tc>
      </w:tr>
      <w:tr w:rsidR="00D03DE6" w:rsidRPr="003B71E0" w14:paraId="27CFE6E8" w14:textId="77777777" w:rsidTr="00374742">
        <w:tc>
          <w:tcPr>
            <w:tcW w:w="534" w:type="dxa"/>
            <w:tcBorders>
              <w:top w:val="single" w:sz="6" w:space="0" w:color="000000"/>
              <w:left w:val="single" w:sz="6" w:space="0" w:color="000000"/>
              <w:bottom w:val="single" w:sz="6" w:space="0" w:color="000000"/>
              <w:right w:val="single" w:sz="6" w:space="0" w:color="000000"/>
            </w:tcBorders>
          </w:tcPr>
          <w:p w14:paraId="085B9E05" w14:textId="4F8FA099" w:rsidR="00D03DE6" w:rsidRPr="0048635D" w:rsidRDefault="00D03DE6" w:rsidP="00F914BE">
            <w:pPr>
              <w:pStyle w:val="naisc"/>
              <w:spacing w:before="0" w:after="0"/>
              <w:rPr>
                <w:sz w:val="20"/>
                <w:szCs w:val="20"/>
              </w:rPr>
            </w:pPr>
            <w:r w:rsidRPr="0048635D">
              <w:rPr>
                <w:sz w:val="20"/>
                <w:szCs w:val="20"/>
              </w:rPr>
              <w:t>3</w:t>
            </w:r>
            <w:r w:rsidR="0048635D" w:rsidRPr="0048635D">
              <w:rPr>
                <w:sz w:val="20"/>
                <w:szCs w:val="20"/>
              </w:rPr>
              <w:t>2</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3DC9EAC0" w14:textId="77777777" w:rsidR="00D03DE6" w:rsidRPr="0048635D" w:rsidRDefault="00D03DE6"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3B80E4F8" w14:textId="77777777" w:rsidR="00D03DE6" w:rsidRPr="0048635D" w:rsidRDefault="00D03DE6" w:rsidP="00F914BE">
            <w:pPr>
              <w:pStyle w:val="naisc"/>
              <w:spacing w:before="0" w:after="0"/>
              <w:rPr>
                <w:b/>
                <w:u w:val="single"/>
              </w:rPr>
            </w:pPr>
            <w:r w:rsidRPr="0048635D">
              <w:rPr>
                <w:b/>
                <w:u w:val="single"/>
              </w:rPr>
              <w:t>Latvijas tirdzniecības un rūpniecības kamera</w:t>
            </w:r>
          </w:p>
          <w:p w14:paraId="063FA5CA" w14:textId="2EDF474C" w:rsidR="00D03DE6" w:rsidRPr="0048635D" w:rsidRDefault="00D03DE6" w:rsidP="00F914BE">
            <w:pPr>
              <w:pStyle w:val="naisc"/>
              <w:spacing w:before="0" w:after="0"/>
              <w:jc w:val="both"/>
              <w:rPr>
                <w:bCs/>
              </w:rPr>
            </w:pPr>
            <w:r w:rsidRPr="0048635D">
              <w:rPr>
                <w:bCs/>
              </w:rPr>
              <w:t xml:space="preserve">Veselības aprūpes pakalpojumus nodrošina gan publiskās, gan privātās komercsabiedrības. Daļa no privātajām komercsabiedrībām ir noslēgusi līgumus ar Nacionālo veselības dienestu par valsts apmaksātu veselības aprūpes pakalpojumu sniegšanu un to īpatsvars no kopīgajiem apjomiem svārstās no 5-80%. Neraugoties, ka atbilstoši Projekta nodaļas “V Turpmākā rīcība” sadaļā 5.1. PLE ieviešana 7.rindkopā teikts, ka “Atalgojuma modelis pilnā apmērā ieviešams pašvaldību </w:t>
            </w:r>
            <w:r w:rsidRPr="0048635D">
              <w:rPr>
                <w:bCs/>
              </w:rPr>
              <w:lastRenderedPageBreak/>
              <w:t>iestādēs, valsts iestādēs, valsts un pašvaldību kapitālsabiedrībās vai publiski privātajās kapitālsabiedrībās, kas sniedz stacionāros un ambulatoros veselības pakalpojumus. Savukārt, privātās ārstniecības iestādēs valsts apmaksāto veselības aprūpes pakalpojumu sniegtajā apjomā, pakalpojumu sniegšanā iesaistītā personāla atalgošanai novirza ne mazāk kā pakalpojumu apmaksas tarifos darba samaksai iekļauto apjomu, kā arī ievērojot noteiktās mērķa algas robežvērtības”, tomēr atsevišķi Projektā iekļautie jautājumi ļoti tieši skar arī privāto ārstniecības iestāžu jautājumus.</w:t>
            </w:r>
          </w:p>
        </w:tc>
        <w:tc>
          <w:tcPr>
            <w:tcW w:w="4111" w:type="dxa"/>
            <w:gridSpan w:val="2"/>
            <w:tcBorders>
              <w:top w:val="single" w:sz="6" w:space="0" w:color="000000"/>
              <w:left w:val="single" w:sz="6" w:space="0" w:color="000000"/>
              <w:bottom w:val="single" w:sz="6" w:space="0" w:color="000000"/>
              <w:right w:val="single" w:sz="6" w:space="0" w:color="000000"/>
            </w:tcBorders>
          </w:tcPr>
          <w:p w14:paraId="54023E4E" w14:textId="77777777" w:rsidR="00D03DE6" w:rsidRPr="0048635D" w:rsidRDefault="00D03DE6" w:rsidP="00F914BE">
            <w:pPr>
              <w:pStyle w:val="naisc"/>
              <w:spacing w:before="0" w:after="0"/>
              <w:rPr>
                <w:b/>
                <w:bCs/>
              </w:rPr>
            </w:pPr>
            <w:r w:rsidRPr="0048635D">
              <w:rPr>
                <w:b/>
                <w:bCs/>
              </w:rPr>
              <w:lastRenderedPageBreak/>
              <w:t>Ņemts vērā</w:t>
            </w:r>
          </w:p>
          <w:p w14:paraId="78030E72" w14:textId="77777777" w:rsidR="00B21803" w:rsidRPr="0048635D" w:rsidRDefault="00AE7FDF" w:rsidP="00F914BE">
            <w:pPr>
              <w:pStyle w:val="naisc"/>
              <w:spacing w:before="0" w:after="0"/>
              <w:jc w:val="both"/>
            </w:pPr>
            <w:r w:rsidRPr="0048635D">
              <w:t>Informatīvā ziņojumā noteiktais pilnā apmērā attiecas uz  pašvaldību iestādēm, valsts iestādēm, valsts un pašvaldību kapitālsabiedrībām vai publiski privātajām kapitālsabiedrībām, kas sniedz stacionāros un ambulatoros veselības pakalpojumus.</w:t>
            </w:r>
          </w:p>
          <w:p w14:paraId="52C7E849" w14:textId="2805AEE2" w:rsidR="00AE7FDF" w:rsidRPr="0048635D" w:rsidRDefault="00AE7FDF" w:rsidP="00F914BE">
            <w:pPr>
              <w:pStyle w:val="naisc"/>
              <w:spacing w:before="0" w:after="0"/>
              <w:jc w:val="both"/>
            </w:pPr>
            <w:r w:rsidRPr="0048635D">
              <w:t xml:space="preserve">Pieņemot atsevišķus lēmumus, kas reglamentē privāto ārtsniecības iestāžu </w:t>
            </w:r>
            <w:r w:rsidRPr="0048635D">
              <w:lastRenderedPageBreak/>
              <w:t>atalgojumu, tiks rosināta diskusija ar asociācijām un sadarbības partneriem, tai skaitā LTRK.</w:t>
            </w:r>
          </w:p>
        </w:tc>
        <w:tc>
          <w:tcPr>
            <w:tcW w:w="2410" w:type="dxa"/>
            <w:gridSpan w:val="2"/>
            <w:tcBorders>
              <w:top w:val="single" w:sz="4" w:space="0" w:color="auto"/>
              <w:left w:val="single" w:sz="4" w:space="0" w:color="auto"/>
              <w:bottom w:val="single" w:sz="4" w:space="0" w:color="auto"/>
            </w:tcBorders>
          </w:tcPr>
          <w:p w14:paraId="5A27114F" w14:textId="77777777" w:rsidR="00D03DE6" w:rsidRDefault="00D03DE6" w:rsidP="00F914BE">
            <w:pPr>
              <w:pStyle w:val="Standard"/>
              <w:jc w:val="both"/>
              <w:rPr>
                <w:rFonts w:ascii="Times New Roman" w:hAnsi="Times New Roman"/>
                <w:i/>
                <w:iCs/>
                <w:color w:val="FF0000"/>
              </w:rPr>
            </w:pPr>
          </w:p>
        </w:tc>
      </w:tr>
      <w:tr w:rsidR="00AE7FDF" w:rsidRPr="003B71E0" w14:paraId="2CA248BD" w14:textId="77777777" w:rsidTr="00374742">
        <w:tc>
          <w:tcPr>
            <w:tcW w:w="534" w:type="dxa"/>
            <w:tcBorders>
              <w:top w:val="single" w:sz="6" w:space="0" w:color="000000"/>
              <w:left w:val="single" w:sz="6" w:space="0" w:color="000000"/>
              <w:bottom w:val="single" w:sz="6" w:space="0" w:color="000000"/>
              <w:right w:val="single" w:sz="6" w:space="0" w:color="000000"/>
            </w:tcBorders>
          </w:tcPr>
          <w:p w14:paraId="768B827A" w14:textId="2845C380" w:rsidR="00AE7FDF" w:rsidRPr="0048635D" w:rsidRDefault="00AE7FDF" w:rsidP="00F914BE">
            <w:pPr>
              <w:pStyle w:val="naisc"/>
              <w:spacing w:before="0" w:after="0"/>
              <w:rPr>
                <w:sz w:val="20"/>
                <w:szCs w:val="20"/>
              </w:rPr>
            </w:pPr>
            <w:r w:rsidRPr="0048635D">
              <w:rPr>
                <w:sz w:val="20"/>
                <w:szCs w:val="20"/>
              </w:rPr>
              <w:t>3</w:t>
            </w:r>
            <w:r w:rsidR="0048635D" w:rsidRPr="0048635D">
              <w:rPr>
                <w:sz w:val="20"/>
                <w:szCs w:val="20"/>
              </w:rPr>
              <w:t>3</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61197AE1" w14:textId="77777777" w:rsidR="00AE7FDF" w:rsidRPr="0048635D" w:rsidRDefault="00AE7FD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502DA86C" w14:textId="77777777" w:rsidR="00AE7FDF" w:rsidRPr="0048635D" w:rsidRDefault="00AE7FDF" w:rsidP="00F914BE">
            <w:pPr>
              <w:pStyle w:val="naisc"/>
              <w:spacing w:before="0" w:after="0"/>
              <w:rPr>
                <w:b/>
                <w:u w:val="single"/>
              </w:rPr>
            </w:pPr>
            <w:r w:rsidRPr="0048635D">
              <w:rPr>
                <w:b/>
                <w:u w:val="single"/>
              </w:rPr>
              <w:t>Latvijas tirdzniecības un rūpniecības kamera</w:t>
            </w:r>
          </w:p>
          <w:p w14:paraId="1D748FAB" w14:textId="77777777" w:rsidR="00AE7FDF" w:rsidRPr="0048635D" w:rsidRDefault="00AE7FDF" w:rsidP="00F914BE">
            <w:pPr>
              <w:pStyle w:val="naisc"/>
              <w:spacing w:before="0" w:after="0"/>
              <w:jc w:val="both"/>
              <w:rPr>
                <w:bCs/>
              </w:rPr>
            </w:pPr>
            <w:r w:rsidRPr="0048635D">
              <w:rPr>
                <w:bCs/>
              </w:rPr>
              <w:t>Projekta kopsavilkuma nodaļas sadaļā “Atalgojuma fonda taisnīga sadale”” (11.lpp) norādīts “Līdz 2020.gada 31.decembrim valsts apmaksāto veselības aprūpes pakalpojumu tarifos aktualizēt faktisko darba samaksas apmēru (vidējā darba samaksa pēc NVD datiem, ko iestādes faktiski maksā ārstniecības personām), samazinot pārējo veselības aprūpes tarifa elementu vērtības koeficientus” un nodaļas “V Turpmākā rīcība” sadaļā 5.4. Veselības aprūpes pakalpojumu tarifu pārskatīšana 1.rindkopā teikts, ka “līdz 2020. gada 31. decembrim izvērtēt iespēju valsts apmaksāto veselības aprūpes pakalpojumu tarifos atspoguļot faktisko darba samaksas apmēru (vidējā darba samaksa pēc NVD datiem, ko iestādēs faktiski maksā ārstniecības personām)”. LTRK kategoriski iebilst minētajām redakcijām, turklāt kopsavilkumā tas tiek atspoguļots atšķirīgi no tālāk Projektā aprakstītā.</w:t>
            </w:r>
            <w:r w:rsidRPr="0048635D">
              <w:t xml:space="preserve"> </w:t>
            </w:r>
            <w:r w:rsidRPr="0048635D">
              <w:rPr>
                <w:bCs/>
              </w:rPr>
              <w:t>LTRK piedāvā šo uzdevumu izslēgt no Projekta teksta (abās vietās) un tabulas. Turklāt piedāvājam  Projekta  nodaļas “V Turpmākā rīcība” 5.4. sadaļu precizēt, atbilstoši veicamajiem  uzdevumiem, uz “Veselības aprūpes pakalpojumu tarifu apmaksas sistēmas pārskatīšana”.</w:t>
            </w:r>
          </w:p>
          <w:p w14:paraId="08ACBF6B" w14:textId="77777777" w:rsidR="003A37C1" w:rsidRPr="0048635D" w:rsidRDefault="003A37C1" w:rsidP="00F914BE">
            <w:pPr>
              <w:pStyle w:val="naisc"/>
              <w:spacing w:before="0" w:after="0"/>
              <w:jc w:val="both"/>
              <w:rPr>
                <w:bCs/>
              </w:rPr>
            </w:pPr>
          </w:p>
          <w:p w14:paraId="1686CE27" w14:textId="77777777" w:rsidR="003A37C1" w:rsidRPr="0048635D" w:rsidRDefault="003A37C1" w:rsidP="00F914BE">
            <w:pPr>
              <w:pStyle w:val="naisc"/>
              <w:spacing w:before="0" w:after="0"/>
              <w:rPr>
                <w:b/>
                <w:u w:val="single"/>
              </w:rPr>
            </w:pPr>
            <w:r w:rsidRPr="0048635D">
              <w:rPr>
                <w:b/>
                <w:u w:val="single"/>
              </w:rPr>
              <w:t>Latvijas darba devēju konfederācija</w:t>
            </w:r>
          </w:p>
          <w:p w14:paraId="4C9F6D55" w14:textId="77777777" w:rsidR="003A37C1" w:rsidRPr="0048635D" w:rsidRDefault="003A37C1" w:rsidP="00F914BE">
            <w:pPr>
              <w:pStyle w:val="naisc"/>
              <w:spacing w:before="0" w:after="0"/>
              <w:jc w:val="both"/>
              <w:rPr>
                <w:bCs/>
              </w:rPr>
            </w:pPr>
            <w:r w:rsidRPr="0048635D">
              <w:rPr>
                <w:bCs/>
              </w:rPr>
              <w:t xml:space="preserve">LDDK iebilst pret ZIŅOJUMA KOPSAVILKUMA sadaļu “Atalgojuma fonda taisnīga sadale”” VM piedāvātajā redakcijā. </w:t>
            </w:r>
          </w:p>
          <w:p w14:paraId="1B323471" w14:textId="77777777" w:rsidR="003A37C1" w:rsidRPr="0048635D" w:rsidRDefault="003A37C1" w:rsidP="00F914BE">
            <w:pPr>
              <w:pStyle w:val="naisc"/>
              <w:spacing w:before="0" w:after="0"/>
              <w:jc w:val="both"/>
              <w:rPr>
                <w:bCs/>
              </w:rPr>
            </w:pPr>
            <w:r w:rsidRPr="0048635D">
              <w:rPr>
                <w:bCs/>
              </w:rPr>
              <w:t>Pamatojums</w:t>
            </w:r>
          </w:p>
          <w:p w14:paraId="70128F5E" w14:textId="77777777" w:rsidR="003A37C1" w:rsidRPr="0048635D" w:rsidRDefault="003A37C1" w:rsidP="00F914BE">
            <w:pPr>
              <w:pStyle w:val="naisc"/>
              <w:spacing w:before="0" w:after="0"/>
              <w:jc w:val="both"/>
              <w:rPr>
                <w:bCs/>
              </w:rPr>
            </w:pPr>
            <w:r w:rsidRPr="0048635D">
              <w:rPr>
                <w:bCs/>
              </w:rPr>
              <w:t xml:space="preserve">Sadaļā norādīts: “Līdz 2020.gada 31.decembrim valsts apmaksāto veselības aprūpes pakalpojumu tarifos aktualizēt faktisko darba samaksas apmēru (vidējā darba samaksa pēc NVD datiem, ko iestādes faktiski maksā ārstniecības personām), samazinot pārējo veselības aprūpes tarifa elementu vērtības koeficientus”. </w:t>
            </w:r>
          </w:p>
          <w:p w14:paraId="298BED9F" w14:textId="1312EB75" w:rsidR="003A37C1" w:rsidRPr="0048635D" w:rsidRDefault="003A37C1" w:rsidP="00F914BE">
            <w:pPr>
              <w:pStyle w:val="naisc"/>
              <w:spacing w:before="0" w:after="0"/>
              <w:jc w:val="both"/>
              <w:rPr>
                <w:bCs/>
              </w:rPr>
            </w:pPr>
            <w:r w:rsidRPr="0048635D">
              <w:rPr>
                <w:bCs/>
              </w:rPr>
              <w:t>LDDK ieskatā atalgojuma komponente ir jāpalielina, bet ar nosacījumu, ka par palielinājuma apmēru tiek palielināts pats tarifs, pretējā gadījumā valsts ķīlnieka lomā nostāda ārstniecības iestādes vadītājus, jo pakalpojumu nodrošināšanai ir nepieciešams ne tikai personāls, bet arī infrastruktūra, iekārtas un materiāli.</w:t>
            </w:r>
          </w:p>
        </w:tc>
        <w:tc>
          <w:tcPr>
            <w:tcW w:w="4111" w:type="dxa"/>
            <w:gridSpan w:val="2"/>
            <w:tcBorders>
              <w:top w:val="single" w:sz="6" w:space="0" w:color="000000"/>
              <w:left w:val="single" w:sz="6" w:space="0" w:color="000000"/>
              <w:bottom w:val="single" w:sz="6" w:space="0" w:color="000000"/>
              <w:right w:val="single" w:sz="6" w:space="0" w:color="000000"/>
            </w:tcBorders>
          </w:tcPr>
          <w:p w14:paraId="1B8905E3" w14:textId="77777777" w:rsidR="00AE7FDF" w:rsidRPr="0048635D" w:rsidRDefault="00AE7FDF" w:rsidP="00F914BE">
            <w:pPr>
              <w:pStyle w:val="naisc"/>
              <w:spacing w:before="0" w:after="0"/>
              <w:rPr>
                <w:b/>
                <w:bCs/>
              </w:rPr>
            </w:pPr>
            <w:r w:rsidRPr="0048635D">
              <w:rPr>
                <w:b/>
                <w:bCs/>
              </w:rPr>
              <w:lastRenderedPageBreak/>
              <w:t>Ņemts vērā</w:t>
            </w:r>
          </w:p>
          <w:p w14:paraId="7827A51B" w14:textId="38C46F49" w:rsidR="00AE7FDF" w:rsidRPr="0048635D" w:rsidRDefault="00150D9F" w:rsidP="00F914BE">
            <w:pPr>
              <w:pStyle w:val="naisc"/>
              <w:spacing w:before="0" w:after="0"/>
              <w:jc w:val="left"/>
            </w:pPr>
            <w:r w:rsidRPr="0048635D">
              <w:t>Priekšlikums ņemts vērā</w:t>
            </w:r>
          </w:p>
        </w:tc>
        <w:tc>
          <w:tcPr>
            <w:tcW w:w="2410" w:type="dxa"/>
            <w:gridSpan w:val="2"/>
            <w:tcBorders>
              <w:top w:val="single" w:sz="4" w:space="0" w:color="auto"/>
              <w:left w:val="single" w:sz="4" w:space="0" w:color="auto"/>
              <w:bottom w:val="single" w:sz="4" w:space="0" w:color="auto"/>
            </w:tcBorders>
          </w:tcPr>
          <w:p w14:paraId="28AC9D2B" w14:textId="77777777" w:rsidR="00AE7FDF" w:rsidRPr="0022686F" w:rsidRDefault="00150D9F" w:rsidP="00F914BE">
            <w:pPr>
              <w:pStyle w:val="Standard"/>
              <w:jc w:val="both"/>
              <w:rPr>
                <w:rFonts w:ascii="Times New Roman" w:hAnsi="Times New Roman"/>
                <w:i/>
                <w:iCs/>
              </w:rPr>
            </w:pPr>
            <w:r w:rsidRPr="0022686F">
              <w:rPr>
                <w:rFonts w:ascii="Times New Roman" w:hAnsi="Times New Roman"/>
                <w:i/>
                <w:iCs/>
              </w:rPr>
              <w:t>No Informatīvā ziņojuma izslēgtas rindkopas “Atalgojuma fonda taisnīga sadale”” (11.lpp)</w:t>
            </w:r>
            <w:r w:rsidRPr="0022686F">
              <w:t xml:space="preserve"> </w:t>
            </w:r>
            <w:r w:rsidRPr="0022686F">
              <w:rPr>
                <w:rFonts w:ascii="Times New Roman" w:hAnsi="Times New Roman"/>
                <w:i/>
                <w:iCs/>
              </w:rPr>
              <w:t xml:space="preserve">“Līdz 2020.gada 31.decembrim valsts apmaksāto veselības aprūpes pakalpojumu tarifos aktualizēt faktisko darba samaksas apmēru (vidējā darba samaksa pēc NVD datiem, ko iestādes faktiski maksā ārstniecības personām), samazinot pārējo veselības aprūpes tarifa elementu vērtības koeficientus” un nodaļas “V Turpmākā </w:t>
            </w:r>
            <w:r w:rsidRPr="0022686F">
              <w:rPr>
                <w:rFonts w:ascii="Times New Roman" w:hAnsi="Times New Roman"/>
                <w:i/>
                <w:iCs/>
              </w:rPr>
              <w:lastRenderedPageBreak/>
              <w:t>rīcība” sadaļā 5.4. Veselības aprūpes pakalpojumu tarifu pārskatīšana 1.rindkopa “līdz 2020. gada 31. decembrim izvērtēt iespēju valsts apmaksāto veselības aprūpes pakalpojumu tarifos atspoguļot faktisko darba samaksas apmēru (vidējā darba samaksa pēc NVD datiem, ko iestādēs faktiski maksā ārstniecības personām)”.</w:t>
            </w:r>
          </w:p>
          <w:p w14:paraId="23F5ED6E" w14:textId="0E064826" w:rsidR="00150D9F" w:rsidRDefault="00150D9F" w:rsidP="00F914BE">
            <w:pPr>
              <w:pStyle w:val="Standard"/>
              <w:jc w:val="both"/>
              <w:rPr>
                <w:rFonts w:ascii="Times New Roman" w:hAnsi="Times New Roman"/>
                <w:i/>
                <w:iCs/>
                <w:color w:val="FF0000"/>
              </w:rPr>
            </w:pPr>
            <w:r w:rsidRPr="0022686F">
              <w:rPr>
                <w:rFonts w:ascii="Times New Roman" w:hAnsi="Times New Roman"/>
                <w:i/>
                <w:iCs/>
              </w:rPr>
              <w:t>Precizēts 5.4. sadaļas virsraksts.</w:t>
            </w:r>
          </w:p>
        </w:tc>
      </w:tr>
      <w:tr w:rsidR="00150D9F" w:rsidRPr="003B71E0" w14:paraId="51D87D9D" w14:textId="77777777" w:rsidTr="00374742">
        <w:tc>
          <w:tcPr>
            <w:tcW w:w="534" w:type="dxa"/>
            <w:tcBorders>
              <w:top w:val="single" w:sz="6" w:space="0" w:color="000000"/>
              <w:left w:val="single" w:sz="6" w:space="0" w:color="000000"/>
              <w:bottom w:val="single" w:sz="6" w:space="0" w:color="000000"/>
              <w:right w:val="single" w:sz="6" w:space="0" w:color="000000"/>
            </w:tcBorders>
          </w:tcPr>
          <w:p w14:paraId="3FCC14EB" w14:textId="53B27DE3" w:rsidR="00150D9F" w:rsidRPr="0048635D" w:rsidRDefault="00150D9F" w:rsidP="00F914BE">
            <w:pPr>
              <w:pStyle w:val="naisc"/>
              <w:spacing w:before="0" w:after="0"/>
              <w:rPr>
                <w:sz w:val="20"/>
                <w:szCs w:val="20"/>
              </w:rPr>
            </w:pPr>
            <w:r w:rsidRPr="0048635D">
              <w:rPr>
                <w:sz w:val="20"/>
                <w:szCs w:val="20"/>
              </w:rPr>
              <w:lastRenderedPageBreak/>
              <w:t>3</w:t>
            </w:r>
            <w:r w:rsidR="0048635D" w:rsidRPr="0048635D">
              <w:rPr>
                <w:sz w:val="20"/>
                <w:szCs w:val="20"/>
              </w:rPr>
              <w:t>4</w:t>
            </w:r>
            <w:r w:rsidRPr="0048635D">
              <w:rPr>
                <w:sz w:val="20"/>
                <w:szCs w:val="20"/>
              </w:rPr>
              <w:t>.</w:t>
            </w:r>
          </w:p>
        </w:tc>
        <w:tc>
          <w:tcPr>
            <w:tcW w:w="2435" w:type="dxa"/>
            <w:tcBorders>
              <w:top w:val="single" w:sz="6" w:space="0" w:color="000000"/>
              <w:left w:val="single" w:sz="6" w:space="0" w:color="000000"/>
              <w:bottom w:val="single" w:sz="6" w:space="0" w:color="000000"/>
              <w:right w:val="single" w:sz="6" w:space="0" w:color="000000"/>
            </w:tcBorders>
          </w:tcPr>
          <w:p w14:paraId="134B5A75" w14:textId="77777777" w:rsidR="00150D9F" w:rsidRPr="0048635D" w:rsidRDefault="00150D9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13425755" w14:textId="77777777" w:rsidR="00150D9F" w:rsidRPr="0048635D" w:rsidRDefault="00150D9F" w:rsidP="00F914BE">
            <w:pPr>
              <w:pStyle w:val="naisc"/>
              <w:spacing w:before="0" w:after="0"/>
              <w:rPr>
                <w:b/>
                <w:u w:val="single"/>
              </w:rPr>
            </w:pPr>
            <w:r w:rsidRPr="0048635D">
              <w:rPr>
                <w:b/>
                <w:u w:val="single"/>
              </w:rPr>
              <w:t>Latvijas tirdzniecības un rūpniecības kamera</w:t>
            </w:r>
          </w:p>
          <w:p w14:paraId="4CDA013C" w14:textId="1253CC35" w:rsidR="00150D9F" w:rsidRPr="0048635D" w:rsidRDefault="00150D9F" w:rsidP="00F914BE">
            <w:pPr>
              <w:pStyle w:val="naisc"/>
              <w:spacing w:before="0" w:after="0"/>
              <w:jc w:val="both"/>
              <w:rPr>
                <w:bCs/>
              </w:rPr>
            </w:pPr>
            <w:r w:rsidRPr="0048635D">
              <w:rPr>
                <w:bCs/>
              </w:rPr>
              <w:t>Domnīcas dalībnieku veiktā problēmu izpēte” 8.rindkopas 1.teikumā ir teikts “ir nevienlīdzība pieejamā finansējumā salīdzinājumā ar privāto sektoru”, LTRK aicina iepriekš minēto teikuma daļu no Projekta izslēgt.</w:t>
            </w:r>
          </w:p>
        </w:tc>
        <w:tc>
          <w:tcPr>
            <w:tcW w:w="4111" w:type="dxa"/>
            <w:gridSpan w:val="2"/>
            <w:tcBorders>
              <w:top w:val="single" w:sz="6" w:space="0" w:color="000000"/>
              <w:left w:val="single" w:sz="6" w:space="0" w:color="000000"/>
              <w:bottom w:val="single" w:sz="6" w:space="0" w:color="000000"/>
              <w:right w:val="single" w:sz="6" w:space="0" w:color="000000"/>
            </w:tcBorders>
          </w:tcPr>
          <w:p w14:paraId="3BD4A899" w14:textId="2C3CC454" w:rsidR="00150D9F" w:rsidRPr="0048635D" w:rsidRDefault="0022686F" w:rsidP="00F914BE">
            <w:pPr>
              <w:pStyle w:val="naisc"/>
              <w:spacing w:before="0" w:after="0"/>
              <w:rPr>
                <w:b/>
                <w:bCs/>
              </w:rPr>
            </w:pPr>
            <w:r>
              <w:rPr>
                <w:b/>
                <w:bCs/>
              </w:rPr>
              <w:t>Ņ</w:t>
            </w:r>
            <w:r w:rsidR="00150D9F" w:rsidRPr="0048635D">
              <w:rPr>
                <w:b/>
                <w:bCs/>
              </w:rPr>
              <w:t>emts vērā</w:t>
            </w:r>
          </w:p>
          <w:p w14:paraId="00763532" w14:textId="77777777" w:rsidR="00150D9F" w:rsidRPr="0048635D" w:rsidRDefault="00150D9F" w:rsidP="00F914BE">
            <w:pPr>
              <w:pStyle w:val="naisc"/>
              <w:spacing w:before="0" w:after="0"/>
              <w:jc w:val="left"/>
            </w:pPr>
            <w:r w:rsidRPr="0048635D">
              <w:t>Iebildums pēc būtības nepiedāvā veikt izmaiņas atalgojuma modelī.</w:t>
            </w:r>
          </w:p>
          <w:p w14:paraId="626E469E" w14:textId="6BE08F1E" w:rsidR="00150D9F" w:rsidRPr="0048635D" w:rsidRDefault="00150D9F" w:rsidP="00F914BE">
            <w:pPr>
              <w:pStyle w:val="naisc"/>
              <w:spacing w:before="0" w:after="0"/>
              <w:jc w:val="both"/>
            </w:pPr>
            <w:r w:rsidRPr="0048635D">
              <w:t xml:space="preserve">Domnīcā tika pieaicināti 34 eksperti, iesaistoties ārstiem un māsām no dažādām ārstniecības iestādēm, veselības aprūpes nozares darba devējiem, augstskolu mācībspēkiem un veselības aprūpes politikas veidotājiem, kā arī pārstāvjiem no Veselības ministrijas, Nacionālā veselības dienesta, Finanšu ministrijas un Valsts kancelejas. Eksperti katrs no savas puses definēja viņuprāt pastāvošās problēmas esošajā atalgojuma modelī un piedāvāja dažādus risinājuma variantus jaunajam </w:t>
            </w:r>
            <w:r w:rsidRPr="0048635D">
              <w:lastRenderedPageBreak/>
              <w:t xml:space="preserve">modelim. Ziņojuma kopsavilkuma sadaļa “Identificētās problēmas” ir </w:t>
            </w:r>
            <w:r w:rsidRPr="0022686F">
              <w:rPr>
                <w:u w:val="single"/>
              </w:rPr>
              <w:t>domnīcas ekspertu izvirzītās problēmas esošajā atalgojumu sistēmā, ne Veselības ministrijas.</w:t>
            </w:r>
          </w:p>
        </w:tc>
        <w:tc>
          <w:tcPr>
            <w:tcW w:w="2410" w:type="dxa"/>
            <w:gridSpan w:val="2"/>
            <w:tcBorders>
              <w:top w:val="single" w:sz="4" w:space="0" w:color="auto"/>
              <w:left w:val="single" w:sz="4" w:space="0" w:color="auto"/>
              <w:bottom w:val="single" w:sz="4" w:space="0" w:color="auto"/>
            </w:tcBorders>
          </w:tcPr>
          <w:p w14:paraId="3B9803D9" w14:textId="77777777" w:rsidR="00150D9F" w:rsidRDefault="00150D9F" w:rsidP="00F914BE">
            <w:pPr>
              <w:pStyle w:val="Standard"/>
              <w:jc w:val="both"/>
              <w:rPr>
                <w:rFonts w:ascii="Times New Roman" w:hAnsi="Times New Roman"/>
                <w:i/>
                <w:iCs/>
                <w:color w:val="FF0000"/>
              </w:rPr>
            </w:pPr>
          </w:p>
        </w:tc>
      </w:tr>
      <w:tr w:rsidR="0022686F" w:rsidRPr="003B71E0" w14:paraId="746913DF" w14:textId="77777777" w:rsidTr="00374742">
        <w:tc>
          <w:tcPr>
            <w:tcW w:w="534" w:type="dxa"/>
            <w:tcBorders>
              <w:top w:val="single" w:sz="6" w:space="0" w:color="000000"/>
              <w:left w:val="single" w:sz="6" w:space="0" w:color="000000"/>
              <w:bottom w:val="single" w:sz="6" w:space="0" w:color="000000"/>
              <w:right w:val="single" w:sz="6" w:space="0" w:color="000000"/>
            </w:tcBorders>
          </w:tcPr>
          <w:p w14:paraId="7AE88BFC" w14:textId="46182400" w:rsidR="0022686F" w:rsidRPr="0048635D" w:rsidRDefault="0022686F" w:rsidP="00F914BE">
            <w:pPr>
              <w:pStyle w:val="naisc"/>
              <w:spacing w:before="0" w:after="0"/>
              <w:rPr>
                <w:sz w:val="20"/>
                <w:szCs w:val="20"/>
              </w:rPr>
            </w:pPr>
            <w:r>
              <w:rPr>
                <w:sz w:val="20"/>
                <w:szCs w:val="20"/>
              </w:rPr>
              <w:t>35.</w:t>
            </w:r>
          </w:p>
        </w:tc>
        <w:tc>
          <w:tcPr>
            <w:tcW w:w="2435" w:type="dxa"/>
            <w:tcBorders>
              <w:top w:val="single" w:sz="6" w:space="0" w:color="000000"/>
              <w:left w:val="single" w:sz="6" w:space="0" w:color="000000"/>
              <w:bottom w:val="single" w:sz="6" w:space="0" w:color="000000"/>
              <w:right w:val="single" w:sz="6" w:space="0" w:color="000000"/>
            </w:tcBorders>
          </w:tcPr>
          <w:p w14:paraId="464F369C" w14:textId="77777777" w:rsidR="0022686F" w:rsidRPr="0048635D" w:rsidRDefault="0022686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7C7B7302" w14:textId="61B27401" w:rsidR="001F4F32" w:rsidRDefault="001F4F32" w:rsidP="00F914BE">
            <w:pPr>
              <w:jc w:val="center"/>
            </w:pPr>
            <w:r>
              <w:rPr>
                <w:b/>
                <w:u w:val="single"/>
              </w:rPr>
              <w:t>Latvijas lielo pilsētu asociācija</w:t>
            </w:r>
          </w:p>
          <w:p w14:paraId="1CF9D320" w14:textId="118A2A0A" w:rsidR="001F4F32" w:rsidRDefault="001F4F32" w:rsidP="00F914BE">
            <w:pPr>
              <w:pStyle w:val="CommentText"/>
              <w:jc w:val="both"/>
              <w:rPr>
                <w:sz w:val="24"/>
                <w:szCs w:val="24"/>
              </w:rPr>
            </w:pPr>
            <w:r>
              <w:rPr>
                <w:sz w:val="24"/>
                <w:szCs w:val="24"/>
              </w:rPr>
              <w:t xml:space="preserve">Nav saprotama izvēle aicināt darbnīcā tikai privāto ambulatoro ārstniecības iestāžu pārstāvi. Valstī ambulatoros veselības aprūpes pakalpojumus sniedz arī pašvaldību ārstniecības iestādes. </w:t>
            </w:r>
          </w:p>
          <w:p w14:paraId="67EEE672" w14:textId="37252EF1" w:rsidR="0022686F" w:rsidRPr="0048635D" w:rsidRDefault="001F4F32" w:rsidP="00F914BE">
            <w:pPr>
              <w:pStyle w:val="naisc"/>
              <w:spacing w:before="0" w:after="0"/>
              <w:jc w:val="left"/>
              <w:rPr>
                <w:b/>
                <w:u w:val="single"/>
              </w:rPr>
            </w:pPr>
            <w:r>
              <w:t>Lūdzam precizēt.</w:t>
            </w:r>
          </w:p>
        </w:tc>
        <w:tc>
          <w:tcPr>
            <w:tcW w:w="4111" w:type="dxa"/>
            <w:gridSpan w:val="2"/>
            <w:tcBorders>
              <w:top w:val="single" w:sz="6" w:space="0" w:color="000000"/>
              <w:left w:val="single" w:sz="6" w:space="0" w:color="000000"/>
              <w:bottom w:val="single" w:sz="6" w:space="0" w:color="000000"/>
              <w:right w:val="single" w:sz="6" w:space="0" w:color="000000"/>
            </w:tcBorders>
          </w:tcPr>
          <w:p w14:paraId="0E4A08AC" w14:textId="77777777" w:rsidR="001F4F32" w:rsidRPr="0048635D" w:rsidRDefault="001F4F32" w:rsidP="00F914BE">
            <w:pPr>
              <w:pStyle w:val="naisc"/>
              <w:spacing w:before="0" w:after="0"/>
              <w:rPr>
                <w:b/>
                <w:bCs/>
              </w:rPr>
            </w:pPr>
            <w:r>
              <w:rPr>
                <w:b/>
                <w:bCs/>
              </w:rPr>
              <w:t>Ņ</w:t>
            </w:r>
            <w:r w:rsidRPr="0048635D">
              <w:rPr>
                <w:b/>
                <w:bCs/>
              </w:rPr>
              <w:t>emts vērā</w:t>
            </w:r>
          </w:p>
          <w:p w14:paraId="493B6901" w14:textId="32ED71F2" w:rsidR="001F4F32" w:rsidRDefault="001F4F32" w:rsidP="00F914BE">
            <w:pPr>
              <w:pStyle w:val="naisc"/>
              <w:spacing w:before="0" w:after="0"/>
              <w:jc w:val="left"/>
            </w:pPr>
            <w:r w:rsidRPr="0048635D">
              <w:t>Iebildums pēc būtības nepiedāvā veikt izmaiņas atalgojuma modelī.</w:t>
            </w:r>
          </w:p>
          <w:p w14:paraId="5A39176C" w14:textId="77777777" w:rsidR="008B306D" w:rsidRPr="0048635D" w:rsidRDefault="008B306D" w:rsidP="00F914BE">
            <w:pPr>
              <w:pStyle w:val="naisc"/>
              <w:spacing w:before="0" w:after="0"/>
              <w:jc w:val="left"/>
            </w:pPr>
          </w:p>
          <w:p w14:paraId="530B9335" w14:textId="1477655F" w:rsidR="0022686F" w:rsidRPr="001F4F32" w:rsidRDefault="001F4F32" w:rsidP="00F914BE">
            <w:pPr>
              <w:pStyle w:val="naisc"/>
              <w:spacing w:before="0" w:after="0"/>
              <w:jc w:val="both"/>
            </w:pPr>
            <w:r w:rsidRPr="001F4F32">
              <w:t>Domnīcas darbs tika uzsākts 2020.gada 10.janvārī</w:t>
            </w:r>
            <w:r>
              <w:t xml:space="preserve"> un ilga 6 nedēļas. Darbs </w:t>
            </w:r>
            <w:r w:rsidRPr="001F4F32">
              <w:rPr>
                <w:b/>
                <w:bCs/>
                <w:u w:val="single"/>
              </w:rPr>
              <w:t>domnīcās ir noslēdzies</w:t>
            </w:r>
            <w:r>
              <w:t xml:space="preserve"> un informatīvajā ziņojumā ir iekļauta informācija zināšanai, par tiem pārstāvjiem, kas piedalījušies.</w:t>
            </w:r>
            <w:r>
              <w:rPr>
                <w:rFonts w:ascii="Calibri" w:hAnsi="Calibri"/>
                <w:color w:val="000000"/>
                <w:shd w:val="clear" w:color="auto" w:fill="FFFFFF"/>
              </w:rPr>
              <w:t xml:space="preserve"> </w:t>
            </w:r>
            <w:r w:rsidRPr="001F4F32">
              <w:rPr>
                <w:color w:val="000000"/>
                <w:shd w:val="clear" w:color="auto" w:fill="FFFFFF"/>
              </w:rPr>
              <w:t>Dalībai domnīcā tika izvēlēti dažādas ārstniecības iestādes, nozares organizācijas, arodbiedrības un speciālistu asociācijas pārstāvoši dalībnieki, aptverot plašu iesaistīto loku, t</w:t>
            </w:r>
            <w:r>
              <w:rPr>
                <w:color w:val="000000"/>
                <w:shd w:val="clear" w:color="auto" w:fill="FFFFFF"/>
              </w:rPr>
              <w:t>ai skaitā</w:t>
            </w:r>
            <w:r w:rsidRPr="001F4F32">
              <w:rPr>
                <w:color w:val="000000"/>
                <w:shd w:val="clear" w:color="auto" w:fill="FFFFFF"/>
              </w:rPr>
              <w:t xml:space="preserve"> no pašvaldību ārstniecības iestādēm - Vidzemes, Cēsu</w:t>
            </w:r>
            <w:r>
              <w:rPr>
                <w:color w:val="000000"/>
                <w:shd w:val="clear" w:color="auto" w:fill="FFFFFF"/>
              </w:rPr>
              <w:t xml:space="preserve"> un</w:t>
            </w:r>
            <w:r w:rsidRPr="001F4F32">
              <w:rPr>
                <w:color w:val="000000"/>
                <w:shd w:val="clear" w:color="auto" w:fill="FFFFFF"/>
              </w:rPr>
              <w:t xml:space="preserve"> Liepājas </w:t>
            </w:r>
            <w:r>
              <w:rPr>
                <w:color w:val="000000"/>
                <w:shd w:val="clear" w:color="auto" w:fill="FFFFFF"/>
              </w:rPr>
              <w:t>slimnīcām.</w:t>
            </w:r>
          </w:p>
        </w:tc>
        <w:tc>
          <w:tcPr>
            <w:tcW w:w="2410" w:type="dxa"/>
            <w:gridSpan w:val="2"/>
            <w:tcBorders>
              <w:top w:val="single" w:sz="4" w:space="0" w:color="auto"/>
              <w:left w:val="single" w:sz="4" w:space="0" w:color="auto"/>
              <w:bottom w:val="single" w:sz="4" w:space="0" w:color="auto"/>
            </w:tcBorders>
          </w:tcPr>
          <w:p w14:paraId="7E1B3264" w14:textId="77777777" w:rsidR="0022686F" w:rsidRDefault="0022686F" w:rsidP="00F914BE">
            <w:pPr>
              <w:pStyle w:val="Standard"/>
              <w:jc w:val="both"/>
              <w:rPr>
                <w:rFonts w:ascii="Times New Roman" w:hAnsi="Times New Roman"/>
                <w:i/>
                <w:iCs/>
                <w:color w:val="FF0000"/>
              </w:rPr>
            </w:pPr>
          </w:p>
        </w:tc>
      </w:tr>
      <w:tr w:rsidR="0022686F" w:rsidRPr="003B71E0" w14:paraId="0F27879B" w14:textId="77777777" w:rsidTr="00374742">
        <w:tc>
          <w:tcPr>
            <w:tcW w:w="534" w:type="dxa"/>
            <w:tcBorders>
              <w:top w:val="single" w:sz="6" w:space="0" w:color="000000"/>
              <w:left w:val="single" w:sz="6" w:space="0" w:color="000000"/>
              <w:bottom w:val="single" w:sz="6" w:space="0" w:color="000000"/>
              <w:right w:val="single" w:sz="6" w:space="0" w:color="000000"/>
            </w:tcBorders>
          </w:tcPr>
          <w:p w14:paraId="450B2EBD" w14:textId="7795532A" w:rsidR="0022686F" w:rsidRPr="0048635D" w:rsidRDefault="001F4F32" w:rsidP="00F914BE">
            <w:pPr>
              <w:pStyle w:val="naisc"/>
              <w:spacing w:before="0" w:after="0"/>
              <w:rPr>
                <w:sz w:val="20"/>
                <w:szCs w:val="20"/>
              </w:rPr>
            </w:pPr>
            <w:r>
              <w:rPr>
                <w:sz w:val="20"/>
                <w:szCs w:val="20"/>
              </w:rPr>
              <w:t>36.</w:t>
            </w:r>
          </w:p>
        </w:tc>
        <w:tc>
          <w:tcPr>
            <w:tcW w:w="2435" w:type="dxa"/>
            <w:tcBorders>
              <w:top w:val="single" w:sz="6" w:space="0" w:color="000000"/>
              <w:left w:val="single" w:sz="6" w:space="0" w:color="000000"/>
              <w:bottom w:val="single" w:sz="6" w:space="0" w:color="000000"/>
              <w:right w:val="single" w:sz="6" w:space="0" w:color="000000"/>
            </w:tcBorders>
          </w:tcPr>
          <w:p w14:paraId="590CD28A" w14:textId="77777777" w:rsidR="0022686F" w:rsidRPr="0048635D" w:rsidRDefault="0022686F" w:rsidP="00F914BE">
            <w:pPr>
              <w:pStyle w:val="naisc"/>
              <w:spacing w:before="0" w:after="0"/>
              <w:rPr>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238CC083" w14:textId="77777777" w:rsidR="001F4F32" w:rsidRDefault="001F4F32" w:rsidP="00F914BE">
            <w:pPr>
              <w:jc w:val="center"/>
            </w:pPr>
            <w:r>
              <w:rPr>
                <w:b/>
                <w:u w:val="single"/>
              </w:rPr>
              <w:t>Latvijas lielo pilsētu asociācija</w:t>
            </w:r>
          </w:p>
          <w:p w14:paraId="5BF5D5B8" w14:textId="7FC936B0" w:rsidR="0022686F" w:rsidRPr="0048635D" w:rsidRDefault="001F4F32" w:rsidP="00F914BE">
            <w:pPr>
              <w:pStyle w:val="naisc"/>
              <w:spacing w:before="0" w:after="0"/>
              <w:jc w:val="both"/>
              <w:rPr>
                <w:b/>
                <w:u w:val="single"/>
              </w:rPr>
            </w:pPr>
            <w:r>
              <w:t>Informatīvajā ziņojumā ir analizēti un vērtēti praktiski tikai ārstniecības personu samaksas modeļi stacionārajās ārstniecības iestādēs, kur papildus tiek sniegti arī ambulatorie veselības aprūpes pakalpojumi. Šobrīd nav skaidrs, kā jaunais ārstniecības personu darba samaksas modelis un piedāvātā darbinieku p</w:t>
            </w:r>
            <w:r w:rsidRPr="007B30CE">
              <w:t>ilna laika ekvivalent</w:t>
            </w:r>
            <w:r>
              <w:t xml:space="preserve">a piemērošana, t.i. </w:t>
            </w:r>
            <w:r w:rsidRPr="007B30CE">
              <w:t>kādas darbības veicamas ārstniecības personai vienas slodzes ietvaros, par kuru maksājama mērķa alga</w:t>
            </w:r>
            <w:r>
              <w:t xml:space="preserve">, tiks noteikta ambulatoro pakalpojumu sniedzējam ambulatorajā ārstniecības iestādē, lai neradītu nevienlīdzību atalgojuma apmērā ārstniecības personām stacionārajās un ambulatorajās ārstniecības iestādēs, kas, </w:t>
            </w:r>
            <w:r>
              <w:lastRenderedPageBreak/>
              <w:t>ņemot vērā cilvēkresursu problēmas veselības aprūpē kopumā, varētu ietekmēt veselības aprūpes darbinieku piesaisti ambulatorajam sektoram.</w:t>
            </w:r>
          </w:p>
        </w:tc>
        <w:tc>
          <w:tcPr>
            <w:tcW w:w="4111" w:type="dxa"/>
            <w:gridSpan w:val="2"/>
            <w:tcBorders>
              <w:top w:val="single" w:sz="6" w:space="0" w:color="000000"/>
              <w:left w:val="single" w:sz="6" w:space="0" w:color="000000"/>
              <w:bottom w:val="single" w:sz="6" w:space="0" w:color="000000"/>
              <w:right w:val="single" w:sz="6" w:space="0" w:color="000000"/>
            </w:tcBorders>
          </w:tcPr>
          <w:p w14:paraId="36FFB0B0" w14:textId="70585093" w:rsidR="001F4F32" w:rsidRPr="001F4F32" w:rsidRDefault="001F4F32" w:rsidP="00F914BE">
            <w:pPr>
              <w:pStyle w:val="naisc"/>
              <w:spacing w:before="0" w:after="0"/>
              <w:rPr>
                <w:b/>
                <w:bCs/>
              </w:rPr>
            </w:pPr>
            <w:r>
              <w:rPr>
                <w:b/>
                <w:bCs/>
              </w:rPr>
              <w:lastRenderedPageBreak/>
              <w:t>Ņ</w:t>
            </w:r>
            <w:r w:rsidRPr="0048635D">
              <w:rPr>
                <w:b/>
                <w:bCs/>
              </w:rPr>
              <w:t>emts vērā</w:t>
            </w:r>
          </w:p>
          <w:p w14:paraId="0114C8AB" w14:textId="7F01B55C" w:rsidR="0022686F" w:rsidRPr="000842BC" w:rsidRDefault="001F4F32" w:rsidP="00F914BE">
            <w:pPr>
              <w:pStyle w:val="naisc"/>
              <w:spacing w:before="0" w:after="0"/>
              <w:jc w:val="both"/>
              <w:rPr>
                <w:b/>
                <w:bCs/>
              </w:rPr>
            </w:pPr>
            <w:r w:rsidRPr="000842BC">
              <w:rPr>
                <w:color w:val="000000"/>
                <w:shd w:val="clear" w:color="auto" w:fill="FFFFFF"/>
              </w:rPr>
              <w:t>Atalgojuma modelis ir piemērojams gan stacionārām, gan ambulatorām ārstniecības iestādēm ar vienādiem pamatprincipiem, tai skaitā noteikto mērķa algas lielumu neatkarīgi no ārstniecības iestādes profila. Tomēr sākotnējā posmā plānots modeli ieviest stacionārās ārstniecības iestādēs, kur šobrīd ir lielākā problemātika atalgojuma noteikšanā</w:t>
            </w:r>
            <w:r w:rsidR="000842BC" w:rsidRPr="000842BC">
              <w:rPr>
                <w:color w:val="000000"/>
                <w:shd w:val="clear" w:color="auto" w:fill="FFFFFF"/>
              </w:rPr>
              <w:t xml:space="preserve">: darba laiks tiek dalīts starp ambulatoro un stacionāro pakalpojumu sniegšanu, dežūrām, </w:t>
            </w:r>
            <w:r w:rsidR="000842BC" w:rsidRPr="000842BC">
              <w:rPr>
                <w:color w:val="000000"/>
                <w:shd w:val="clear" w:color="auto" w:fill="FFFFFF"/>
              </w:rPr>
              <w:lastRenderedPageBreak/>
              <w:t>izglītības un zinātnes darbu, kā arī mainīgā daļa atalgojumā sastāda lielāku procentu daļu kā ambulatorajā sektorā. Ambulatorajās iestādēs PLE, lielākajā daļā gadījumu, sastāvēs tikai no viena</w:t>
            </w:r>
            <w:r w:rsidR="000842BC">
              <w:rPr>
                <w:color w:val="000000"/>
                <w:shd w:val="clear" w:color="auto" w:fill="FFFFFF"/>
              </w:rPr>
              <w:t>s komponentes</w:t>
            </w:r>
            <w:r w:rsidR="000842BC" w:rsidRPr="000842BC">
              <w:rPr>
                <w:color w:val="000000"/>
                <w:shd w:val="clear" w:color="auto" w:fill="FFFFFF"/>
              </w:rPr>
              <w:t xml:space="preserve"> - ambulatorais darbs. Ja iestādē ir vairākas PLE komponentes, tad izmantojams piedāvātais atalgojuma modelis.</w:t>
            </w:r>
          </w:p>
        </w:tc>
        <w:tc>
          <w:tcPr>
            <w:tcW w:w="2410" w:type="dxa"/>
            <w:gridSpan w:val="2"/>
            <w:tcBorders>
              <w:top w:val="single" w:sz="4" w:space="0" w:color="auto"/>
              <w:left w:val="single" w:sz="4" w:space="0" w:color="auto"/>
              <w:bottom w:val="single" w:sz="4" w:space="0" w:color="auto"/>
            </w:tcBorders>
          </w:tcPr>
          <w:p w14:paraId="1562ECEA" w14:textId="77777777" w:rsidR="0022686F" w:rsidRDefault="0022686F" w:rsidP="00F914BE">
            <w:pPr>
              <w:pStyle w:val="Standard"/>
              <w:jc w:val="both"/>
              <w:rPr>
                <w:rFonts w:ascii="Times New Roman" w:hAnsi="Times New Roman"/>
                <w:i/>
                <w:iCs/>
                <w:color w:val="FF0000"/>
              </w:rPr>
            </w:pPr>
          </w:p>
        </w:tc>
      </w:tr>
      <w:tr w:rsidR="00353D42" w14:paraId="48959D57" w14:textId="77777777" w:rsidTr="00374742">
        <w:tblPrEx>
          <w:jc w:val="center"/>
          <w:tblBorders>
            <w:top w:val="none" w:sz="0" w:space="0" w:color="auto"/>
            <w:left w:val="none" w:sz="0" w:space="0" w:color="auto"/>
            <w:bottom w:val="none" w:sz="0" w:space="0" w:color="auto"/>
            <w:right w:val="none" w:sz="0" w:space="0" w:color="auto"/>
          </w:tblBorders>
        </w:tblPrEx>
        <w:trPr>
          <w:gridAfter w:val="1"/>
          <w:wAfter w:w="843" w:type="dxa"/>
          <w:jc w:val="center"/>
        </w:trPr>
        <w:tc>
          <w:tcPr>
            <w:tcW w:w="2969" w:type="dxa"/>
            <w:gridSpan w:val="2"/>
          </w:tcPr>
          <w:p w14:paraId="1AD958A8" w14:textId="115F05BD" w:rsidR="00353D42" w:rsidRDefault="00353D42" w:rsidP="00F914BE">
            <w:pPr>
              <w:pStyle w:val="naiskr"/>
              <w:spacing w:before="0" w:after="0"/>
            </w:pPr>
          </w:p>
          <w:p w14:paraId="056BCF0C" w14:textId="77777777" w:rsidR="001426E8" w:rsidRDefault="001426E8" w:rsidP="00F914BE">
            <w:pPr>
              <w:pStyle w:val="naiskr"/>
              <w:spacing w:before="0" w:after="0"/>
            </w:pPr>
          </w:p>
          <w:p w14:paraId="7B7F9627" w14:textId="0A312807" w:rsidR="00353D42" w:rsidRPr="00712B66" w:rsidRDefault="00353D42" w:rsidP="00F914BE">
            <w:pPr>
              <w:pStyle w:val="naiskr"/>
              <w:spacing w:before="0" w:after="0"/>
            </w:pPr>
            <w:r w:rsidRPr="00712B66">
              <w:t>Atbildīgā amatpersona</w:t>
            </w:r>
          </w:p>
        </w:tc>
        <w:tc>
          <w:tcPr>
            <w:tcW w:w="8939" w:type="dxa"/>
            <w:gridSpan w:val="2"/>
          </w:tcPr>
          <w:p w14:paraId="744AA0CF" w14:textId="2CC204FF" w:rsidR="00353D42" w:rsidRPr="00712B66" w:rsidRDefault="00353D42" w:rsidP="00F914BE">
            <w:pPr>
              <w:pStyle w:val="naiskr"/>
              <w:spacing w:before="0" w:after="0"/>
            </w:pPr>
          </w:p>
        </w:tc>
        <w:tc>
          <w:tcPr>
            <w:tcW w:w="2409" w:type="dxa"/>
            <w:gridSpan w:val="2"/>
          </w:tcPr>
          <w:p w14:paraId="6E081EE1" w14:textId="77777777" w:rsidR="00353D42" w:rsidRDefault="00353D42" w:rsidP="00F914BE">
            <w:pPr>
              <w:pStyle w:val="naiskr"/>
              <w:spacing w:before="0" w:after="0"/>
            </w:pPr>
          </w:p>
        </w:tc>
      </w:tr>
      <w:tr w:rsidR="00353D42" w14:paraId="31EBCCB4" w14:textId="77777777" w:rsidTr="0001150F">
        <w:tblPrEx>
          <w:jc w:val="center"/>
          <w:tblBorders>
            <w:top w:val="none" w:sz="0" w:space="0" w:color="auto"/>
            <w:left w:val="none" w:sz="0" w:space="0" w:color="auto"/>
            <w:bottom w:val="none" w:sz="0" w:space="0" w:color="auto"/>
            <w:right w:val="none" w:sz="0" w:space="0" w:color="auto"/>
          </w:tblBorders>
        </w:tblPrEx>
        <w:trPr>
          <w:gridAfter w:val="1"/>
          <w:wAfter w:w="843" w:type="dxa"/>
          <w:jc w:val="center"/>
        </w:trPr>
        <w:tc>
          <w:tcPr>
            <w:tcW w:w="2969" w:type="dxa"/>
            <w:gridSpan w:val="2"/>
          </w:tcPr>
          <w:p w14:paraId="2EC1F955" w14:textId="77777777" w:rsidR="00353D42" w:rsidRPr="00712B66" w:rsidRDefault="00353D42" w:rsidP="00F914BE">
            <w:pPr>
              <w:pStyle w:val="naiskr"/>
              <w:spacing w:before="0" w:after="0"/>
              <w:ind w:firstLine="720"/>
            </w:pPr>
          </w:p>
        </w:tc>
        <w:tc>
          <w:tcPr>
            <w:tcW w:w="8939" w:type="dxa"/>
            <w:gridSpan w:val="2"/>
            <w:tcBorders>
              <w:top w:val="single" w:sz="6" w:space="0" w:color="000000"/>
            </w:tcBorders>
          </w:tcPr>
          <w:p w14:paraId="62870CD7" w14:textId="77777777" w:rsidR="00353D42" w:rsidRPr="00712B66" w:rsidRDefault="00353D42" w:rsidP="00F914BE">
            <w:pPr>
              <w:pStyle w:val="naisc"/>
              <w:spacing w:before="0" w:after="0"/>
              <w:ind w:firstLine="720"/>
            </w:pPr>
            <w:r w:rsidRPr="00712B66">
              <w:t>(paraksts*)</w:t>
            </w:r>
          </w:p>
        </w:tc>
        <w:tc>
          <w:tcPr>
            <w:tcW w:w="2409" w:type="dxa"/>
            <w:gridSpan w:val="2"/>
            <w:tcBorders>
              <w:top w:val="single" w:sz="6" w:space="0" w:color="000000"/>
            </w:tcBorders>
          </w:tcPr>
          <w:p w14:paraId="72048193" w14:textId="77777777" w:rsidR="00353D42" w:rsidRPr="00712B66" w:rsidRDefault="00353D42" w:rsidP="00F914BE">
            <w:pPr>
              <w:pStyle w:val="naisc"/>
              <w:spacing w:before="0" w:after="0"/>
              <w:ind w:firstLine="720"/>
            </w:pPr>
          </w:p>
        </w:tc>
      </w:tr>
    </w:tbl>
    <w:p w14:paraId="3E9A4EEA" w14:textId="695BA0A9" w:rsidR="00FD7805" w:rsidRDefault="00864543" w:rsidP="00F914BE">
      <w:pPr>
        <w:pStyle w:val="naisf"/>
        <w:spacing w:before="0" w:after="0"/>
        <w:ind w:firstLine="720"/>
      </w:pPr>
      <w:r>
        <w:t>Piezīme. </w:t>
      </w:r>
      <w:r w:rsidRPr="00712B66">
        <w:t>*</w:t>
      </w:r>
      <w:r>
        <w:t> </w:t>
      </w:r>
      <w:r w:rsidRPr="00712B66">
        <w:t xml:space="preserve">Dokumenta rekvizītu </w:t>
      </w:r>
      <w:r w:rsidRPr="00184479">
        <w:t xml:space="preserve">"paraksts" </w:t>
      </w:r>
      <w:r w:rsidRPr="00712B66">
        <w:t xml:space="preserve">neaizpilda, ja elektroniskais dokuments ir </w:t>
      </w:r>
      <w:r>
        <w:t>sagatavots</w:t>
      </w:r>
      <w:r w:rsidRPr="00712B66">
        <w:t xml:space="preserve"> atbilstoši </w:t>
      </w:r>
      <w:r>
        <w:t xml:space="preserve">normatīvajiem aktiem par </w:t>
      </w:r>
      <w:r w:rsidRPr="00712B66">
        <w:t>elektronisko dokumentu noformēšan</w:t>
      </w:r>
      <w:r>
        <w:t>u.</w:t>
      </w:r>
    </w:p>
    <w:p w14:paraId="1F45DA30" w14:textId="178A9B0A" w:rsidR="00864543" w:rsidRPr="00712B66" w:rsidRDefault="00FD7805" w:rsidP="00F914BE">
      <w:pPr>
        <w:pStyle w:val="naisf"/>
        <w:tabs>
          <w:tab w:val="left" w:pos="7710"/>
        </w:tabs>
        <w:spacing w:before="0" w:after="0"/>
        <w:ind w:left="5760" w:firstLine="0"/>
        <w:jc w:val="left"/>
      </w:pPr>
      <w:r>
        <w:t xml:space="preserve">                     Liene Ābola</w:t>
      </w:r>
    </w:p>
    <w:tbl>
      <w:tblPr>
        <w:tblW w:w="0" w:type="auto"/>
        <w:jc w:val="center"/>
        <w:tblLook w:val="00A0" w:firstRow="1" w:lastRow="0" w:firstColumn="1" w:lastColumn="0" w:noHBand="0" w:noVBand="0"/>
      </w:tblPr>
      <w:tblGrid>
        <w:gridCol w:w="11907"/>
      </w:tblGrid>
      <w:tr w:rsidR="00864543" w14:paraId="2DAF624A" w14:textId="77777777" w:rsidTr="00CF5EC3">
        <w:trPr>
          <w:trHeight w:val="81"/>
          <w:jc w:val="center"/>
        </w:trPr>
        <w:tc>
          <w:tcPr>
            <w:tcW w:w="11907" w:type="dxa"/>
            <w:tcBorders>
              <w:top w:val="single" w:sz="4" w:space="0" w:color="000000"/>
            </w:tcBorders>
            <w:vAlign w:val="center"/>
          </w:tcPr>
          <w:p w14:paraId="3DD9BDD3" w14:textId="77777777" w:rsidR="00864543" w:rsidRDefault="00864543" w:rsidP="00F914BE">
            <w:pPr>
              <w:jc w:val="center"/>
            </w:pPr>
            <w:r>
              <w:t>(</w:t>
            </w:r>
            <w:r w:rsidRPr="00712B66">
              <w:t xml:space="preserve">par projektu atbildīgās amatpersonas </w:t>
            </w:r>
            <w:r>
              <w:t xml:space="preserve">vārds un </w:t>
            </w:r>
            <w:r w:rsidRPr="00712B66">
              <w:t>uzvārds</w:t>
            </w:r>
            <w:r>
              <w:t>)</w:t>
            </w:r>
          </w:p>
          <w:p w14:paraId="55D02885" w14:textId="353142BB" w:rsidR="0001150F" w:rsidRPr="00712B66" w:rsidRDefault="0001150F" w:rsidP="00F914BE">
            <w:pPr>
              <w:jc w:val="center"/>
            </w:pPr>
          </w:p>
        </w:tc>
      </w:tr>
      <w:tr w:rsidR="00864543" w14:paraId="77101DD1" w14:textId="77777777" w:rsidTr="00CF5EC3">
        <w:trPr>
          <w:trHeight w:val="81"/>
          <w:jc w:val="center"/>
        </w:trPr>
        <w:tc>
          <w:tcPr>
            <w:tcW w:w="11907" w:type="dxa"/>
            <w:tcBorders>
              <w:bottom w:val="single" w:sz="4" w:space="0" w:color="000000"/>
            </w:tcBorders>
            <w:vAlign w:val="center"/>
          </w:tcPr>
          <w:p w14:paraId="3C5A80E8" w14:textId="2FCB3C21" w:rsidR="00864543" w:rsidRPr="00712B66" w:rsidRDefault="00864543" w:rsidP="00F914BE">
            <w:pPr>
              <w:jc w:val="center"/>
            </w:pPr>
            <w:r>
              <w:t xml:space="preserve">Nozares budžeta plānošanas departamenta vecākā </w:t>
            </w:r>
            <w:r w:rsidR="00312EC3">
              <w:t>referente</w:t>
            </w:r>
          </w:p>
        </w:tc>
      </w:tr>
      <w:tr w:rsidR="00864543" w14:paraId="12C06ECE" w14:textId="77777777" w:rsidTr="00CF5EC3">
        <w:trPr>
          <w:trHeight w:val="85"/>
          <w:jc w:val="center"/>
        </w:trPr>
        <w:tc>
          <w:tcPr>
            <w:tcW w:w="11907" w:type="dxa"/>
            <w:tcBorders>
              <w:top w:val="single" w:sz="4" w:space="0" w:color="000000"/>
            </w:tcBorders>
            <w:vAlign w:val="center"/>
          </w:tcPr>
          <w:p w14:paraId="4054DD74" w14:textId="77777777" w:rsidR="00864543" w:rsidRPr="00712B66" w:rsidRDefault="00864543" w:rsidP="00F914BE">
            <w:pPr>
              <w:jc w:val="center"/>
            </w:pPr>
            <w:r>
              <w:t>(</w:t>
            </w:r>
            <w:r w:rsidRPr="00712B66">
              <w:t>amats</w:t>
            </w:r>
            <w:r>
              <w:t>)</w:t>
            </w:r>
          </w:p>
        </w:tc>
      </w:tr>
      <w:tr w:rsidR="00864543" w14:paraId="4E04D550" w14:textId="77777777" w:rsidTr="00CF5EC3">
        <w:trPr>
          <w:trHeight w:val="81"/>
          <w:jc w:val="center"/>
        </w:trPr>
        <w:tc>
          <w:tcPr>
            <w:tcW w:w="11907" w:type="dxa"/>
            <w:tcBorders>
              <w:bottom w:val="single" w:sz="4" w:space="0" w:color="000000"/>
            </w:tcBorders>
            <w:vAlign w:val="center"/>
          </w:tcPr>
          <w:p w14:paraId="7B678922" w14:textId="33763745" w:rsidR="00864543" w:rsidRPr="00712B66" w:rsidRDefault="00864543" w:rsidP="00F914BE">
            <w:pPr>
              <w:jc w:val="center"/>
            </w:pPr>
            <w:r>
              <w:t>678760</w:t>
            </w:r>
            <w:r w:rsidR="00312EC3">
              <w:t>29</w:t>
            </w:r>
          </w:p>
        </w:tc>
      </w:tr>
      <w:tr w:rsidR="00864543" w14:paraId="5FEBB743" w14:textId="77777777" w:rsidTr="00CF5EC3">
        <w:trPr>
          <w:trHeight w:val="81"/>
          <w:jc w:val="center"/>
        </w:trPr>
        <w:tc>
          <w:tcPr>
            <w:tcW w:w="11907" w:type="dxa"/>
            <w:tcBorders>
              <w:top w:val="single" w:sz="4" w:space="0" w:color="000000"/>
            </w:tcBorders>
            <w:vAlign w:val="center"/>
          </w:tcPr>
          <w:p w14:paraId="2A78308F" w14:textId="77777777" w:rsidR="00864543" w:rsidRPr="00712B66" w:rsidRDefault="00864543" w:rsidP="00F914BE">
            <w:pPr>
              <w:jc w:val="center"/>
            </w:pPr>
            <w:r>
              <w:t>(</w:t>
            </w:r>
            <w:r w:rsidRPr="00712B66">
              <w:t>tālruņa un faksa numurs</w:t>
            </w:r>
            <w:r>
              <w:t>)</w:t>
            </w:r>
          </w:p>
        </w:tc>
      </w:tr>
      <w:tr w:rsidR="00864543" w14:paraId="3A61173E" w14:textId="77777777" w:rsidTr="00CF5EC3">
        <w:trPr>
          <w:trHeight w:val="81"/>
          <w:jc w:val="center"/>
        </w:trPr>
        <w:tc>
          <w:tcPr>
            <w:tcW w:w="11907" w:type="dxa"/>
            <w:tcBorders>
              <w:bottom w:val="single" w:sz="4" w:space="0" w:color="000000"/>
            </w:tcBorders>
            <w:vAlign w:val="center"/>
          </w:tcPr>
          <w:p w14:paraId="70E272F5" w14:textId="6D61B35F" w:rsidR="00864543" w:rsidRPr="00712B66" w:rsidRDefault="00312EC3" w:rsidP="00F914BE">
            <w:pPr>
              <w:jc w:val="center"/>
            </w:pPr>
            <w:r>
              <w:t>Liene.Abola</w:t>
            </w:r>
            <w:r w:rsidR="00864543">
              <w:t>@vm.gov.lv</w:t>
            </w:r>
          </w:p>
        </w:tc>
      </w:tr>
      <w:tr w:rsidR="00864543" w14:paraId="66977CC5" w14:textId="77777777" w:rsidTr="00CF5EC3">
        <w:trPr>
          <w:trHeight w:val="81"/>
          <w:jc w:val="center"/>
        </w:trPr>
        <w:tc>
          <w:tcPr>
            <w:tcW w:w="11907" w:type="dxa"/>
            <w:tcBorders>
              <w:top w:val="single" w:sz="4" w:space="0" w:color="000000"/>
            </w:tcBorders>
            <w:vAlign w:val="center"/>
          </w:tcPr>
          <w:p w14:paraId="39C57147" w14:textId="77777777" w:rsidR="00864543" w:rsidRPr="00712B66" w:rsidRDefault="00864543" w:rsidP="00F914BE">
            <w:pPr>
              <w:jc w:val="center"/>
            </w:pPr>
            <w:r>
              <w:t>(</w:t>
            </w:r>
            <w:r w:rsidRPr="00712B66">
              <w:t>e-pasta adrese</w:t>
            </w:r>
            <w:r>
              <w:t>)</w:t>
            </w:r>
          </w:p>
        </w:tc>
      </w:tr>
    </w:tbl>
    <w:p w14:paraId="5C9A7273" w14:textId="77777777" w:rsidR="007116C7" w:rsidRPr="00155A7D" w:rsidRDefault="007116C7" w:rsidP="00F914BE">
      <w:pPr>
        <w:pStyle w:val="naisf"/>
        <w:spacing w:before="0" w:after="0"/>
        <w:ind w:firstLine="0"/>
        <w:rPr>
          <w:sz w:val="20"/>
          <w:szCs w:val="20"/>
        </w:rPr>
      </w:pPr>
    </w:p>
    <w:sectPr w:rsidR="007116C7" w:rsidRPr="00155A7D" w:rsidSect="00787B50">
      <w:headerReference w:type="even" r:id="rId8"/>
      <w:headerReference w:type="default" r:id="rId9"/>
      <w:footerReference w:type="default" r:id="rId10"/>
      <w:footerReference w:type="first" r:id="rId11"/>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41DEE" w14:textId="77777777" w:rsidR="001F4F32" w:rsidRDefault="001F4F32">
      <w:r>
        <w:separator/>
      </w:r>
    </w:p>
  </w:endnote>
  <w:endnote w:type="continuationSeparator" w:id="0">
    <w:p w14:paraId="78EAE819" w14:textId="77777777" w:rsidR="001F4F32" w:rsidRDefault="001F4F32">
      <w:r>
        <w:continuationSeparator/>
      </w:r>
    </w:p>
  </w:endnote>
  <w:endnote w:type="continuationNotice" w:id="1">
    <w:p w14:paraId="5FC409EC" w14:textId="77777777" w:rsidR="001F4F32" w:rsidRDefault="001F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43B4" w14:textId="77777777" w:rsidR="001F4F32" w:rsidRDefault="001F4F32" w:rsidP="00B326F4">
    <w:pPr>
      <w:pStyle w:val="Footer"/>
      <w:rPr>
        <w:sz w:val="20"/>
        <w:szCs w:val="20"/>
      </w:rPr>
    </w:pPr>
  </w:p>
  <w:p w14:paraId="34092DE7" w14:textId="01A5EBEC" w:rsidR="001F4F32" w:rsidRPr="00BF77FE" w:rsidRDefault="001F4F32" w:rsidP="00B326F4">
    <w:pPr>
      <w:pStyle w:val="Footer"/>
      <w:rPr>
        <w:sz w:val="20"/>
        <w:szCs w:val="20"/>
      </w:rPr>
    </w:pPr>
    <w:r>
      <w:rPr>
        <w:sz w:val="20"/>
        <w:szCs w:val="20"/>
      </w:rPr>
      <w:t>VMIzz_0</w:t>
    </w:r>
    <w:r w:rsidR="00CA6613">
      <w:rPr>
        <w:sz w:val="20"/>
        <w:szCs w:val="20"/>
      </w:rPr>
      <w:t>7</w:t>
    </w:r>
    <w:r>
      <w:rPr>
        <w:sz w:val="20"/>
        <w:szCs w:val="20"/>
      </w:rPr>
      <w:t>1220_darba_samaksa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88D7" w14:textId="2B9544B3" w:rsidR="001F4F32" w:rsidRPr="009E5CD1" w:rsidRDefault="001F4F32" w:rsidP="009E5CD1">
    <w:pPr>
      <w:pStyle w:val="Footer"/>
    </w:pPr>
    <w:r>
      <w:rPr>
        <w:sz w:val="20"/>
        <w:szCs w:val="20"/>
      </w:rPr>
      <w:t>VMIzz_0</w:t>
    </w:r>
    <w:r w:rsidR="00CA6613">
      <w:rPr>
        <w:sz w:val="20"/>
        <w:szCs w:val="20"/>
      </w:rPr>
      <w:t>7</w:t>
    </w:r>
    <w:r>
      <w:rPr>
        <w:sz w:val="20"/>
        <w:szCs w:val="20"/>
      </w:rPr>
      <w:t>1220</w:t>
    </w:r>
    <w:r w:rsidRPr="00B326F4">
      <w:rPr>
        <w:sz w:val="20"/>
        <w:szCs w:val="20"/>
      </w:rPr>
      <w:t>_</w:t>
    </w:r>
    <w:r>
      <w:rPr>
        <w:sz w:val="20"/>
        <w:szCs w:val="20"/>
      </w:rPr>
      <w:t>darba_samaksa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0A23" w14:textId="77777777" w:rsidR="001F4F32" w:rsidRDefault="001F4F32">
      <w:r>
        <w:separator/>
      </w:r>
    </w:p>
  </w:footnote>
  <w:footnote w:type="continuationSeparator" w:id="0">
    <w:p w14:paraId="782E3813" w14:textId="77777777" w:rsidR="001F4F32" w:rsidRDefault="001F4F32">
      <w:r>
        <w:continuationSeparator/>
      </w:r>
    </w:p>
  </w:footnote>
  <w:footnote w:type="continuationNotice" w:id="1">
    <w:p w14:paraId="0C7FB802" w14:textId="77777777" w:rsidR="001F4F32" w:rsidRDefault="001F4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1297" w14:textId="77777777" w:rsidR="001F4F32" w:rsidRDefault="001F4F32" w:rsidP="00364B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EED8B" w14:textId="77777777" w:rsidR="001F4F32" w:rsidRDefault="001F4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D66A" w14:textId="562159D4" w:rsidR="001F4F32" w:rsidRDefault="001F4F32" w:rsidP="00364B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63C946D" w14:textId="77777777" w:rsidR="001F4F32" w:rsidRDefault="001F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8F289E"/>
    <w:multiLevelType w:val="hybridMultilevel"/>
    <w:tmpl w:val="B8788CD6"/>
    <w:lvl w:ilvl="0" w:tplc="5A0A9388">
      <w:start w:val="1"/>
      <w:numFmt w:val="decimal"/>
      <w:lvlText w:val="%1."/>
      <w:lvlJc w:val="left"/>
      <w:pPr>
        <w:ind w:left="927" w:hanging="360"/>
      </w:pPr>
      <w:rPr>
        <w:rFonts w:ascii="Times New Roman" w:eastAsia="Calibri" w:hAnsi="Times New Roman" w:cs="Times New Roman"/>
      </w:rPr>
    </w:lvl>
    <w:lvl w:ilvl="1" w:tplc="43FC9CFE" w:tentative="1">
      <w:start w:val="1"/>
      <w:numFmt w:val="lowerLetter"/>
      <w:lvlText w:val="%2."/>
      <w:lvlJc w:val="left"/>
      <w:pPr>
        <w:ind w:left="1647" w:hanging="360"/>
      </w:pPr>
    </w:lvl>
    <w:lvl w:ilvl="2" w:tplc="21DEB0C4" w:tentative="1">
      <w:start w:val="1"/>
      <w:numFmt w:val="lowerRoman"/>
      <w:lvlText w:val="%3."/>
      <w:lvlJc w:val="right"/>
      <w:pPr>
        <w:ind w:left="2367" w:hanging="180"/>
      </w:pPr>
    </w:lvl>
    <w:lvl w:ilvl="3" w:tplc="BF32807E" w:tentative="1">
      <w:start w:val="1"/>
      <w:numFmt w:val="decimal"/>
      <w:lvlText w:val="%4."/>
      <w:lvlJc w:val="left"/>
      <w:pPr>
        <w:ind w:left="3087" w:hanging="360"/>
      </w:pPr>
    </w:lvl>
    <w:lvl w:ilvl="4" w:tplc="EDD230C2" w:tentative="1">
      <w:start w:val="1"/>
      <w:numFmt w:val="lowerLetter"/>
      <w:lvlText w:val="%5."/>
      <w:lvlJc w:val="left"/>
      <w:pPr>
        <w:ind w:left="3807" w:hanging="360"/>
      </w:pPr>
    </w:lvl>
    <w:lvl w:ilvl="5" w:tplc="F75400A0" w:tentative="1">
      <w:start w:val="1"/>
      <w:numFmt w:val="lowerRoman"/>
      <w:lvlText w:val="%6."/>
      <w:lvlJc w:val="right"/>
      <w:pPr>
        <w:ind w:left="4527" w:hanging="180"/>
      </w:pPr>
    </w:lvl>
    <w:lvl w:ilvl="6" w:tplc="65A4CEB4" w:tentative="1">
      <w:start w:val="1"/>
      <w:numFmt w:val="decimal"/>
      <w:lvlText w:val="%7."/>
      <w:lvlJc w:val="left"/>
      <w:pPr>
        <w:ind w:left="5247" w:hanging="360"/>
      </w:pPr>
    </w:lvl>
    <w:lvl w:ilvl="7" w:tplc="7FAC69AE" w:tentative="1">
      <w:start w:val="1"/>
      <w:numFmt w:val="lowerLetter"/>
      <w:lvlText w:val="%8."/>
      <w:lvlJc w:val="left"/>
      <w:pPr>
        <w:ind w:left="5967" w:hanging="360"/>
      </w:pPr>
    </w:lvl>
    <w:lvl w:ilvl="8" w:tplc="D646FC58" w:tentative="1">
      <w:start w:val="1"/>
      <w:numFmt w:val="lowerRoman"/>
      <w:lvlText w:val="%9."/>
      <w:lvlJc w:val="right"/>
      <w:pPr>
        <w:ind w:left="6687" w:hanging="180"/>
      </w:pPr>
    </w:lvl>
  </w:abstractNum>
  <w:abstractNum w:abstractNumId="1" w15:restartNumberingAfterBreak="0">
    <w:nsid w:val="03EF0830"/>
    <w:multiLevelType w:val="multilevel"/>
    <w:tmpl w:val="B3205C7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3"/>
        <w:szCs w:val="23"/>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471C8"/>
    <w:multiLevelType w:val="hybridMultilevel"/>
    <w:tmpl w:val="C4826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F3347D"/>
    <w:multiLevelType w:val="multilevel"/>
    <w:tmpl w:val="BF4AF838"/>
    <w:lvl w:ilvl="0">
      <w:start w:val="50"/>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54037"/>
    <w:multiLevelType w:val="multilevel"/>
    <w:tmpl w:val="9DC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6682"/>
    <w:multiLevelType w:val="hybridMultilevel"/>
    <w:tmpl w:val="1E18CE26"/>
    <w:lvl w:ilvl="0" w:tplc="021C5DDC">
      <w:start w:val="1"/>
      <w:numFmt w:val="decimal"/>
      <w:lvlText w:val="%1."/>
      <w:lvlJc w:val="left"/>
      <w:pPr>
        <w:ind w:left="1080" w:hanging="360"/>
      </w:pPr>
      <w:rPr>
        <w:rFonts w:hint="default"/>
        <w:b/>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0BD0781"/>
    <w:multiLevelType w:val="hybridMultilevel"/>
    <w:tmpl w:val="400EC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319C6B0D"/>
    <w:multiLevelType w:val="hybridMultilevel"/>
    <w:tmpl w:val="77E0376C"/>
    <w:lvl w:ilvl="0" w:tplc="6A5844E2">
      <w:start w:val="1"/>
      <w:numFmt w:val="decimal"/>
      <w:lvlText w:val="%1."/>
      <w:lvlJc w:val="left"/>
      <w:pPr>
        <w:ind w:left="720" w:hanging="360"/>
      </w:pPr>
      <w:rPr>
        <w:rFonts w:hint="default"/>
      </w:rPr>
    </w:lvl>
    <w:lvl w:ilvl="1" w:tplc="07ACC99C" w:tentative="1">
      <w:start w:val="1"/>
      <w:numFmt w:val="lowerLetter"/>
      <w:lvlText w:val="%2."/>
      <w:lvlJc w:val="left"/>
      <w:pPr>
        <w:ind w:left="1440" w:hanging="360"/>
      </w:pPr>
    </w:lvl>
    <w:lvl w:ilvl="2" w:tplc="FCF01C4C" w:tentative="1">
      <w:start w:val="1"/>
      <w:numFmt w:val="lowerRoman"/>
      <w:lvlText w:val="%3."/>
      <w:lvlJc w:val="right"/>
      <w:pPr>
        <w:ind w:left="2160" w:hanging="180"/>
      </w:pPr>
    </w:lvl>
    <w:lvl w:ilvl="3" w:tplc="16CA8CB4" w:tentative="1">
      <w:start w:val="1"/>
      <w:numFmt w:val="decimal"/>
      <w:lvlText w:val="%4."/>
      <w:lvlJc w:val="left"/>
      <w:pPr>
        <w:ind w:left="2880" w:hanging="360"/>
      </w:pPr>
    </w:lvl>
    <w:lvl w:ilvl="4" w:tplc="6F4E632C" w:tentative="1">
      <w:start w:val="1"/>
      <w:numFmt w:val="lowerLetter"/>
      <w:lvlText w:val="%5."/>
      <w:lvlJc w:val="left"/>
      <w:pPr>
        <w:ind w:left="3600" w:hanging="360"/>
      </w:pPr>
    </w:lvl>
    <w:lvl w:ilvl="5" w:tplc="F3B61D20" w:tentative="1">
      <w:start w:val="1"/>
      <w:numFmt w:val="lowerRoman"/>
      <w:lvlText w:val="%6."/>
      <w:lvlJc w:val="right"/>
      <w:pPr>
        <w:ind w:left="4320" w:hanging="180"/>
      </w:pPr>
    </w:lvl>
    <w:lvl w:ilvl="6" w:tplc="CBF4D3C2" w:tentative="1">
      <w:start w:val="1"/>
      <w:numFmt w:val="decimal"/>
      <w:lvlText w:val="%7."/>
      <w:lvlJc w:val="left"/>
      <w:pPr>
        <w:ind w:left="5040" w:hanging="360"/>
      </w:pPr>
    </w:lvl>
    <w:lvl w:ilvl="7" w:tplc="3E0CE33E" w:tentative="1">
      <w:start w:val="1"/>
      <w:numFmt w:val="lowerLetter"/>
      <w:lvlText w:val="%8."/>
      <w:lvlJc w:val="left"/>
      <w:pPr>
        <w:ind w:left="5760" w:hanging="360"/>
      </w:pPr>
    </w:lvl>
    <w:lvl w:ilvl="8" w:tplc="3E7C90AE" w:tentative="1">
      <w:start w:val="1"/>
      <w:numFmt w:val="lowerRoman"/>
      <w:lvlText w:val="%9."/>
      <w:lvlJc w:val="right"/>
      <w:pPr>
        <w:ind w:left="6480" w:hanging="180"/>
      </w:pPr>
    </w:lvl>
  </w:abstractNum>
  <w:abstractNum w:abstractNumId="8" w15:restartNumberingAfterBreak="0">
    <w:nsid w:val="46027F07"/>
    <w:multiLevelType w:val="multilevel"/>
    <w:tmpl w:val="2C9CC82A"/>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F33AA"/>
    <w:multiLevelType w:val="hybridMultilevel"/>
    <w:tmpl w:val="0F080876"/>
    <w:lvl w:ilvl="0" w:tplc="E26CD69E">
      <w:start w:val="8"/>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056388C"/>
    <w:multiLevelType w:val="multilevel"/>
    <w:tmpl w:val="0AD0274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5726DE"/>
    <w:multiLevelType w:val="hybridMultilevel"/>
    <w:tmpl w:val="1308912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5752F9"/>
    <w:multiLevelType w:val="hybridMultilevel"/>
    <w:tmpl w:val="D9729782"/>
    <w:lvl w:ilvl="0" w:tplc="E9CCD548">
      <w:start w:val="6"/>
      <w:numFmt w:val="bullet"/>
      <w:lvlText w:val=""/>
      <w:lvlJc w:val="left"/>
      <w:pPr>
        <w:ind w:left="714" w:hanging="360"/>
      </w:pPr>
      <w:rPr>
        <w:rFonts w:ascii="Symbol" w:eastAsia="Calibri" w:hAnsi="Symbol" w:cs="Times New Roman" w:hint="default"/>
      </w:rPr>
    </w:lvl>
    <w:lvl w:ilvl="1" w:tplc="04260003" w:tentative="1">
      <w:start w:val="1"/>
      <w:numFmt w:val="bullet"/>
      <w:lvlText w:val="o"/>
      <w:lvlJc w:val="left"/>
      <w:pPr>
        <w:ind w:left="1434" w:hanging="360"/>
      </w:pPr>
      <w:rPr>
        <w:rFonts w:ascii="Courier New" w:hAnsi="Courier New" w:cs="Courier New" w:hint="default"/>
      </w:rPr>
    </w:lvl>
    <w:lvl w:ilvl="2" w:tplc="04260005" w:tentative="1">
      <w:start w:val="1"/>
      <w:numFmt w:val="bullet"/>
      <w:lvlText w:val=""/>
      <w:lvlJc w:val="left"/>
      <w:pPr>
        <w:ind w:left="2154" w:hanging="360"/>
      </w:pPr>
      <w:rPr>
        <w:rFonts w:ascii="Wingdings" w:hAnsi="Wingdings" w:hint="default"/>
      </w:rPr>
    </w:lvl>
    <w:lvl w:ilvl="3" w:tplc="04260001" w:tentative="1">
      <w:start w:val="1"/>
      <w:numFmt w:val="bullet"/>
      <w:lvlText w:val=""/>
      <w:lvlJc w:val="left"/>
      <w:pPr>
        <w:ind w:left="2874" w:hanging="360"/>
      </w:pPr>
      <w:rPr>
        <w:rFonts w:ascii="Symbol" w:hAnsi="Symbol" w:hint="default"/>
      </w:rPr>
    </w:lvl>
    <w:lvl w:ilvl="4" w:tplc="04260003" w:tentative="1">
      <w:start w:val="1"/>
      <w:numFmt w:val="bullet"/>
      <w:lvlText w:val="o"/>
      <w:lvlJc w:val="left"/>
      <w:pPr>
        <w:ind w:left="3594" w:hanging="360"/>
      </w:pPr>
      <w:rPr>
        <w:rFonts w:ascii="Courier New" w:hAnsi="Courier New" w:cs="Courier New" w:hint="default"/>
      </w:rPr>
    </w:lvl>
    <w:lvl w:ilvl="5" w:tplc="04260005" w:tentative="1">
      <w:start w:val="1"/>
      <w:numFmt w:val="bullet"/>
      <w:lvlText w:val=""/>
      <w:lvlJc w:val="left"/>
      <w:pPr>
        <w:ind w:left="4314" w:hanging="360"/>
      </w:pPr>
      <w:rPr>
        <w:rFonts w:ascii="Wingdings" w:hAnsi="Wingdings" w:hint="default"/>
      </w:rPr>
    </w:lvl>
    <w:lvl w:ilvl="6" w:tplc="04260001" w:tentative="1">
      <w:start w:val="1"/>
      <w:numFmt w:val="bullet"/>
      <w:lvlText w:val=""/>
      <w:lvlJc w:val="left"/>
      <w:pPr>
        <w:ind w:left="5034" w:hanging="360"/>
      </w:pPr>
      <w:rPr>
        <w:rFonts w:ascii="Symbol" w:hAnsi="Symbol" w:hint="default"/>
      </w:rPr>
    </w:lvl>
    <w:lvl w:ilvl="7" w:tplc="04260003" w:tentative="1">
      <w:start w:val="1"/>
      <w:numFmt w:val="bullet"/>
      <w:lvlText w:val="o"/>
      <w:lvlJc w:val="left"/>
      <w:pPr>
        <w:ind w:left="5754" w:hanging="360"/>
      </w:pPr>
      <w:rPr>
        <w:rFonts w:ascii="Courier New" w:hAnsi="Courier New" w:cs="Courier New" w:hint="default"/>
      </w:rPr>
    </w:lvl>
    <w:lvl w:ilvl="8" w:tplc="04260005" w:tentative="1">
      <w:start w:val="1"/>
      <w:numFmt w:val="bullet"/>
      <w:lvlText w:val=""/>
      <w:lvlJc w:val="left"/>
      <w:pPr>
        <w:ind w:left="6474" w:hanging="360"/>
      </w:pPr>
      <w:rPr>
        <w:rFonts w:ascii="Wingdings" w:hAnsi="Wingdings" w:hint="default"/>
      </w:rPr>
    </w:lvl>
  </w:abstractNum>
  <w:abstractNum w:abstractNumId="13" w15:restartNumberingAfterBreak="0">
    <w:nsid w:val="5EA059C4"/>
    <w:multiLevelType w:val="hybridMultilevel"/>
    <w:tmpl w:val="C6DEAF98"/>
    <w:lvl w:ilvl="0" w:tplc="01A45E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19C742C"/>
    <w:multiLevelType w:val="hybridMultilevel"/>
    <w:tmpl w:val="793A08DC"/>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D03A30"/>
    <w:multiLevelType w:val="hybridMultilevel"/>
    <w:tmpl w:val="C2DE7140"/>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B5603D"/>
    <w:multiLevelType w:val="multilevel"/>
    <w:tmpl w:val="9BD266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11C12A7"/>
    <w:multiLevelType w:val="multilevel"/>
    <w:tmpl w:val="82AED6AC"/>
    <w:lvl w:ilvl="0">
      <w:start w:val="1"/>
      <w:numFmt w:val="decimal"/>
      <w:lvlText w:val="%1."/>
      <w:lvlJc w:val="left"/>
      <w:pPr>
        <w:ind w:left="644" w:hanging="360"/>
      </w:pPr>
      <w:rPr>
        <w:rFonts w:ascii="Times New Roman" w:eastAsia="Times New Roman" w:hAnsi="Times New Roman" w:cs="Times New Roman"/>
        <w:b w:val="0"/>
        <w:sz w:val="28"/>
        <w:szCs w:val="28"/>
      </w:rPr>
    </w:lvl>
    <w:lvl w:ilvl="1">
      <w:start w:val="1"/>
      <w:numFmt w:val="decimal"/>
      <w:isLgl/>
      <w:lvlText w:val="%1.%2."/>
      <w:lvlJc w:val="left"/>
      <w:pPr>
        <w:ind w:left="2422"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7AA0276F"/>
    <w:multiLevelType w:val="hybridMultilevel"/>
    <w:tmpl w:val="F3B4E6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CA8080A"/>
    <w:multiLevelType w:val="multilevel"/>
    <w:tmpl w:val="B248F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0" w15:restartNumberingAfterBreak="0">
    <w:nsid w:val="7D10278F"/>
    <w:multiLevelType w:val="multilevel"/>
    <w:tmpl w:val="DB4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15"/>
  </w:num>
  <w:num w:numId="4">
    <w:abstractNumId w:val="11"/>
  </w:num>
  <w:num w:numId="5">
    <w:abstractNumId w:val="9"/>
  </w:num>
  <w:num w:numId="6">
    <w:abstractNumId w:val="0"/>
  </w:num>
  <w:num w:numId="7">
    <w:abstractNumId w:val="17"/>
  </w:num>
  <w:num w:numId="8">
    <w:abstractNumId w:val="12"/>
  </w:num>
  <w:num w:numId="9">
    <w:abstractNumId w:val="7"/>
  </w:num>
  <w:num w:numId="10">
    <w:abstractNumId w:val="5"/>
  </w:num>
  <w:num w:numId="11">
    <w:abstractNumId w:val="3"/>
  </w:num>
  <w:num w:numId="12">
    <w:abstractNumId w:val="1"/>
  </w:num>
  <w:num w:numId="13">
    <w:abstractNumId w:val="10"/>
  </w:num>
  <w:num w:numId="14">
    <w:abstractNumId w:val="8"/>
  </w:num>
  <w:num w:numId="15">
    <w:abstractNumId w:val="6"/>
  </w:num>
  <w:num w:numId="16">
    <w:abstractNumId w:val="18"/>
  </w:num>
  <w:num w:numId="17">
    <w:abstractNumId w:val="4"/>
  </w:num>
  <w:num w:numId="18">
    <w:abstractNumId w:val="16"/>
  </w:num>
  <w:num w:numId="19">
    <w:abstractNumId w:val="13"/>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E4"/>
    <w:rsid w:val="00000D68"/>
    <w:rsid w:val="00001745"/>
    <w:rsid w:val="00001F89"/>
    <w:rsid w:val="00002E86"/>
    <w:rsid w:val="00003C53"/>
    <w:rsid w:val="0000456E"/>
    <w:rsid w:val="000055C1"/>
    <w:rsid w:val="000055EA"/>
    <w:rsid w:val="00005A68"/>
    <w:rsid w:val="00005B74"/>
    <w:rsid w:val="0000635E"/>
    <w:rsid w:val="00006BF1"/>
    <w:rsid w:val="0001118D"/>
    <w:rsid w:val="0001131F"/>
    <w:rsid w:val="0001150F"/>
    <w:rsid w:val="00011663"/>
    <w:rsid w:val="00011F48"/>
    <w:rsid w:val="0001249F"/>
    <w:rsid w:val="000125C0"/>
    <w:rsid w:val="0001270C"/>
    <w:rsid w:val="000136AA"/>
    <w:rsid w:val="0001396D"/>
    <w:rsid w:val="00013B4C"/>
    <w:rsid w:val="00013BF6"/>
    <w:rsid w:val="00013ECA"/>
    <w:rsid w:val="00014087"/>
    <w:rsid w:val="0001554C"/>
    <w:rsid w:val="00015B94"/>
    <w:rsid w:val="00015C84"/>
    <w:rsid w:val="00015DE5"/>
    <w:rsid w:val="000172E2"/>
    <w:rsid w:val="00017449"/>
    <w:rsid w:val="00020249"/>
    <w:rsid w:val="00022338"/>
    <w:rsid w:val="0002296A"/>
    <w:rsid w:val="00022B0F"/>
    <w:rsid w:val="00022B9A"/>
    <w:rsid w:val="00023820"/>
    <w:rsid w:val="00023FD6"/>
    <w:rsid w:val="0002416A"/>
    <w:rsid w:val="00024CCD"/>
    <w:rsid w:val="00024D20"/>
    <w:rsid w:val="000253DB"/>
    <w:rsid w:val="000261D1"/>
    <w:rsid w:val="000278E7"/>
    <w:rsid w:val="00027A63"/>
    <w:rsid w:val="00027F9D"/>
    <w:rsid w:val="00030288"/>
    <w:rsid w:val="000307B5"/>
    <w:rsid w:val="00032457"/>
    <w:rsid w:val="0003413A"/>
    <w:rsid w:val="000349CA"/>
    <w:rsid w:val="0003557A"/>
    <w:rsid w:val="00035C06"/>
    <w:rsid w:val="000366DF"/>
    <w:rsid w:val="000376CD"/>
    <w:rsid w:val="00040A5C"/>
    <w:rsid w:val="00041D1A"/>
    <w:rsid w:val="00043005"/>
    <w:rsid w:val="0004345F"/>
    <w:rsid w:val="00044026"/>
    <w:rsid w:val="000443D4"/>
    <w:rsid w:val="00046075"/>
    <w:rsid w:val="00046CAD"/>
    <w:rsid w:val="00046F5C"/>
    <w:rsid w:val="00047385"/>
    <w:rsid w:val="00050554"/>
    <w:rsid w:val="00053706"/>
    <w:rsid w:val="00053E04"/>
    <w:rsid w:val="00055AC2"/>
    <w:rsid w:val="00056E70"/>
    <w:rsid w:val="000576DE"/>
    <w:rsid w:val="000579E6"/>
    <w:rsid w:val="00060009"/>
    <w:rsid w:val="00060E03"/>
    <w:rsid w:val="00060F70"/>
    <w:rsid w:val="000641CE"/>
    <w:rsid w:val="00064540"/>
    <w:rsid w:val="0006496C"/>
    <w:rsid w:val="00065271"/>
    <w:rsid w:val="00065C3F"/>
    <w:rsid w:val="00066176"/>
    <w:rsid w:val="0006618D"/>
    <w:rsid w:val="00066885"/>
    <w:rsid w:val="0006694E"/>
    <w:rsid w:val="00066A37"/>
    <w:rsid w:val="00066F05"/>
    <w:rsid w:val="000678CE"/>
    <w:rsid w:val="00070E58"/>
    <w:rsid w:val="00072628"/>
    <w:rsid w:val="000727A6"/>
    <w:rsid w:val="000728ED"/>
    <w:rsid w:val="000733F5"/>
    <w:rsid w:val="000733FF"/>
    <w:rsid w:val="00074FE5"/>
    <w:rsid w:val="0007577A"/>
    <w:rsid w:val="000759E8"/>
    <w:rsid w:val="000775D0"/>
    <w:rsid w:val="00080E85"/>
    <w:rsid w:val="00081B0F"/>
    <w:rsid w:val="0008283D"/>
    <w:rsid w:val="00083090"/>
    <w:rsid w:val="00083214"/>
    <w:rsid w:val="00083B8F"/>
    <w:rsid w:val="000842BC"/>
    <w:rsid w:val="00084B11"/>
    <w:rsid w:val="00085322"/>
    <w:rsid w:val="00086103"/>
    <w:rsid w:val="0008656F"/>
    <w:rsid w:val="00086AB9"/>
    <w:rsid w:val="00086BCE"/>
    <w:rsid w:val="00086CE5"/>
    <w:rsid w:val="00086F36"/>
    <w:rsid w:val="00090168"/>
    <w:rsid w:val="000904FC"/>
    <w:rsid w:val="00090C76"/>
    <w:rsid w:val="00091033"/>
    <w:rsid w:val="00091F10"/>
    <w:rsid w:val="0009302B"/>
    <w:rsid w:val="000935FC"/>
    <w:rsid w:val="00093EC2"/>
    <w:rsid w:val="000958A2"/>
    <w:rsid w:val="000965E7"/>
    <w:rsid w:val="00096ABE"/>
    <w:rsid w:val="000A0041"/>
    <w:rsid w:val="000A06FC"/>
    <w:rsid w:val="000A0A14"/>
    <w:rsid w:val="000A1A02"/>
    <w:rsid w:val="000A2FDE"/>
    <w:rsid w:val="000A351F"/>
    <w:rsid w:val="000A4035"/>
    <w:rsid w:val="000A483A"/>
    <w:rsid w:val="000A5174"/>
    <w:rsid w:val="000A55D2"/>
    <w:rsid w:val="000A64D3"/>
    <w:rsid w:val="000A77B9"/>
    <w:rsid w:val="000A7CD5"/>
    <w:rsid w:val="000A7EA7"/>
    <w:rsid w:val="000B0403"/>
    <w:rsid w:val="000B057B"/>
    <w:rsid w:val="000B06E7"/>
    <w:rsid w:val="000B0C52"/>
    <w:rsid w:val="000B0C94"/>
    <w:rsid w:val="000B14BC"/>
    <w:rsid w:val="000B15E5"/>
    <w:rsid w:val="000B2382"/>
    <w:rsid w:val="000B3171"/>
    <w:rsid w:val="000B34A5"/>
    <w:rsid w:val="000B4746"/>
    <w:rsid w:val="000B7966"/>
    <w:rsid w:val="000B7CB1"/>
    <w:rsid w:val="000C0AE6"/>
    <w:rsid w:val="000C0D0D"/>
    <w:rsid w:val="000C1DC0"/>
    <w:rsid w:val="000C21B0"/>
    <w:rsid w:val="000C2555"/>
    <w:rsid w:val="000C2A47"/>
    <w:rsid w:val="000C3545"/>
    <w:rsid w:val="000C3F7A"/>
    <w:rsid w:val="000C498A"/>
    <w:rsid w:val="000C4C16"/>
    <w:rsid w:val="000C56FC"/>
    <w:rsid w:val="000C7907"/>
    <w:rsid w:val="000C7A11"/>
    <w:rsid w:val="000C7F5E"/>
    <w:rsid w:val="000D00AC"/>
    <w:rsid w:val="000D0AED"/>
    <w:rsid w:val="000D1088"/>
    <w:rsid w:val="000D2E68"/>
    <w:rsid w:val="000D3602"/>
    <w:rsid w:val="000D3D85"/>
    <w:rsid w:val="000D4D89"/>
    <w:rsid w:val="000D6631"/>
    <w:rsid w:val="000D6BBD"/>
    <w:rsid w:val="000D71FD"/>
    <w:rsid w:val="000D7751"/>
    <w:rsid w:val="000D7C23"/>
    <w:rsid w:val="000E01B2"/>
    <w:rsid w:val="000E0A16"/>
    <w:rsid w:val="000E0A21"/>
    <w:rsid w:val="000E0B59"/>
    <w:rsid w:val="000E1BFA"/>
    <w:rsid w:val="000E2142"/>
    <w:rsid w:val="000E21D0"/>
    <w:rsid w:val="000E2A38"/>
    <w:rsid w:val="000E2ACC"/>
    <w:rsid w:val="000E3035"/>
    <w:rsid w:val="000E3CFC"/>
    <w:rsid w:val="000E401E"/>
    <w:rsid w:val="000E5509"/>
    <w:rsid w:val="000E585F"/>
    <w:rsid w:val="000E64EE"/>
    <w:rsid w:val="000E66F8"/>
    <w:rsid w:val="000E6C8C"/>
    <w:rsid w:val="000E70EA"/>
    <w:rsid w:val="000E7F0F"/>
    <w:rsid w:val="000F054F"/>
    <w:rsid w:val="000F079D"/>
    <w:rsid w:val="000F0D9D"/>
    <w:rsid w:val="000F1B77"/>
    <w:rsid w:val="000F1D56"/>
    <w:rsid w:val="000F2534"/>
    <w:rsid w:val="000F28D9"/>
    <w:rsid w:val="000F2D43"/>
    <w:rsid w:val="000F2F9A"/>
    <w:rsid w:val="000F2FD7"/>
    <w:rsid w:val="000F3AA0"/>
    <w:rsid w:val="000F4981"/>
    <w:rsid w:val="000F4AEB"/>
    <w:rsid w:val="000F4B40"/>
    <w:rsid w:val="000F4C3B"/>
    <w:rsid w:val="000F4E7B"/>
    <w:rsid w:val="000F5038"/>
    <w:rsid w:val="000F57C3"/>
    <w:rsid w:val="000F5C37"/>
    <w:rsid w:val="000F5DF0"/>
    <w:rsid w:val="000F6A0B"/>
    <w:rsid w:val="000F7695"/>
    <w:rsid w:val="001004B0"/>
    <w:rsid w:val="00100E56"/>
    <w:rsid w:val="001012E3"/>
    <w:rsid w:val="001016E5"/>
    <w:rsid w:val="00101EEB"/>
    <w:rsid w:val="001029E9"/>
    <w:rsid w:val="0010375A"/>
    <w:rsid w:val="001038ED"/>
    <w:rsid w:val="001039FB"/>
    <w:rsid w:val="001042B0"/>
    <w:rsid w:val="00105BB3"/>
    <w:rsid w:val="0010605F"/>
    <w:rsid w:val="00106F4F"/>
    <w:rsid w:val="001071D3"/>
    <w:rsid w:val="00107455"/>
    <w:rsid w:val="001075A8"/>
    <w:rsid w:val="00107A98"/>
    <w:rsid w:val="00110259"/>
    <w:rsid w:val="001106AE"/>
    <w:rsid w:val="00110AA9"/>
    <w:rsid w:val="00110B48"/>
    <w:rsid w:val="0011100D"/>
    <w:rsid w:val="0011188F"/>
    <w:rsid w:val="0011254D"/>
    <w:rsid w:val="0011311E"/>
    <w:rsid w:val="001139C2"/>
    <w:rsid w:val="00114559"/>
    <w:rsid w:val="00114C78"/>
    <w:rsid w:val="00114EA9"/>
    <w:rsid w:val="00115ED0"/>
    <w:rsid w:val="00116504"/>
    <w:rsid w:val="0011683C"/>
    <w:rsid w:val="001179E8"/>
    <w:rsid w:val="0012021B"/>
    <w:rsid w:val="0012222D"/>
    <w:rsid w:val="00122AA1"/>
    <w:rsid w:val="00122D04"/>
    <w:rsid w:val="00123308"/>
    <w:rsid w:val="001247E4"/>
    <w:rsid w:val="001255E6"/>
    <w:rsid w:val="0012799F"/>
    <w:rsid w:val="0013024E"/>
    <w:rsid w:val="0013053A"/>
    <w:rsid w:val="00130571"/>
    <w:rsid w:val="0013059C"/>
    <w:rsid w:val="0013066A"/>
    <w:rsid w:val="001315EF"/>
    <w:rsid w:val="00131F2A"/>
    <w:rsid w:val="00131F39"/>
    <w:rsid w:val="00132375"/>
    <w:rsid w:val="001329B0"/>
    <w:rsid w:val="00132E73"/>
    <w:rsid w:val="00133505"/>
    <w:rsid w:val="001339CA"/>
    <w:rsid w:val="00134188"/>
    <w:rsid w:val="00134DC5"/>
    <w:rsid w:val="00137403"/>
    <w:rsid w:val="00140706"/>
    <w:rsid w:val="00140BAF"/>
    <w:rsid w:val="0014122A"/>
    <w:rsid w:val="00141E85"/>
    <w:rsid w:val="001426E8"/>
    <w:rsid w:val="0014319C"/>
    <w:rsid w:val="001436B3"/>
    <w:rsid w:val="00143976"/>
    <w:rsid w:val="00143DAC"/>
    <w:rsid w:val="00144622"/>
    <w:rsid w:val="00144781"/>
    <w:rsid w:val="00144917"/>
    <w:rsid w:val="0014702D"/>
    <w:rsid w:val="00147095"/>
    <w:rsid w:val="00147596"/>
    <w:rsid w:val="00150B7A"/>
    <w:rsid w:val="00150D9F"/>
    <w:rsid w:val="00151FB3"/>
    <w:rsid w:val="00152718"/>
    <w:rsid w:val="001530CF"/>
    <w:rsid w:val="00153F12"/>
    <w:rsid w:val="001543DB"/>
    <w:rsid w:val="00155473"/>
    <w:rsid w:val="00155A7D"/>
    <w:rsid w:val="00155DC2"/>
    <w:rsid w:val="00156D90"/>
    <w:rsid w:val="00156E9F"/>
    <w:rsid w:val="001576D4"/>
    <w:rsid w:val="00157A57"/>
    <w:rsid w:val="00157DB6"/>
    <w:rsid w:val="00157EC2"/>
    <w:rsid w:val="00162430"/>
    <w:rsid w:val="00162A68"/>
    <w:rsid w:val="00162E08"/>
    <w:rsid w:val="00163285"/>
    <w:rsid w:val="001633A3"/>
    <w:rsid w:val="001633F1"/>
    <w:rsid w:val="00163D3C"/>
    <w:rsid w:val="00164160"/>
    <w:rsid w:val="00164F31"/>
    <w:rsid w:val="0016531E"/>
    <w:rsid w:val="0016565C"/>
    <w:rsid w:val="00166314"/>
    <w:rsid w:val="00166746"/>
    <w:rsid w:val="0016757E"/>
    <w:rsid w:val="00167590"/>
    <w:rsid w:val="00167918"/>
    <w:rsid w:val="00167C1E"/>
    <w:rsid w:val="0017043B"/>
    <w:rsid w:val="001706A1"/>
    <w:rsid w:val="001708A9"/>
    <w:rsid w:val="00170914"/>
    <w:rsid w:val="00170DF2"/>
    <w:rsid w:val="00172007"/>
    <w:rsid w:val="0017266D"/>
    <w:rsid w:val="0017475F"/>
    <w:rsid w:val="00174841"/>
    <w:rsid w:val="001761FD"/>
    <w:rsid w:val="00176505"/>
    <w:rsid w:val="00177D61"/>
    <w:rsid w:val="00180125"/>
    <w:rsid w:val="001808CA"/>
    <w:rsid w:val="00180923"/>
    <w:rsid w:val="00180CE5"/>
    <w:rsid w:val="001815CC"/>
    <w:rsid w:val="00181B1C"/>
    <w:rsid w:val="00181BAA"/>
    <w:rsid w:val="00181D2D"/>
    <w:rsid w:val="0018210A"/>
    <w:rsid w:val="00182DE0"/>
    <w:rsid w:val="0018386C"/>
    <w:rsid w:val="00184479"/>
    <w:rsid w:val="0018472C"/>
    <w:rsid w:val="00184838"/>
    <w:rsid w:val="00185755"/>
    <w:rsid w:val="00185A12"/>
    <w:rsid w:val="00185B17"/>
    <w:rsid w:val="00187398"/>
    <w:rsid w:val="001878A2"/>
    <w:rsid w:val="00187F73"/>
    <w:rsid w:val="00187FB0"/>
    <w:rsid w:val="001902E9"/>
    <w:rsid w:val="00190327"/>
    <w:rsid w:val="00190328"/>
    <w:rsid w:val="00190336"/>
    <w:rsid w:val="00190A0A"/>
    <w:rsid w:val="001926F2"/>
    <w:rsid w:val="0019327E"/>
    <w:rsid w:val="00193BCE"/>
    <w:rsid w:val="00194168"/>
    <w:rsid w:val="00194B87"/>
    <w:rsid w:val="0019569A"/>
    <w:rsid w:val="00195915"/>
    <w:rsid w:val="00195962"/>
    <w:rsid w:val="00197533"/>
    <w:rsid w:val="001977E7"/>
    <w:rsid w:val="00197CCA"/>
    <w:rsid w:val="001A0BBF"/>
    <w:rsid w:val="001A0D8A"/>
    <w:rsid w:val="001A12AC"/>
    <w:rsid w:val="001A192D"/>
    <w:rsid w:val="001A22F4"/>
    <w:rsid w:val="001A3041"/>
    <w:rsid w:val="001A3231"/>
    <w:rsid w:val="001A4AB6"/>
    <w:rsid w:val="001A4AF0"/>
    <w:rsid w:val="001A51B7"/>
    <w:rsid w:val="001A5AD4"/>
    <w:rsid w:val="001A7C72"/>
    <w:rsid w:val="001B084B"/>
    <w:rsid w:val="001B0B44"/>
    <w:rsid w:val="001B0CEC"/>
    <w:rsid w:val="001B0FFC"/>
    <w:rsid w:val="001B1AAE"/>
    <w:rsid w:val="001B1CF2"/>
    <w:rsid w:val="001B35D5"/>
    <w:rsid w:val="001B4388"/>
    <w:rsid w:val="001B463E"/>
    <w:rsid w:val="001B49E0"/>
    <w:rsid w:val="001B4FF5"/>
    <w:rsid w:val="001B5093"/>
    <w:rsid w:val="001B5377"/>
    <w:rsid w:val="001B5CE3"/>
    <w:rsid w:val="001B6553"/>
    <w:rsid w:val="001B6647"/>
    <w:rsid w:val="001B6A47"/>
    <w:rsid w:val="001B6B0A"/>
    <w:rsid w:val="001B6C3C"/>
    <w:rsid w:val="001B6E99"/>
    <w:rsid w:val="001B7B7A"/>
    <w:rsid w:val="001C0824"/>
    <w:rsid w:val="001C0B83"/>
    <w:rsid w:val="001C0D42"/>
    <w:rsid w:val="001C1510"/>
    <w:rsid w:val="001C1989"/>
    <w:rsid w:val="001C28FD"/>
    <w:rsid w:val="001C2FBE"/>
    <w:rsid w:val="001C3248"/>
    <w:rsid w:val="001C3349"/>
    <w:rsid w:val="001C4ABA"/>
    <w:rsid w:val="001C4BCF"/>
    <w:rsid w:val="001C546B"/>
    <w:rsid w:val="001C5912"/>
    <w:rsid w:val="001C5EA2"/>
    <w:rsid w:val="001C6608"/>
    <w:rsid w:val="001C6C7D"/>
    <w:rsid w:val="001D0029"/>
    <w:rsid w:val="001D076E"/>
    <w:rsid w:val="001D0DCE"/>
    <w:rsid w:val="001D1CB1"/>
    <w:rsid w:val="001D20A2"/>
    <w:rsid w:val="001D2AC0"/>
    <w:rsid w:val="001D2DBA"/>
    <w:rsid w:val="001D2FD0"/>
    <w:rsid w:val="001D3830"/>
    <w:rsid w:val="001D3BA6"/>
    <w:rsid w:val="001D3E07"/>
    <w:rsid w:val="001D453F"/>
    <w:rsid w:val="001D5564"/>
    <w:rsid w:val="001D5CC1"/>
    <w:rsid w:val="001D5D31"/>
    <w:rsid w:val="001D6FAA"/>
    <w:rsid w:val="001D70FA"/>
    <w:rsid w:val="001D72ED"/>
    <w:rsid w:val="001D73D6"/>
    <w:rsid w:val="001D7B04"/>
    <w:rsid w:val="001D7BA9"/>
    <w:rsid w:val="001D7C7F"/>
    <w:rsid w:val="001E0011"/>
    <w:rsid w:val="001E039D"/>
    <w:rsid w:val="001E0526"/>
    <w:rsid w:val="001E22E7"/>
    <w:rsid w:val="001E2714"/>
    <w:rsid w:val="001E276E"/>
    <w:rsid w:val="001E398C"/>
    <w:rsid w:val="001E4456"/>
    <w:rsid w:val="001E4983"/>
    <w:rsid w:val="001E4AA0"/>
    <w:rsid w:val="001E4DDC"/>
    <w:rsid w:val="001E774F"/>
    <w:rsid w:val="001E7C1D"/>
    <w:rsid w:val="001F0105"/>
    <w:rsid w:val="001F073F"/>
    <w:rsid w:val="001F26E5"/>
    <w:rsid w:val="001F3009"/>
    <w:rsid w:val="001F3358"/>
    <w:rsid w:val="001F35CB"/>
    <w:rsid w:val="001F3601"/>
    <w:rsid w:val="001F390F"/>
    <w:rsid w:val="001F3B26"/>
    <w:rsid w:val="001F4570"/>
    <w:rsid w:val="001F4F32"/>
    <w:rsid w:val="001F5058"/>
    <w:rsid w:val="001F5CD1"/>
    <w:rsid w:val="001F6815"/>
    <w:rsid w:val="001F7257"/>
    <w:rsid w:val="001F7739"/>
    <w:rsid w:val="001F7E06"/>
    <w:rsid w:val="0020011B"/>
    <w:rsid w:val="00200125"/>
    <w:rsid w:val="0020187E"/>
    <w:rsid w:val="002018A5"/>
    <w:rsid w:val="0020190F"/>
    <w:rsid w:val="00201CD7"/>
    <w:rsid w:val="00201DC6"/>
    <w:rsid w:val="00202375"/>
    <w:rsid w:val="002025C8"/>
    <w:rsid w:val="002025EA"/>
    <w:rsid w:val="00202884"/>
    <w:rsid w:val="00202E44"/>
    <w:rsid w:val="00203556"/>
    <w:rsid w:val="00204025"/>
    <w:rsid w:val="00204D0F"/>
    <w:rsid w:val="00204DB6"/>
    <w:rsid w:val="00205593"/>
    <w:rsid w:val="002056ED"/>
    <w:rsid w:val="00205C3A"/>
    <w:rsid w:val="00207B2F"/>
    <w:rsid w:val="002111D5"/>
    <w:rsid w:val="00211793"/>
    <w:rsid w:val="00211C11"/>
    <w:rsid w:val="00212345"/>
    <w:rsid w:val="00214809"/>
    <w:rsid w:val="002149A1"/>
    <w:rsid w:val="00214D9A"/>
    <w:rsid w:val="00214E7A"/>
    <w:rsid w:val="00215BFE"/>
    <w:rsid w:val="00215C44"/>
    <w:rsid w:val="00216E73"/>
    <w:rsid w:val="0021774C"/>
    <w:rsid w:val="00217FF6"/>
    <w:rsid w:val="002206AA"/>
    <w:rsid w:val="00222386"/>
    <w:rsid w:val="00222F51"/>
    <w:rsid w:val="002230E1"/>
    <w:rsid w:val="00223361"/>
    <w:rsid w:val="002244BA"/>
    <w:rsid w:val="002247AA"/>
    <w:rsid w:val="00224DA7"/>
    <w:rsid w:val="00225183"/>
    <w:rsid w:val="002261CB"/>
    <w:rsid w:val="0022686F"/>
    <w:rsid w:val="002268BF"/>
    <w:rsid w:val="00227BDE"/>
    <w:rsid w:val="00230045"/>
    <w:rsid w:val="0023014E"/>
    <w:rsid w:val="002308FA"/>
    <w:rsid w:val="0023132F"/>
    <w:rsid w:val="002318AD"/>
    <w:rsid w:val="00231AA5"/>
    <w:rsid w:val="00232F90"/>
    <w:rsid w:val="0023339B"/>
    <w:rsid w:val="0023469C"/>
    <w:rsid w:val="00234C71"/>
    <w:rsid w:val="00234FF9"/>
    <w:rsid w:val="00235511"/>
    <w:rsid w:val="002357FA"/>
    <w:rsid w:val="002362BE"/>
    <w:rsid w:val="0023633E"/>
    <w:rsid w:val="002366E0"/>
    <w:rsid w:val="00236DE1"/>
    <w:rsid w:val="002372EE"/>
    <w:rsid w:val="002372FD"/>
    <w:rsid w:val="0023764D"/>
    <w:rsid w:val="00237750"/>
    <w:rsid w:val="00237D97"/>
    <w:rsid w:val="002415BC"/>
    <w:rsid w:val="002415E7"/>
    <w:rsid w:val="002434B2"/>
    <w:rsid w:val="002442F4"/>
    <w:rsid w:val="002445EA"/>
    <w:rsid w:val="00244ECE"/>
    <w:rsid w:val="00244FC5"/>
    <w:rsid w:val="00245D1D"/>
    <w:rsid w:val="0024636F"/>
    <w:rsid w:val="0024642E"/>
    <w:rsid w:val="00246C69"/>
    <w:rsid w:val="00250E5D"/>
    <w:rsid w:val="00250EDA"/>
    <w:rsid w:val="002513B2"/>
    <w:rsid w:val="00251502"/>
    <w:rsid w:val="002518E8"/>
    <w:rsid w:val="00251C10"/>
    <w:rsid w:val="00252E1E"/>
    <w:rsid w:val="00253550"/>
    <w:rsid w:val="002538BA"/>
    <w:rsid w:val="00253FAC"/>
    <w:rsid w:val="0025469D"/>
    <w:rsid w:val="002552B1"/>
    <w:rsid w:val="00255D01"/>
    <w:rsid w:val="002568F0"/>
    <w:rsid w:val="002569DF"/>
    <w:rsid w:val="00256E55"/>
    <w:rsid w:val="0025706C"/>
    <w:rsid w:val="00257E0E"/>
    <w:rsid w:val="00257FF4"/>
    <w:rsid w:val="00260D67"/>
    <w:rsid w:val="00260FCB"/>
    <w:rsid w:val="002615F5"/>
    <w:rsid w:val="002616B9"/>
    <w:rsid w:val="00261AA6"/>
    <w:rsid w:val="0026217B"/>
    <w:rsid w:val="002629E4"/>
    <w:rsid w:val="00263FE3"/>
    <w:rsid w:val="00265593"/>
    <w:rsid w:val="002675EA"/>
    <w:rsid w:val="002679DB"/>
    <w:rsid w:val="00267BC5"/>
    <w:rsid w:val="00267CBE"/>
    <w:rsid w:val="00267E0B"/>
    <w:rsid w:val="00270680"/>
    <w:rsid w:val="00271103"/>
    <w:rsid w:val="002721FA"/>
    <w:rsid w:val="0027230C"/>
    <w:rsid w:val="00272B11"/>
    <w:rsid w:val="00272B99"/>
    <w:rsid w:val="0027380D"/>
    <w:rsid w:val="00274244"/>
    <w:rsid w:val="0027468E"/>
    <w:rsid w:val="00274826"/>
    <w:rsid w:val="00275005"/>
    <w:rsid w:val="002752AB"/>
    <w:rsid w:val="002756D6"/>
    <w:rsid w:val="0027573C"/>
    <w:rsid w:val="00275B92"/>
    <w:rsid w:val="00275E23"/>
    <w:rsid w:val="002815D0"/>
    <w:rsid w:val="002820A7"/>
    <w:rsid w:val="00283B82"/>
    <w:rsid w:val="00283E13"/>
    <w:rsid w:val="002840E5"/>
    <w:rsid w:val="002844F9"/>
    <w:rsid w:val="00285094"/>
    <w:rsid w:val="00286478"/>
    <w:rsid w:val="00286D02"/>
    <w:rsid w:val="00286D5A"/>
    <w:rsid w:val="00287298"/>
    <w:rsid w:val="00287EDD"/>
    <w:rsid w:val="0029029E"/>
    <w:rsid w:val="0029141B"/>
    <w:rsid w:val="002927D3"/>
    <w:rsid w:val="0029285A"/>
    <w:rsid w:val="00294BDE"/>
    <w:rsid w:val="00295DB6"/>
    <w:rsid w:val="00295E7A"/>
    <w:rsid w:val="00295FBD"/>
    <w:rsid w:val="00296BE6"/>
    <w:rsid w:val="00297060"/>
    <w:rsid w:val="0029788B"/>
    <w:rsid w:val="00297D1B"/>
    <w:rsid w:val="00297F4D"/>
    <w:rsid w:val="002A0226"/>
    <w:rsid w:val="002A0549"/>
    <w:rsid w:val="002A0661"/>
    <w:rsid w:val="002A1209"/>
    <w:rsid w:val="002A1CF2"/>
    <w:rsid w:val="002A269D"/>
    <w:rsid w:val="002A280B"/>
    <w:rsid w:val="002A2ED0"/>
    <w:rsid w:val="002A3637"/>
    <w:rsid w:val="002A3A84"/>
    <w:rsid w:val="002A3C91"/>
    <w:rsid w:val="002A4C3E"/>
    <w:rsid w:val="002A56BC"/>
    <w:rsid w:val="002A5C53"/>
    <w:rsid w:val="002A6AD6"/>
    <w:rsid w:val="002A72CC"/>
    <w:rsid w:val="002A76AB"/>
    <w:rsid w:val="002A7A4F"/>
    <w:rsid w:val="002A7AFE"/>
    <w:rsid w:val="002B01DB"/>
    <w:rsid w:val="002B09C0"/>
    <w:rsid w:val="002B11D5"/>
    <w:rsid w:val="002B13B3"/>
    <w:rsid w:val="002B183D"/>
    <w:rsid w:val="002B1DBF"/>
    <w:rsid w:val="002B207F"/>
    <w:rsid w:val="002B2A48"/>
    <w:rsid w:val="002B2BEE"/>
    <w:rsid w:val="002B31AD"/>
    <w:rsid w:val="002B3EA7"/>
    <w:rsid w:val="002B4BAE"/>
    <w:rsid w:val="002B538B"/>
    <w:rsid w:val="002B581B"/>
    <w:rsid w:val="002C06E6"/>
    <w:rsid w:val="002C1D77"/>
    <w:rsid w:val="002C2892"/>
    <w:rsid w:val="002C2BD6"/>
    <w:rsid w:val="002C37E5"/>
    <w:rsid w:val="002C58AB"/>
    <w:rsid w:val="002C5D80"/>
    <w:rsid w:val="002C6D84"/>
    <w:rsid w:val="002C7D21"/>
    <w:rsid w:val="002C7E7E"/>
    <w:rsid w:val="002D0562"/>
    <w:rsid w:val="002D06B1"/>
    <w:rsid w:val="002D1564"/>
    <w:rsid w:val="002D18D8"/>
    <w:rsid w:val="002D1CA4"/>
    <w:rsid w:val="002D2C09"/>
    <w:rsid w:val="002D2C45"/>
    <w:rsid w:val="002D384D"/>
    <w:rsid w:val="002D4969"/>
    <w:rsid w:val="002D4EE1"/>
    <w:rsid w:val="002D4F49"/>
    <w:rsid w:val="002D5964"/>
    <w:rsid w:val="002D778E"/>
    <w:rsid w:val="002E04D7"/>
    <w:rsid w:val="002E0639"/>
    <w:rsid w:val="002E06DD"/>
    <w:rsid w:val="002E171A"/>
    <w:rsid w:val="002E176B"/>
    <w:rsid w:val="002E2A24"/>
    <w:rsid w:val="002E3D66"/>
    <w:rsid w:val="002E3F11"/>
    <w:rsid w:val="002E4B11"/>
    <w:rsid w:val="002E4D44"/>
    <w:rsid w:val="002E4F70"/>
    <w:rsid w:val="002E5845"/>
    <w:rsid w:val="002E5886"/>
    <w:rsid w:val="002E5AD3"/>
    <w:rsid w:val="002E635D"/>
    <w:rsid w:val="002E6F42"/>
    <w:rsid w:val="002E7562"/>
    <w:rsid w:val="002F071F"/>
    <w:rsid w:val="002F16D5"/>
    <w:rsid w:val="002F18C0"/>
    <w:rsid w:val="002F1A90"/>
    <w:rsid w:val="002F1BCA"/>
    <w:rsid w:val="002F1C2F"/>
    <w:rsid w:val="002F3D1C"/>
    <w:rsid w:val="002F3FCC"/>
    <w:rsid w:val="002F4440"/>
    <w:rsid w:val="002F47A0"/>
    <w:rsid w:val="002F4D57"/>
    <w:rsid w:val="002F4EA1"/>
    <w:rsid w:val="002F52DE"/>
    <w:rsid w:val="002F55C1"/>
    <w:rsid w:val="002F5E98"/>
    <w:rsid w:val="002F6CE3"/>
    <w:rsid w:val="002F797A"/>
    <w:rsid w:val="00300483"/>
    <w:rsid w:val="00301C91"/>
    <w:rsid w:val="00303464"/>
    <w:rsid w:val="00303ACF"/>
    <w:rsid w:val="00303F2B"/>
    <w:rsid w:val="00304607"/>
    <w:rsid w:val="0030467A"/>
    <w:rsid w:val="00304D4E"/>
    <w:rsid w:val="00304FFD"/>
    <w:rsid w:val="00305608"/>
    <w:rsid w:val="00305B72"/>
    <w:rsid w:val="0030610A"/>
    <w:rsid w:val="00306627"/>
    <w:rsid w:val="003069DD"/>
    <w:rsid w:val="00306CAB"/>
    <w:rsid w:val="00310DF3"/>
    <w:rsid w:val="0031146F"/>
    <w:rsid w:val="00311795"/>
    <w:rsid w:val="003117B1"/>
    <w:rsid w:val="00311B70"/>
    <w:rsid w:val="00311CBE"/>
    <w:rsid w:val="00312280"/>
    <w:rsid w:val="00312CD0"/>
    <w:rsid w:val="00312EC3"/>
    <w:rsid w:val="00313A21"/>
    <w:rsid w:val="0031449F"/>
    <w:rsid w:val="003145A5"/>
    <w:rsid w:val="00314703"/>
    <w:rsid w:val="003148B9"/>
    <w:rsid w:val="00314A2E"/>
    <w:rsid w:val="00315266"/>
    <w:rsid w:val="0031631A"/>
    <w:rsid w:val="0031693B"/>
    <w:rsid w:val="003169CE"/>
    <w:rsid w:val="00316F0A"/>
    <w:rsid w:val="00317DC7"/>
    <w:rsid w:val="003200F9"/>
    <w:rsid w:val="003208E8"/>
    <w:rsid w:val="00320F38"/>
    <w:rsid w:val="00321183"/>
    <w:rsid w:val="00321694"/>
    <w:rsid w:val="00321F0A"/>
    <w:rsid w:val="003223CE"/>
    <w:rsid w:val="00322A2D"/>
    <w:rsid w:val="00322E80"/>
    <w:rsid w:val="00324666"/>
    <w:rsid w:val="00324D5B"/>
    <w:rsid w:val="00325045"/>
    <w:rsid w:val="00325D91"/>
    <w:rsid w:val="003267B4"/>
    <w:rsid w:val="00326EB6"/>
    <w:rsid w:val="00330B8C"/>
    <w:rsid w:val="00331193"/>
    <w:rsid w:val="003333D4"/>
    <w:rsid w:val="003348EB"/>
    <w:rsid w:val="00334951"/>
    <w:rsid w:val="00335DCE"/>
    <w:rsid w:val="00336411"/>
    <w:rsid w:val="0033643E"/>
    <w:rsid w:val="00336673"/>
    <w:rsid w:val="0033678D"/>
    <w:rsid w:val="0033720D"/>
    <w:rsid w:val="003373E8"/>
    <w:rsid w:val="00340927"/>
    <w:rsid w:val="003443DD"/>
    <w:rsid w:val="00344A15"/>
    <w:rsid w:val="00344D5A"/>
    <w:rsid w:val="00345517"/>
    <w:rsid w:val="00345798"/>
    <w:rsid w:val="00346EB6"/>
    <w:rsid w:val="0034778B"/>
    <w:rsid w:val="003477FC"/>
    <w:rsid w:val="00347EDB"/>
    <w:rsid w:val="00350797"/>
    <w:rsid w:val="00350B98"/>
    <w:rsid w:val="00351A85"/>
    <w:rsid w:val="003522E8"/>
    <w:rsid w:val="003534C5"/>
    <w:rsid w:val="00353989"/>
    <w:rsid w:val="00353AA6"/>
    <w:rsid w:val="00353D42"/>
    <w:rsid w:val="0035561F"/>
    <w:rsid w:val="00355B7A"/>
    <w:rsid w:val="0035617C"/>
    <w:rsid w:val="0035660B"/>
    <w:rsid w:val="00356E7E"/>
    <w:rsid w:val="00356EB8"/>
    <w:rsid w:val="00357B83"/>
    <w:rsid w:val="003614A8"/>
    <w:rsid w:val="0036160E"/>
    <w:rsid w:val="00362610"/>
    <w:rsid w:val="00363830"/>
    <w:rsid w:val="003639E1"/>
    <w:rsid w:val="00363D2D"/>
    <w:rsid w:val="00364BB6"/>
    <w:rsid w:val="00364D6B"/>
    <w:rsid w:val="00365351"/>
    <w:rsid w:val="00365408"/>
    <w:rsid w:val="00365CC0"/>
    <w:rsid w:val="003668DF"/>
    <w:rsid w:val="00367688"/>
    <w:rsid w:val="0036782C"/>
    <w:rsid w:val="00371530"/>
    <w:rsid w:val="003720E7"/>
    <w:rsid w:val="00372221"/>
    <w:rsid w:val="00372CF2"/>
    <w:rsid w:val="0037418F"/>
    <w:rsid w:val="00374742"/>
    <w:rsid w:val="00374891"/>
    <w:rsid w:val="00374C7E"/>
    <w:rsid w:val="00375B33"/>
    <w:rsid w:val="00375CC4"/>
    <w:rsid w:val="00377353"/>
    <w:rsid w:val="0037736B"/>
    <w:rsid w:val="00380B60"/>
    <w:rsid w:val="00381345"/>
    <w:rsid w:val="00381F57"/>
    <w:rsid w:val="0038216E"/>
    <w:rsid w:val="003822E5"/>
    <w:rsid w:val="00382478"/>
    <w:rsid w:val="00382CF0"/>
    <w:rsid w:val="003830B8"/>
    <w:rsid w:val="00383262"/>
    <w:rsid w:val="0038493A"/>
    <w:rsid w:val="00386688"/>
    <w:rsid w:val="003873DC"/>
    <w:rsid w:val="00387CDD"/>
    <w:rsid w:val="003943B5"/>
    <w:rsid w:val="00397AA1"/>
    <w:rsid w:val="003A157A"/>
    <w:rsid w:val="003A2733"/>
    <w:rsid w:val="003A283F"/>
    <w:rsid w:val="003A2977"/>
    <w:rsid w:val="003A2A16"/>
    <w:rsid w:val="003A2FDD"/>
    <w:rsid w:val="003A3377"/>
    <w:rsid w:val="003A37C1"/>
    <w:rsid w:val="003A3C43"/>
    <w:rsid w:val="003A5CCC"/>
    <w:rsid w:val="003A70FF"/>
    <w:rsid w:val="003A74D2"/>
    <w:rsid w:val="003A756B"/>
    <w:rsid w:val="003A7902"/>
    <w:rsid w:val="003B1D0A"/>
    <w:rsid w:val="003B2172"/>
    <w:rsid w:val="003B23D7"/>
    <w:rsid w:val="003B34CB"/>
    <w:rsid w:val="003B3AB4"/>
    <w:rsid w:val="003B3CA8"/>
    <w:rsid w:val="003B45D5"/>
    <w:rsid w:val="003B4D06"/>
    <w:rsid w:val="003B52FE"/>
    <w:rsid w:val="003B572A"/>
    <w:rsid w:val="003B6325"/>
    <w:rsid w:val="003B71E0"/>
    <w:rsid w:val="003B78A4"/>
    <w:rsid w:val="003C1123"/>
    <w:rsid w:val="003C144E"/>
    <w:rsid w:val="003C17AC"/>
    <w:rsid w:val="003C1A07"/>
    <w:rsid w:val="003C1E74"/>
    <w:rsid w:val="003C1F3A"/>
    <w:rsid w:val="003C20A2"/>
    <w:rsid w:val="003C215F"/>
    <w:rsid w:val="003C2673"/>
    <w:rsid w:val="003C27A2"/>
    <w:rsid w:val="003C2B46"/>
    <w:rsid w:val="003C2E27"/>
    <w:rsid w:val="003C332F"/>
    <w:rsid w:val="003C567C"/>
    <w:rsid w:val="003C59B8"/>
    <w:rsid w:val="003C5D51"/>
    <w:rsid w:val="003C5ED8"/>
    <w:rsid w:val="003C6809"/>
    <w:rsid w:val="003C7897"/>
    <w:rsid w:val="003D0937"/>
    <w:rsid w:val="003D17E6"/>
    <w:rsid w:val="003D1A20"/>
    <w:rsid w:val="003D1AC9"/>
    <w:rsid w:val="003D2AC9"/>
    <w:rsid w:val="003D2CD8"/>
    <w:rsid w:val="003D2DD9"/>
    <w:rsid w:val="003D30AD"/>
    <w:rsid w:val="003D3724"/>
    <w:rsid w:val="003D46A7"/>
    <w:rsid w:val="003D4A47"/>
    <w:rsid w:val="003D54A8"/>
    <w:rsid w:val="003D5A36"/>
    <w:rsid w:val="003D6376"/>
    <w:rsid w:val="003E1235"/>
    <w:rsid w:val="003E2A35"/>
    <w:rsid w:val="003E2B56"/>
    <w:rsid w:val="003E2CE1"/>
    <w:rsid w:val="003E2DCB"/>
    <w:rsid w:val="003E3BB1"/>
    <w:rsid w:val="003E4C3F"/>
    <w:rsid w:val="003E4D7C"/>
    <w:rsid w:val="003E5FA8"/>
    <w:rsid w:val="003E6252"/>
    <w:rsid w:val="003E7A06"/>
    <w:rsid w:val="003F0C11"/>
    <w:rsid w:val="003F1200"/>
    <w:rsid w:val="003F1421"/>
    <w:rsid w:val="003F1844"/>
    <w:rsid w:val="003F1A8C"/>
    <w:rsid w:val="003F241E"/>
    <w:rsid w:val="003F2613"/>
    <w:rsid w:val="003F28C0"/>
    <w:rsid w:val="003F3153"/>
    <w:rsid w:val="003F3E85"/>
    <w:rsid w:val="003F4FCC"/>
    <w:rsid w:val="003F52B2"/>
    <w:rsid w:val="003F556E"/>
    <w:rsid w:val="003F5D01"/>
    <w:rsid w:val="003F6555"/>
    <w:rsid w:val="003F676B"/>
    <w:rsid w:val="003F716E"/>
    <w:rsid w:val="00400061"/>
    <w:rsid w:val="0040068A"/>
    <w:rsid w:val="00400813"/>
    <w:rsid w:val="004013AD"/>
    <w:rsid w:val="00402215"/>
    <w:rsid w:val="00402A94"/>
    <w:rsid w:val="00402C35"/>
    <w:rsid w:val="004033EC"/>
    <w:rsid w:val="004037ED"/>
    <w:rsid w:val="0040405B"/>
    <w:rsid w:val="00404195"/>
    <w:rsid w:val="00404211"/>
    <w:rsid w:val="004042A4"/>
    <w:rsid w:val="00404346"/>
    <w:rsid w:val="004043F3"/>
    <w:rsid w:val="0040446D"/>
    <w:rsid w:val="00404DAA"/>
    <w:rsid w:val="00404DDD"/>
    <w:rsid w:val="0040578B"/>
    <w:rsid w:val="00405A0E"/>
    <w:rsid w:val="00405C22"/>
    <w:rsid w:val="004065D6"/>
    <w:rsid w:val="0040687D"/>
    <w:rsid w:val="00406FDA"/>
    <w:rsid w:val="0040709D"/>
    <w:rsid w:val="0040713F"/>
    <w:rsid w:val="004075A3"/>
    <w:rsid w:val="00407869"/>
    <w:rsid w:val="00410C48"/>
    <w:rsid w:val="00410E55"/>
    <w:rsid w:val="00410FD9"/>
    <w:rsid w:val="00412F04"/>
    <w:rsid w:val="004143C6"/>
    <w:rsid w:val="00414A1E"/>
    <w:rsid w:val="00416277"/>
    <w:rsid w:val="00416E24"/>
    <w:rsid w:val="0042063D"/>
    <w:rsid w:val="00420B2F"/>
    <w:rsid w:val="00421A42"/>
    <w:rsid w:val="00422B23"/>
    <w:rsid w:val="00423A60"/>
    <w:rsid w:val="0042441F"/>
    <w:rsid w:val="0042651C"/>
    <w:rsid w:val="00426E9B"/>
    <w:rsid w:val="00427AC7"/>
    <w:rsid w:val="00427D55"/>
    <w:rsid w:val="004304B0"/>
    <w:rsid w:val="004304DC"/>
    <w:rsid w:val="0043233C"/>
    <w:rsid w:val="00432496"/>
    <w:rsid w:val="004327D8"/>
    <w:rsid w:val="00434048"/>
    <w:rsid w:val="00434296"/>
    <w:rsid w:val="004345A6"/>
    <w:rsid w:val="00435877"/>
    <w:rsid w:val="00435B2F"/>
    <w:rsid w:val="00435E03"/>
    <w:rsid w:val="00436629"/>
    <w:rsid w:val="004373E1"/>
    <w:rsid w:val="004374A3"/>
    <w:rsid w:val="00437A7E"/>
    <w:rsid w:val="00437B6C"/>
    <w:rsid w:val="00440144"/>
    <w:rsid w:val="0044064E"/>
    <w:rsid w:val="00440805"/>
    <w:rsid w:val="004412E1"/>
    <w:rsid w:val="00441554"/>
    <w:rsid w:val="00441C16"/>
    <w:rsid w:val="00442E48"/>
    <w:rsid w:val="00443418"/>
    <w:rsid w:val="00443DCD"/>
    <w:rsid w:val="00443E7E"/>
    <w:rsid w:val="00444C06"/>
    <w:rsid w:val="004454DF"/>
    <w:rsid w:val="00446628"/>
    <w:rsid w:val="00446804"/>
    <w:rsid w:val="004478D4"/>
    <w:rsid w:val="00450380"/>
    <w:rsid w:val="004505C6"/>
    <w:rsid w:val="004520CD"/>
    <w:rsid w:val="00452DF3"/>
    <w:rsid w:val="004534F5"/>
    <w:rsid w:val="00453765"/>
    <w:rsid w:val="00454EC3"/>
    <w:rsid w:val="0045530A"/>
    <w:rsid w:val="004554AE"/>
    <w:rsid w:val="004554C3"/>
    <w:rsid w:val="00455FB6"/>
    <w:rsid w:val="00456381"/>
    <w:rsid w:val="00456EC3"/>
    <w:rsid w:val="00457197"/>
    <w:rsid w:val="00457555"/>
    <w:rsid w:val="00457971"/>
    <w:rsid w:val="00457DD8"/>
    <w:rsid w:val="004603D0"/>
    <w:rsid w:val="00460B58"/>
    <w:rsid w:val="00461104"/>
    <w:rsid w:val="00461284"/>
    <w:rsid w:val="004624AE"/>
    <w:rsid w:val="0046250E"/>
    <w:rsid w:val="00462935"/>
    <w:rsid w:val="00462E9C"/>
    <w:rsid w:val="00462F89"/>
    <w:rsid w:val="00463B3E"/>
    <w:rsid w:val="00464B48"/>
    <w:rsid w:val="00464FC8"/>
    <w:rsid w:val="00465231"/>
    <w:rsid w:val="004662AD"/>
    <w:rsid w:val="00466516"/>
    <w:rsid w:val="004669BD"/>
    <w:rsid w:val="00467B65"/>
    <w:rsid w:val="004703B9"/>
    <w:rsid w:val="00470B28"/>
    <w:rsid w:val="00471EA5"/>
    <w:rsid w:val="004720C9"/>
    <w:rsid w:val="00472257"/>
    <w:rsid w:val="00472460"/>
    <w:rsid w:val="00472E49"/>
    <w:rsid w:val="00472FD6"/>
    <w:rsid w:val="004732BB"/>
    <w:rsid w:val="00474C60"/>
    <w:rsid w:val="0047539E"/>
    <w:rsid w:val="00475944"/>
    <w:rsid w:val="00475DF0"/>
    <w:rsid w:val="00476525"/>
    <w:rsid w:val="00476D19"/>
    <w:rsid w:val="004772E2"/>
    <w:rsid w:val="0047739F"/>
    <w:rsid w:val="00477F97"/>
    <w:rsid w:val="00480A2D"/>
    <w:rsid w:val="00480AFB"/>
    <w:rsid w:val="00481247"/>
    <w:rsid w:val="00481695"/>
    <w:rsid w:val="004828DC"/>
    <w:rsid w:val="00482D3E"/>
    <w:rsid w:val="00482FF7"/>
    <w:rsid w:val="00483002"/>
    <w:rsid w:val="00483098"/>
    <w:rsid w:val="00483AFB"/>
    <w:rsid w:val="0048402B"/>
    <w:rsid w:val="0048414A"/>
    <w:rsid w:val="004847A1"/>
    <w:rsid w:val="00484F9A"/>
    <w:rsid w:val="00485C56"/>
    <w:rsid w:val="0048635D"/>
    <w:rsid w:val="00486B79"/>
    <w:rsid w:val="00486CA2"/>
    <w:rsid w:val="004906EA"/>
    <w:rsid w:val="00490B25"/>
    <w:rsid w:val="00490FD6"/>
    <w:rsid w:val="004911C4"/>
    <w:rsid w:val="00492EC1"/>
    <w:rsid w:val="00494CC8"/>
    <w:rsid w:val="004955E7"/>
    <w:rsid w:val="0049589C"/>
    <w:rsid w:val="00495EF1"/>
    <w:rsid w:val="00496237"/>
    <w:rsid w:val="00496ED4"/>
    <w:rsid w:val="00497D4A"/>
    <w:rsid w:val="004A0441"/>
    <w:rsid w:val="004A084C"/>
    <w:rsid w:val="004A0FA0"/>
    <w:rsid w:val="004A15B3"/>
    <w:rsid w:val="004A1D01"/>
    <w:rsid w:val="004A2632"/>
    <w:rsid w:val="004A2A54"/>
    <w:rsid w:val="004A2EF3"/>
    <w:rsid w:val="004A3B0D"/>
    <w:rsid w:val="004A453A"/>
    <w:rsid w:val="004A4F75"/>
    <w:rsid w:val="004A52F5"/>
    <w:rsid w:val="004A5D3A"/>
    <w:rsid w:val="004A6897"/>
    <w:rsid w:val="004A692B"/>
    <w:rsid w:val="004A6EB6"/>
    <w:rsid w:val="004A794C"/>
    <w:rsid w:val="004B1A6D"/>
    <w:rsid w:val="004B3EC7"/>
    <w:rsid w:val="004B3F3F"/>
    <w:rsid w:val="004B405B"/>
    <w:rsid w:val="004B5664"/>
    <w:rsid w:val="004C2107"/>
    <w:rsid w:val="004C2807"/>
    <w:rsid w:val="004C37EB"/>
    <w:rsid w:val="004C5FC6"/>
    <w:rsid w:val="004C6435"/>
    <w:rsid w:val="004C649B"/>
    <w:rsid w:val="004C684A"/>
    <w:rsid w:val="004C7B9C"/>
    <w:rsid w:val="004C7D55"/>
    <w:rsid w:val="004D089A"/>
    <w:rsid w:val="004D2990"/>
    <w:rsid w:val="004D3184"/>
    <w:rsid w:val="004D5030"/>
    <w:rsid w:val="004D6045"/>
    <w:rsid w:val="004D7546"/>
    <w:rsid w:val="004D7D2F"/>
    <w:rsid w:val="004D7EC5"/>
    <w:rsid w:val="004E02B0"/>
    <w:rsid w:val="004E085C"/>
    <w:rsid w:val="004E0B29"/>
    <w:rsid w:val="004E0CE3"/>
    <w:rsid w:val="004E0E11"/>
    <w:rsid w:val="004E0F08"/>
    <w:rsid w:val="004E1546"/>
    <w:rsid w:val="004E19DC"/>
    <w:rsid w:val="004E23AA"/>
    <w:rsid w:val="004E2B39"/>
    <w:rsid w:val="004E35E8"/>
    <w:rsid w:val="004E4388"/>
    <w:rsid w:val="004E50F0"/>
    <w:rsid w:val="004E5F00"/>
    <w:rsid w:val="004E6A03"/>
    <w:rsid w:val="004E7D76"/>
    <w:rsid w:val="004F0070"/>
    <w:rsid w:val="004F0468"/>
    <w:rsid w:val="004F070C"/>
    <w:rsid w:val="004F0C51"/>
    <w:rsid w:val="004F0DA1"/>
    <w:rsid w:val="004F1077"/>
    <w:rsid w:val="004F23D3"/>
    <w:rsid w:val="004F263C"/>
    <w:rsid w:val="004F2BB1"/>
    <w:rsid w:val="004F2EC7"/>
    <w:rsid w:val="004F3CE8"/>
    <w:rsid w:val="004F460A"/>
    <w:rsid w:val="004F56B7"/>
    <w:rsid w:val="004F6BFB"/>
    <w:rsid w:val="004F6ED1"/>
    <w:rsid w:val="004F7E4A"/>
    <w:rsid w:val="00500C5E"/>
    <w:rsid w:val="0050147C"/>
    <w:rsid w:val="0050182B"/>
    <w:rsid w:val="005023D3"/>
    <w:rsid w:val="00502579"/>
    <w:rsid w:val="005028E4"/>
    <w:rsid w:val="005029F7"/>
    <w:rsid w:val="00503D4C"/>
    <w:rsid w:val="00503E0B"/>
    <w:rsid w:val="00504C0C"/>
    <w:rsid w:val="00504E48"/>
    <w:rsid w:val="005070FF"/>
    <w:rsid w:val="00507799"/>
    <w:rsid w:val="005115CB"/>
    <w:rsid w:val="00511815"/>
    <w:rsid w:val="00512BBC"/>
    <w:rsid w:val="0051313D"/>
    <w:rsid w:val="005134FB"/>
    <w:rsid w:val="005135FD"/>
    <w:rsid w:val="0051366C"/>
    <w:rsid w:val="0051571B"/>
    <w:rsid w:val="00515A23"/>
    <w:rsid w:val="0051684F"/>
    <w:rsid w:val="00516A92"/>
    <w:rsid w:val="00516B21"/>
    <w:rsid w:val="00516B9F"/>
    <w:rsid w:val="00517693"/>
    <w:rsid w:val="005205AB"/>
    <w:rsid w:val="00523378"/>
    <w:rsid w:val="0052344A"/>
    <w:rsid w:val="00523D95"/>
    <w:rsid w:val="00524EB2"/>
    <w:rsid w:val="0052550F"/>
    <w:rsid w:val="00525A6D"/>
    <w:rsid w:val="00526C0F"/>
    <w:rsid w:val="00526D9F"/>
    <w:rsid w:val="0052702A"/>
    <w:rsid w:val="00530397"/>
    <w:rsid w:val="005303FC"/>
    <w:rsid w:val="00530F73"/>
    <w:rsid w:val="00531B72"/>
    <w:rsid w:val="00533B8E"/>
    <w:rsid w:val="00534A14"/>
    <w:rsid w:val="00535417"/>
    <w:rsid w:val="00535691"/>
    <w:rsid w:val="00535833"/>
    <w:rsid w:val="00536D28"/>
    <w:rsid w:val="005372C5"/>
    <w:rsid w:val="00537A26"/>
    <w:rsid w:val="00540487"/>
    <w:rsid w:val="00540A96"/>
    <w:rsid w:val="00540E47"/>
    <w:rsid w:val="00541021"/>
    <w:rsid w:val="0054309A"/>
    <w:rsid w:val="00543283"/>
    <w:rsid w:val="00543439"/>
    <w:rsid w:val="0054364C"/>
    <w:rsid w:val="00543680"/>
    <w:rsid w:val="0054460D"/>
    <w:rsid w:val="00546747"/>
    <w:rsid w:val="005469DC"/>
    <w:rsid w:val="00547510"/>
    <w:rsid w:val="00547ECC"/>
    <w:rsid w:val="00551D5A"/>
    <w:rsid w:val="00551EC3"/>
    <w:rsid w:val="00553925"/>
    <w:rsid w:val="00554A44"/>
    <w:rsid w:val="00554C53"/>
    <w:rsid w:val="00554F18"/>
    <w:rsid w:val="00555220"/>
    <w:rsid w:val="00555297"/>
    <w:rsid w:val="005555F0"/>
    <w:rsid w:val="00555739"/>
    <w:rsid w:val="00556E75"/>
    <w:rsid w:val="00556F2D"/>
    <w:rsid w:val="00560138"/>
    <w:rsid w:val="0056069A"/>
    <w:rsid w:val="00560C3B"/>
    <w:rsid w:val="00560C94"/>
    <w:rsid w:val="00561CD0"/>
    <w:rsid w:val="00561D3C"/>
    <w:rsid w:val="00561D72"/>
    <w:rsid w:val="00561EA1"/>
    <w:rsid w:val="0056216B"/>
    <w:rsid w:val="00562799"/>
    <w:rsid w:val="00562EFC"/>
    <w:rsid w:val="005642A7"/>
    <w:rsid w:val="00564804"/>
    <w:rsid w:val="00565598"/>
    <w:rsid w:val="00565B5A"/>
    <w:rsid w:val="00566DDF"/>
    <w:rsid w:val="00567E8F"/>
    <w:rsid w:val="00567F29"/>
    <w:rsid w:val="005702D6"/>
    <w:rsid w:val="00572588"/>
    <w:rsid w:val="00572AD0"/>
    <w:rsid w:val="00573284"/>
    <w:rsid w:val="00573A50"/>
    <w:rsid w:val="005746D2"/>
    <w:rsid w:val="00574E8A"/>
    <w:rsid w:val="005752AA"/>
    <w:rsid w:val="00575D44"/>
    <w:rsid w:val="00577775"/>
    <w:rsid w:val="00580EAC"/>
    <w:rsid w:val="0058121A"/>
    <w:rsid w:val="00581863"/>
    <w:rsid w:val="00581AC0"/>
    <w:rsid w:val="00581EA3"/>
    <w:rsid w:val="0058205A"/>
    <w:rsid w:val="0058260B"/>
    <w:rsid w:val="00583F56"/>
    <w:rsid w:val="00584133"/>
    <w:rsid w:val="00584D1E"/>
    <w:rsid w:val="00586795"/>
    <w:rsid w:val="00586B82"/>
    <w:rsid w:val="005873AA"/>
    <w:rsid w:val="00587E13"/>
    <w:rsid w:val="005933AA"/>
    <w:rsid w:val="005938B6"/>
    <w:rsid w:val="005940AA"/>
    <w:rsid w:val="00594614"/>
    <w:rsid w:val="00594E10"/>
    <w:rsid w:val="00595796"/>
    <w:rsid w:val="00596306"/>
    <w:rsid w:val="00596487"/>
    <w:rsid w:val="005973E4"/>
    <w:rsid w:val="005A0809"/>
    <w:rsid w:val="005A0B91"/>
    <w:rsid w:val="005A1494"/>
    <w:rsid w:val="005A1E0F"/>
    <w:rsid w:val="005A3590"/>
    <w:rsid w:val="005A39C8"/>
    <w:rsid w:val="005A4540"/>
    <w:rsid w:val="005A4A1C"/>
    <w:rsid w:val="005A5731"/>
    <w:rsid w:val="005A5B52"/>
    <w:rsid w:val="005A5BD8"/>
    <w:rsid w:val="005A692A"/>
    <w:rsid w:val="005A6AB8"/>
    <w:rsid w:val="005B11C2"/>
    <w:rsid w:val="005B180A"/>
    <w:rsid w:val="005B1A0C"/>
    <w:rsid w:val="005B3368"/>
    <w:rsid w:val="005B382C"/>
    <w:rsid w:val="005B3C11"/>
    <w:rsid w:val="005B40DA"/>
    <w:rsid w:val="005B4226"/>
    <w:rsid w:val="005B43AF"/>
    <w:rsid w:val="005B5AA4"/>
    <w:rsid w:val="005B656B"/>
    <w:rsid w:val="005B71B3"/>
    <w:rsid w:val="005B76A4"/>
    <w:rsid w:val="005C04A7"/>
    <w:rsid w:val="005C17A4"/>
    <w:rsid w:val="005C1BAC"/>
    <w:rsid w:val="005C21CD"/>
    <w:rsid w:val="005C2391"/>
    <w:rsid w:val="005C27CC"/>
    <w:rsid w:val="005C370D"/>
    <w:rsid w:val="005C452D"/>
    <w:rsid w:val="005C504E"/>
    <w:rsid w:val="005C6153"/>
    <w:rsid w:val="005C78B0"/>
    <w:rsid w:val="005C7B95"/>
    <w:rsid w:val="005C7E64"/>
    <w:rsid w:val="005C7FB0"/>
    <w:rsid w:val="005D01EB"/>
    <w:rsid w:val="005D0DFB"/>
    <w:rsid w:val="005D1112"/>
    <w:rsid w:val="005D16A3"/>
    <w:rsid w:val="005D1B2E"/>
    <w:rsid w:val="005D237C"/>
    <w:rsid w:val="005D25E2"/>
    <w:rsid w:val="005D25FF"/>
    <w:rsid w:val="005D2632"/>
    <w:rsid w:val="005D2D2B"/>
    <w:rsid w:val="005D38E0"/>
    <w:rsid w:val="005D3F32"/>
    <w:rsid w:val="005D4E3E"/>
    <w:rsid w:val="005D5A0D"/>
    <w:rsid w:val="005D67F7"/>
    <w:rsid w:val="005D7D7E"/>
    <w:rsid w:val="005E0B59"/>
    <w:rsid w:val="005E1105"/>
    <w:rsid w:val="005E162F"/>
    <w:rsid w:val="005E28C4"/>
    <w:rsid w:val="005E2C60"/>
    <w:rsid w:val="005E31F6"/>
    <w:rsid w:val="005E3622"/>
    <w:rsid w:val="005E3F85"/>
    <w:rsid w:val="005E4578"/>
    <w:rsid w:val="005E60B3"/>
    <w:rsid w:val="005E64F8"/>
    <w:rsid w:val="005E676C"/>
    <w:rsid w:val="005E6CB9"/>
    <w:rsid w:val="005E7498"/>
    <w:rsid w:val="005E7F14"/>
    <w:rsid w:val="005F0154"/>
    <w:rsid w:val="005F0176"/>
    <w:rsid w:val="005F021D"/>
    <w:rsid w:val="005F042E"/>
    <w:rsid w:val="005F1EAC"/>
    <w:rsid w:val="005F2B1C"/>
    <w:rsid w:val="005F2D71"/>
    <w:rsid w:val="005F308F"/>
    <w:rsid w:val="005F3315"/>
    <w:rsid w:val="005F4869"/>
    <w:rsid w:val="005F4BFD"/>
    <w:rsid w:val="005F5748"/>
    <w:rsid w:val="005F5834"/>
    <w:rsid w:val="005F5E11"/>
    <w:rsid w:val="006003E5"/>
    <w:rsid w:val="00600C00"/>
    <w:rsid w:val="00600E63"/>
    <w:rsid w:val="00601561"/>
    <w:rsid w:val="00601E55"/>
    <w:rsid w:val="00602037"/>
    <w:rsid w:val="006029DD"/>
    <w:rsid w:val="00602C6A"/>
    <w:rsid w:val="00603AF5"/>
    <w:rsid w:val="00606C66"/>
    <w:rsid w:val="006071C7"/>
    <w:rsid w:val="00610145"/>
    <w:rsid w:val="00610D1F"/>
    <w:rsid w:val="006123C6"/>
    <w:rsid w:val="00612C02"/>
    <w:rsid w:val="00612CDD"/>
    <w:rsid w:val="00612E6F"/>
    <w:rsid w:val="0061562E"/>
    <w:rsid w:val="006157AC"/>
    <w:rsid w:val="00616D41"/>
    <w:rsid w:val="0061713C"/>
    <w:rsid w:val="00617292"/>
    <w:rsid w:val="006200A9"/>
    <w:rsid w:val="00622225"/>
    <w:rsid w:val="00622D03"/>
    <w:rsid w:val="00622DCD"/>
    <w:rsid w:val="00622F57"/>
    <w:rsid w:val="00623DD5"/>
    <w:rsid w:val="00624269"/>
    <w:rsid w:val="0062432E"/>
    <w:rsid w:val="00624A34"/>
    <w:rsid w:val="00625312"/>
    <w:rsid w:val="0062568D"/>
    <w:rsid w:val="006256D3"/>
    <w:rsid w:val="006262C3"/>
    <w:rsid w:val="00626502"/>
    <w:rsid w:val="006267F5"/>
    <w:rsid w:val="00627337"/>
    <w:rsid w:val="0062764A"/>
    <w:rsid w:val="00630069"/>
    <w:rsid w:val="00630583"/>
    <w:rsid w:val="00630D2E"/>
    <w:rsid w:val="00630D39"/>
    <w:rsid w:val="00631E19"/>
    <w:rsid w:val="0063236D"/>
    <w:rsid w:val="00633E76"/>
    <w:rsid w:val="00633EC9"/>
    <w:rsid w:val="006340F5"/>
    <w:rsid w:val="00634542"/>
    <w:rsid w:val="00635E4D"/>
    <w:rsid w:val="0063620C"/>
    <w:rsid w:val="0063676E"/>
    <w:rsid w:val="00637E18"/>
    <w:rsid w:val="0064032E"/>
    <w:rsid w:val="0064038D"/>
    <w:rsid w:val="00641A0B"/>
    <w:rsid w:val="00641D5A"/>
    <w:rsid w:val="00641E06"/>
    <w:rsid w:val="006422CC"/>
    <w:rsid w:val="00642FEB"/>
    <w:rsid w:val="00643007"/>
    <w:rsid w:val="006431D0"/>
    <w:rsid w:val="006432C5"/>
    <w:rsid w:val="0064336C"/>
    <w:rsid w:val="006436FA"/>
    <w:rsid w:val="00643852"/>
    <w:rsid w:val="00643C27"/>
    <w:rsid w:val="006444F9"/>
    <w:rsid w:val="00644940"/>
    <w:rsid w:val="0064526D"/>
    <w:rsid w:val="006455E7"/>
    <w:rsid w:val="00645758"/>
    <w:rsid w:val="006461A1"/>
    <w:rsid w:val="00647422"/>
    <w:rsid w:val="00647E6B"/>
    <w:rsid w:val="00650E84"/>
    <w:rsid w:val="0065198B"/>
    <w:rsid w:val="006525AF"/>
    <w:rsid w:val="0065266A"/>
    <w:rsid w:val="00653350"/>
    <w:rsid w:val="00653F9C"/>
    <w:rsid w:val="00655470"/>
    <w:rsid w:val="00656FEE"/>
    <w:rsid w:val="0065758F"/>
    <w:rsid w:val="00660897"/>
    <w:rsid w:val="00661028"/>
    <w:rsid w:val="006617BD"/>
    <w:rsid w:val="0066194D"/>
    <w:rsid w:val="00661AB1"/>
    <w:rsid w:val="00664695"/>
    <w:rsid w:val="00664840"/>
    <w:rsid w:val="006649BC"/>
    <w:rsid w:val="006649E0"/>
    <w:rsid w:val="00664B44"/>
    <w:rsid w:val="006652BF"/>
    <w:rsid w:val="00665637"/>
    <w:rsid w:val="00665A43"/>
    <w:rsid w:val="0066630C"/>
    <w:rsid w:val="0066699F"/>
    <w:rsid w:val="00667BBD"/>
    <w:rsid w:val="00671149"/>
    <w:rsid w:val="00671615"/>
    <w:rsid w:val="00671741"/>
    <w:rsid w:val="00671766"/>
    <w:rsid w:val="00672914"/>
    <w:rsid w:val="006744C3"/>
    <w:rsid w:val="0067537F"/>
    <w:rsid w:val="00675CDB"/>
    <w:rsid w:val="00676410"/>
    <w:rsid w:val="00677BDD"/>
    <w:rsid w:val="00680509"/>
    <w:rsid w:val="006805CB"/>
    <w:rsid w:val="0068142C"/>
    <w:rsid w:val="00681CC1"/>
    <w:rsid w:val="0068233B"/>
    <w:rsid w:val="00682D19"/>
    <w:rsid w:val="00682E11"/>
    <w:rsid w:val="00683081"/>
    <w:rsid w:val="00684C95"/>
    <w:rsid w:val="006850D3"/>
    <w:rsid w:val="00685249"/>
    <w:rsid w:val="006856B9"/>
    <w:rsid w:val="00685BDE"/>
    <w:rsid w:val="00686085"/>
    <w:rsid w:val="0068628D"/>
    <w:rsid w:val="00686DB6"/>
    <w:rsid w:val="00687C0D"/>
    <w:rsid w:val="00687DC7"/>
    <w:rsid w:val="00687FEC"/>
    <w:rsid w:val="00691237"/>
    <w:rsid w:val="006920E6"/>
    <w:rsid w:val="00692311"/>
    <w:rsid w:val="00692403"/>
    <w:rsid w:val="00692555"/>
    <w:rsid w:val="00693CD4"/>
    <w:rsid w:val="00694F09"/>
    <w:rsid w:val="00695660"/>
    <w:rsid w:val="0069645D"/>
    <w:rsid w:val="00696566"/>
    <w:rsid w:val="006966BA"/>
    <w:rsid w:val="0069722D"/>
    <w:rsid w:val="00697E97"/>
    <w:rsid w:val="00697EB6"/>
    <w:rsid w:val="006A0052"/>
    <w:rsid w:val="006A0292"/>
    <w:rsid w:val="006A0A9E"/>
    <w:rsid w:val="006A0AC7"/>
    <w:rsid w:val="006A1D15"/>
    <w:rsid w:val="006A1F1C"/>
    <w:rsid w:val="006A33CF"/>
    <w:rsid w:val="006A3836"/>
    <w:rsid w:val="006A3DD3"/>
    <w:rsid w:val="006A4010"/>
    <w:rsid w:val="006A4621"/>
    <w:rsid w:val="006A4625"/>
    <w:rsid w:val="006A47AE"/>
    <w:rsid w:val="006A5342"/>
    <w:rsid w:val="006A57AC"/>
    <w:rsid w:val="006A5B5E"/>
    <w:rsid w:val="006A67CB"/>
    <w:rsid w:val="006A7655"/>
    <w:rsid w:val="006B0368"/>
    <w:rsid w:val="006B0F6E"/>
    <w:rsid w:val="006B1174"/>
    <w:rsid w:val="006B1D7B"/>
    <w:rsid w:val="006B27D4"/>
    <w:rsid w:val="006B2C9C"/>
    <w:rsid w:val="006B3BCF"/>
    <w:rsid w:val="006B48EB"/>
    <w:rsid w:val="006B4C00"/>
    <w:rsid w:val="006B56FC"/>
    <w:rsid w:val="006B5711"/>
    <w:rsid w:val="006B58F3"/>
    <w:rsid w:val="006B6DDA"/>
    <w:rsid w:val="006B7201"/>
    <w:rsid w:val="006B73D9"/>
    <w:rsid w:val="006B7DF0"/>
    <w:rsid w:val="006B7E74"/>
    <w:rsid w:val="006C0D75"/>
    <w:rsid w:val="006C1C48"/>
    <w:rsid w:val="006C2DF5"/>
    <w:rsid w:val="006C2FA7"/>
    <w:rsid w:val="006C3584"/>
    <w:rsid w:val="006C3895"/>
    <w:rsid w:val="006C3C1D"/>
    <w:rsid w:val="006C41FF"/>
    <w:rsid w:val="006C44AD"/>
    <w:rsid w:val="006C4D9A"/>
    <w:rsid w:val="006C5145"/>
    <w:rsid w:val="006C549C"/>
    <w:rsid w:val="006C578E"/>
    <w:rsid w:val="006C5F50"/>
    <w:rsid w:val="006C65A8"/>
    <w:rsid w:val="006D05AD"/>
    <w:rsid w:val="006D06AB"/>
    <w:rsid w:val="006D0EC1"/>
    <w:rsid w:val="006D159F"/>
    <w:rsid w:val="006D16F8"/>
    <w:rsid w:val="006D1813"/>
    <w:rsid w:val="006D24A9"/>
    <w:rsid w:val="006D2AF3"/>
    <w:rsid w:val="006D4D76"/>
    <w:rsid w:val="006D4D79"/>
    <w:rsid w:val="006D4FBD"/>
    <w:rsid w:val="006D55B5"/>
    <w:rsid w:val="006D5879"/>
    <w:rsid w:val="006D590D"/>
    <w:rsid w:val="006D5B61"/>
    <w:rsid w:val="006D63FD"/>
    <w:rsid w:val="006D65B4"/>
    <w:rsid w:val="006D729B"/>
    <w:rsid w:val="006D754A"/>
    <w:rsid w:val="006D7B9C"/>
    <w:rsid w:val="006E04C6"/>
    <w:rsid w:val="006E0A65"/>
    <w:rsid w:val="006E1B01"/>
    <w:rsid w:val="006E2029"/>
    <w:rsid w:val="006E2D88"/>
    <w:rsid w:val="006E3E3D"/>
    <w:rsid w:val="006E47A6"/>
    <w:rsid w:val="006E4836"/>
    <w:rsid w:val="006E56EA"/>
    <w:rsid w:val="006E5DDD"/>
    <w:rsid w:val="006E66D8"/>
    <w:rsid w:val="006E7811"/>
    <w:rsid w:val="006F04DA"/>
    <w:rsid w:val="006F0557"/>
    <w:rsid w:val="006F0EA3"/>
    <w:rsid w:val="006F1B5D"/>
    <w:rsid w:val="006F212B"/>
    <w:rsid w:val="006F37F7"/>
    <w:rsid w:val="006F39D3"/>
    <w:rsid w:val="006F4A61"/>
    <w:rsid w:val="006F4ADC"/>
    <w:rsid w:val="006F4D95"/>
    <w:rsid w:val="006F643D"/>
    <w:rsid w:val="006F675C"/>
    <w:rsid w:val="006F6D13"/>
    <w:rsid w:val="006F7759"/>
    <w:rsid w:val="006F79F6"/>
    <w:rsid w:val="006F7D95"/>
    <w:rsid w:val="00700D41"/>
    <w:rsid w:val="00701B21"/>
    <w:rsid w:val="00702384"/>
    <w:rsid w:val="007042BE"/>
    <w:rsid w:val="00704BAE"/>
    <w:rsid w:val="00705807"/>
    <w:rsid w:val="00705C74"/>
    <w:rsid w:val="00705C78"/>
    <w:rsid w:val="007060E1"/>
    <w:rsid w:val="00706824"/>
    <w:rsid w:val="00706B85"/>
    <w:rsid w:val="007071FC"/>
    <w:rsid w:val="00707C84"/>
    <w:rsid w:val="007108C6"/>
    <w:rsid w:val="00710A59"/>
    <w:rsid w:val="00710A89"/>
    <w:rsid w:val="00710FDE"/>
    <w:rsid w:val="007116C7"/>
    <w:rsid w:val="00711C5A"/>
    <w:rsid w:val="00712B66"/>
    <w:rsid w:val="00713824"/>
    <w:rsid w:val="00713C31"/>
    <w:rsid w:val="00713F98"/>
    <w:rsid w:val="0071428D"/>
    <w:rsid w:val="007144C9"/>
    <w:rsid w:val="00714BA5"/>
    <w:rsid w:val="00715EBB"/>
    <w:rsid w:val="00716B14"/>
    <w:rsid w:val="00716B3C"/>
    <w:rsid w:val="007170C2"/>
    <w:rsid w:val="00717EE4"/>
    <w:rsid w:val="00717F2D"/>
    <w:rsid w:val="0072008B"/>
    <w:rsid w:val="007202C4"/>
    <w:rsid w:val="00720453"/>
    <w:rsid w:val="00720853"/>
    <w:rsid w:val="00721FE5"/>
    <w:rsid w:val="00722129"/>
    <w:rsid w:val="00724173"/>
    <w:rsid w:val="0072492B"/>
    <w:rsid w:val="00724B81"/>
    <w:rsid w:val="0072554B"/>
    <w:rsid w:val="00726730"/>
    <w:rsid w:val="00727BBE"/>
    <w:rsid w:val="00727EC5"/>
    <w:rsid w:val="00730598"/>
    <w:rsid w:val="00731C24"/>
    <w:rsid w:val="0073257E"/>
    <w:rsid w:val="00732A32"/>
    <w:rsid w:val="00733066"/>
    <w:rsid w:val="00733469"/>
    <w:rsid w:val="00733539"/>
    <w:rsid w:val="007352CF"/>
    <w:rsid w:val="00735557"/>
    <w:rsid w:val="00736528"/>
    <w:rsid w:val="00737108"/>
    <w:rsid w:val="0073712F"/>
    <w:rsid w:val="007379CE"/>
    <w:rsid w:val="00737AC7"/>
    <w:rsid w:val="007408A6"/>
    <w:rsid w:val="00740A0F"/>
    <w:rsid w:val="0074176B"/>
    <w:rsid w:val="007419A7"/>
    <w:rsid w:val="00741B21"/>
    <w:rsid w:val="00741DD8"/>
    <w:rsid w:val="00741E49"/>
    <w:rsid w:val="0074250D"/>
    <w:rsid w:val="007445E2"/>
    <w:rsid w:val="00744915"/>
    <w:rsid w:val="00745496"/>
    <w:rsid w:val="007460DA"/>
    <w:rsid w:val="0074705B"/>
    <w:rsid w:val="007470EC"/>
    <w:rsid w:val="0075020B"/>
    <w:rsid w:val="00751017"/>
    <w:rsid w:val="007518E5"/>
    <w:rsid w:val="00751960"/>
    <w:rsid w:val="00752379"/>
    <w:rsid w:val="007523C1"/>
    <w:rsid w:val="007535C7"/>
    <w:rsid w:val="0075384A"/>
    <w:rsid w:val="00756551"/>
    <w:rsid w:val="00757769"/>
    <w:rsid w:val="0076038A"/>
    <w:rsid w:val="00760459"/>
    <w:rsid w:val="0076067E"/>
    <w:rsid w:val="00761BFD"/>
    <w:rsid w:val="00761D5C"/>
    <w:rsid w:val="00761FE5"/>
    <w:rsid w:val="00762476"/>
    <w:rsid w:val="0076253F"/>
    <w:rsid w:val="00762887"/>
    <w:rsid w:val="00762893"/>
    <w:rsid w:val="00762A18"/>
    <w:rsid w:val="007632F3"/>
    <w:rsid w:val="00763AE2"/>
    <w:rsid w:val="00763D64"/>
    <w:rsid w:val="0076467D"/>
    <w:rsid w:val="00764BD7"/>
    <w:rsid w:val="00765CED"/>
    <w:rsid w:val="00766D90"/>
    <w:rsid w:val="007670AB"/>
    <w:rsid w:val="007677C4"/>
    <w:rsid w:val="00767BF3"/>
    <w:rsid w:val="00767C19"/>
    <w:rsid w:val="00767D4E"/>
    <w:rsid w:val="00770D1E"/>
    <w:rsid w:val="00771067"/>
    <w:rsid w:val="007722ED"/>
    <w:rsid w:val="0077408B"/>
    <w:rsid w:val="00774392"/>
    <w:rsid w:val="00774AF6"/>
    <w:rsid w:val="00774EC8"/>
    <w:rsid w:val="0077555E"/>
    <w:rsid w:val="00776781"/>
    <w:rsid w:val="007776CC"/>
    <w:rsid w:val="00777CE9"/>
    <w:rsid w:val="00780D05"/>
    <w:rsid w:val="0078114F"/>
    <w:rsid w:val="0078285A"/>
    <w:rsid w:val="00782D32"/>
    <w:rsid w:val="00782D40"/>
    <w:rsid w:val="0078385F"/>
    <w:rsid w:val="00783C7B"/>
    <w:rsid w:val="00783CB6"/>
    <w:rsid w:val="00783D64"/>
    <w:rsid w:val="00783E1D"/>
    <w:rsid w:val="0078556C"/>
    <w:rsid w:val="007855C5"/>
    <w:rsid w:val="007856D3"/>
    <w:rsid w:val="00785ABD"/>
    <w:rsid w:val="007860C6"/>
    <w:rsid w:val="00786254"/>
    <w:rsid w:val="00786DB0"/>
    <w:rsid w:val="00787B50"/>
    <w:rsid w:val="00787D47"/>
    <w:rsid w:val="0079014E"/>
    <w:rsid w:val="00790954"/>
    <w:rsid w:val="0079148B"/>
    <w:rsid w:val="00792971"/>
    <w:rsid w:val="007935C6"/>
    <w:rsid w:val="00794129"/>
    <w:rsid w:val="0079417D"/>
    <w:rsid w:val="00794516"/>
    <w:rsid w:val="00794878"/>
    <w:rsid w:val="00795512"/>
    <w:rsid w:val="00795AB7"/>
    <w:rsid w:val="00795E37"/>
    <w:rsid w:val="0079694C"/>
    <w:rsid w:val="00796D89"/>
    <w:rsid w:val="00796DA2"/>
    <w:rsid w:val="007A0415"/>
    <w:rsid w:val="007A06BA"/>
    <w:rsid w:val="007A27BD"/>
    <w:rsid w:val="007A294A"/>
    <w:rsid w:val="007A4C15"/>
    <w:rsid w:val="007A4C96"/>
    <w:rsid w:val="007A51A6"/>
    <w:rsid w:val="007A523D"/>
    <w:rsid w:val="007A53CB"/>
    <w:rsid w:val="007A5629"/>
    <w:rsid w:val="007A56E5"/>
    <w:rsid w:val="007A5AC2"/>
    <w:rsid w:val="007A5D68"/>
    <w:rsid w:val="007A60CA"/>
    <w:rsid w:val="007A6205"/>
    <w:rsid w:val="007A6F0F"/>
    <w:rsid w:val="007A708C"/>
    <w:rsid w:val="007A75B5"/>
    <w:rsid w:val="007A7985"/>
    <w:rsid w:val="007A7ABE"/>
    <w:rsid w:val="007B0330"/>
    <w:rsid w:val="007B03C5"/>
    <w:rsid w:val="007B26E1"/>
    <w:rsid w:val="007B2959"/>
    <w:rsid w:val="007B3045"/>
    <w:rsid w:val="007B3158"/>
    <w:rsid w:val="007B39A9"/>
    <w:rsid w:val="007B4638"/>
    <w:rsid w:val="007B4C0F"/>
    <w:rsid w:val="007B55DF"/>
    <w:rsid w:val="007B5E25"/>
    <w:rsid w:val="007B6263"/>
    <w:rsid w:val="007B66AC"/>
    <w:rsid w:val="007B68C3"/>
    <w:rsid w:val="007B6E0E"/>
    <w:rsid w:val="007C27FB"/>
    <w:rsid w:val="007C2CBB"/>
    <w:rsid w:val="007C309C"/>
    <w:rsid w:val="007C38D2"/>
    <w:rsid w:val="007C4209"/>
    <w:rsid w:val="007C5EB9"/>
    <w:rsid w:val="007C7449"/>
    <w:rsid w:val="007C75D7"/>
    <w:rsid w:val="007C7EA5"/>
    <w:rsid w:val="007D06EE"/>
    <w:rsid w:val="007D0C38"/>
    <w:rsid w:val="007D1A95"/>
    <w:rsid w:val="007D245E"/>
    <w:rsid w:val="007D3764"/>
    <w:rsid w:val="007D3CA8"/>
    <w:rsid w:val="007D3FB6"/>
    <w:rsid w:val="007D485A"/>
    <w:rsid w:val="007D51A6"/>
    <w:rsid w:val="007D54FF"/>
    <w:rsid w:val="007D57D4"/>
    <w:rsid w:val="007D6315"/>
    <w:rsid w:val="007D70DE"/>
    <w:rsid w:val="007D724A"/>
    <w:rsid w:val="007D75A3"/>
    <w:rsid w:val="007D7940"/>
    <w:rsid w:val="007E05A4"/>
    <w:rsid w:val="007E0C9E"/>
    <w:rsid w:val="007E0CCB"/>
    <w:rsid w:val="007E16E2"/>
    <w:rsid w:val="007E19FE"/>
    <w:rsid w:val="007E1AAC"/>
    <w:rsid w:val="007E2933"/>
    <w:rsid w:val="007E2C01"/>
    <w:rsid w:val="007E3B9C"/>
    <w:rsid w:val="007E46BF"/>
    <w:rsid w:val="007E4A2F"/>
    <w:rsid w:val="007E56C4"/>
    <w:rsid w:val="007E5C4A"/>
    <w:rsid w:val="007E6915"/>
    <w:rsid w:val="007E74CA"/>
    <w:rsid w:val="007E7681"/>
    <w:rsid w:val="007E7AD3"/>
    <w:rsid w:val="007F0070"/>
    <w:rsid w:val="007F0441"/>
    <w:rsid w:val="007F0E99"/>
    <w:rsid w:val="007F0FA1"/>
    <w:rsid w:val="007F0FD9"/>
    <w:rsid w:val="007F20F1"/>
    <w:rsid w:val="007F2946"/>
    <w:rsid w:val="007F39B2"/>
    <w:rsid w:val="007F4224"/>
    <w:rsid w:val="007F4422"/>
    <w:rsid w:val="007F4DD2"/>
    <w:rsid w:val="007F4FB9"/>
    <w:rsid w:val="007F6498"/>
    <w:rsid w:val="007F7022"/>
    <w:rsid w:val="007F73AC"/>
    <w:rsid w:val="007F7690"/>
    <w:rsid w:val="008011CC"/>
    <w:rsid w:val="00801404"/>
    <w:rsid w:val="008017AA"/>
    <w:rsid w:val="00801CBA"/>
    <w:rsid w:val="00801D92"/>
    <w:rsid w:val="00802976"/>
    <w:rsid w:val="00804032"/>
    <w:rsid w:val="008043B4"/>
    <w:rsid w:val="00804BCF"/>
    <w:rsid w:val="00804FA4"/>
    <w:rsid w:val="00805275"/>
    <w:rsid w:val="008061FC"/>
    <w:rsid w:val="00806A62"/>
    <w:rsid w:val="00806E55"/>
    <w:rsid w:val="008075CE"/>
    <w:rsid w:val="00810B0A"/>
    <w:rsid w:val="00810FA0"/>
    <w:rsid w:val="00812179"/>
    <w:rsid w:val="008124E2"/>
    <w:rsid w:val="00813928"/>
    <w:rsid w:val="00815321"/>
    <w:rsid w:val="008159D3"/>
    <w:rsid w:val="008166DB"/>
    <w:rsid w:val="00816ADC"/>
    <w:rsid w:val="008173E0"/>
    <w:rsid w:val="008175C1"/>
    <w:rsid w:val="00817F4E"/>
    <w:rsid w:val="008200D4"/>
    <w:rsid w:val="00820370"/>
    <w:rsid w:val="00820CC6"/>
    <w:rsid w:val="00820E9A"/>
    <w:rsid w:val="00822524"/>
    <w:rsid w:val="00822AC3"/>
    <w:rsid w:val="00822C41"/>
    <w:rsid w:val="00823DC6"/>
    <w:rsid w:val="00825043"/>
    <w:rsid w:val="00825267"/>
    <w:rsid w:val="008253D8"/>
    <w:rsid w:val="00825B2E"/>
    <w:rsid w:val="00825CBC"/>
    <w:rsid w:val="00825ECE"/>
    <w:rsid w:val="008264EC"/>
    <w:rsid w:val="00826768"/>
    <w:rsid w:val="008271C7"/>
    <w:rsid w:val="00827C0D"/>
    <w:rsid w:val="0083001A"/>
    <w:rsid w:val="008304E6"/>
    <w:rsid w:val="00830642"/>
    <w:rsid w:val="00831042"/>
    <w:rsid w:val="00831250"/>
    <w:rsid w:val="00831D8D"/>
    <w:rsid w:val="008333B7"/>
    <w:rsid w:val="008336EC"/>
    <w:rsid w:val="008337B9"/>
    <w:rsid w:val="00834690"/>
    <w:rsid w:val="00834FD2"/>
    <w:rsid w:val="00835084"/>
    <w:rsid w:val="00835184"/>
    <w:rsid w:val="00835569"/>
    <w:rsid w:val="00835802"/>
    <w:rsid w:val="00836295"/>
    <w:rsid w:val="00836940"/>
    <w:rsid w:val="00836F2B"/>
    <w:rsid w:val="008370EE"/>
    <w:rsid w:val="0084093F"/>
    <w:rsid w:val="0084098A"/>
    <w:rsid w:val="00840DB0"/>
    <w:rsid w:val="00840EDE"/>
    <w:rsid w:val="0084161F"/>
    <w:rsid w:val="008418A5"/>
    <w:rsid w:val="00841BD3"/>
    <w:rsid w:val="00843548"/>
    <w:rsid w:val="00843612"/>
    <w:rsid w:val="0084383C"/>
    <w:rsid w:val="00843CC0"/>
    <w:rsid w:val="00844ADD"/>
    <w:rsid w:val="0084534E"/>
    <w:rsid w:val="00846062"/>
    <w:rsid w:val="00846468"/>
    <w:rsid w:val="008474C1"/>
    <w:rsid w:val="00847C1C"/>
    <w:rsid w:val="00847E94"/>
    <w:rsid w:val="0085055E"/>
    <w:rsid w:val="00850C3B"/>
    <w:rsid w:val="00851605"/>
    <w:rsid w:val="00852241"/>
    <w:rsid w:val="00852CA0"/>
    <w:rsid w:val="00852D85"/>
    <w:rsid w:val="00852F6C"/>
    <w:rsid w:val="00853340"/>
    <w:rsid w:val="008544E5"/>
    <w:rsid w:val="0085465C"/>
    <w:rsid w:val="00854967"/>
    <w:rsid w:val="008549C9"/>
    <w:rsid w:val="00854E6E"/>
    <w:rsid w:val="0085540B"/>
    <w:rsid w:val="00855511"/>
    <w:rsid w:val="0085582C"/>
    <w:rsid w:val="00855B39"/>
    <w:rsid w:val="00855FD3"/>
    <w:rsid w:val="00857086"/>
    <w:rsid w:val="00857572"/>
    <w:rsid w:val="00860F4D"/>
    <w:rsid w:val="008611DE"/>
    <w:rsid w:val="00861375"/>
    <w:rsid w:val="00861C56"/>
    <w:rsid w:val="00861E33"/>
    <w:rsid w:val="00861E88"/>
    <w:rsid w:val="00861F29"/>
    <w:rsid w:val="008620A2"/>
    <w:rsid w:val="00862741"/>
    <w:rsid w:val="00862BBD"/>
    <w:rsid w:val="0086333D"/>
    <w:rsid w:val="00863734"/>
    <w:rsid w:val="00863C9F"/>
    <w:rsid w:val="00864543"/>
    <w:rsid w:val="008645D6"/>
    <w:rsid w:val="0086552B"/>
    <w:rsid w:val="008655A2"/>
    <w:rsid w:val="0086584F"/>
    <w:rsid w:val="008671C7"/>
    <w:rsid w:val="00867975"/>
    <w:rsid w:val="00867EB8"/>
    <w:rsid w:val="00870335"/>
    <w:rsid w:val="0087054C"/>
    <w:rsid w:val="00870AA2"/>
    <w:rsid w:val="00872B9D"/>
    <w:rsid w:val="00873D88"/>
    <w:rsid w:val="0087433B"/>
    <w:rsid w:val="008744FC"/>
    <w:rsid w:val="008746E2"/>
    <w:rsid w:val="00874EF9"/>
    <w:rsid w:val="0087621E"/>
    <w:rsid w:val="00876573"/>
    <w:rsid w:val="008767B2"/>
    <w:rsid w:val="008770A6"/>
    <w:rsid w:val="00877328"/>
    <w:rsid w:val="0087787A"/>
    <w:rsid w:val="00877E66"/>
    <w:rsid w:val="008802F0"/>
    <w:rsid w:val="00880992"/>
    <w:rsid w:val="00881692"/>
    <w:rsid w:val="00881855"/>
    <w:rsid w:val="00883143"/>
    <w:rsid w:val="00883853"/>
    <w:rsid w:val="00884EC8"/>
    <w:rsid w:val="00886154"/>
    <w:rsid w:val="008867E9"/>
    <w:rsid w:val="008879F3"/>
    <w:rsid w:val="00890277"/>
    <w:rsid w:val="0089061A"/>
    <w:rsid w:val="008915C6"/>
    <w:rsid w:val="00891677"/>
    <w:rsid w:val="00892827"/>
    <w:rsid w:val="00892DB5"/>
    <w:rsid w:val="00893615"/>
    <w:rsid w:val="00894143"/>
    <w:rsid w:val="0089429D"/>
    <w:rsid w:val="00894B61"/>
    <w:rsid w:val="00895255"/>
    <w:rsid w:val="00895DF1"/>
    <w:rsid w:val="00896645"/>
    <w:rsid w:val="008972A9"/>
    <w:rsid w:val="008975D2"/>
    <w:rsid w:val="008A035B"/>
    <w:rsid w:val="008A0459"/>
    <w:rsid w:val="008A06C5"/>
    <w:rsid w:val="008A1218"/>
    <w:rsid w:val="008A15B6"/>
    <w:rsid w:val="008A1A6E"/>
    <w:rsid w:val="008A202A"/>
    <w:rsid w:val="008A36C9"/>
    <w:rsid w:val="008A5AF9"/>
    <w:rsid w:val="008A6FE5"/>
    <w:rsid w:val="008B0545"/>
    <w:rsid w:val="008B0F30"/>
    <w:rsid w:val="008B16DE"/>
    <w:rsid w:val="008B2234"/>
    <w:rsid w:val="008B251F"/>
    <w:rsid w:val="008B2602"/>
    <w:rsid w:val="008B2727"/>
    <w:rsid w:val="008B306D"/>
    <w:rsid w:val="008B316B"/>
    <w:rsid w:val="008B3F44"/>
    <w:rsid w:val="008B411D"/>
    <w:rsid w:val="008B5059"/>
    <w:rsid w:val="008B5BF2"/>
    <w:rsid w:val="008B5DAA"/>
    <w:rsid w:val="008B613E"/>
    <w:rsid w:val="008B6568"/>
    <w:rsid w:val="008B6934"/>
    <w:rsid w:val="008B6CF8"/>
    <w:rsid w:val="008B72F6"/>
    <w:rsid w:val="008C041D"/>
    <w:rsid w:val="008C115C"/>
    <w:rsid w:val="008C119E"/>
    <w:rsid w:val="008C1402"/>
    <w:rsid w:val="008C1E24"/>
    <w:rsid w:val="008C274E"/>
    <w:rsid w:val="008C296B"/>
    <w:rsid w:val="008C2A46"/>
    <w:rsid w:val="008C4278"/>
    <w:rsid w:val="008C493D"/>
    <w:rsid w:val="008C520E"/>
    <w:rsid w:val="008C563B"/>
    <w:rsid w:val="008C567E"/>
    <w:rsid w:val="008C5DEE"/>
    <w:rsid w:val="008C5EA7"/>
    <w:rsid w:val="008C6285"/>
    <w:rsid w:val="008C7182"/>
    <w:rsid w:val="008C7268"/>
    <w:rsid w:val="008C7CA5"/>
    <w:rsid w:val="008C7D9D"/>
    <w:rsid w:val="008D0416"/>
    <w:rsid w:val="008D13C6"/>
    <w:rsid w:val="008D1B04"/>
    <w:rsid w:val="008D2557"/>
    <w:rsid w:val="008D3235"/>
    <w:rsid w:val="008D33C8"/>
    <w:rsid w:val="008D3893"/>
    <w:rsid w:val="008D45CD"/>
    <w:rsid w:val="008D55F1"/>
    <w:rsid w:val="008D5CD7"/>
    <w:rsid w:val="008D718E"/>
    <w:rsid w:val="008E09C5"/>
    <w:rsid w:val="008E0AA7"/>
    <w:rsid w:val="008E1D87"/>
    <w:rsid w:val="008E2355"/>
    <w:rsid w:val="008E3151"/>
    <w:rsid w:val="008E3386"/>
    <w:rsid w:val="008E39F9"/>
    <w:rsid w:val="008E3AF8"/>
    <w:rsid w:val="008E5410"/>
    <w:rsid w:val="008E5A3F"/>
    <w:rsid w:val="008E5FAC"/>
    <w:rsid w:val="008E7209"/>
    <w:rsid w:val="008E736D"/>
    <w:rsid w:val="008E7448"/>
    <w:rsid w:val="008F11BB"/>
    <w:rsid w:val="008F16FF"/>
    <w:rsid w:val="008F182F"/>
    <w:rsid w:val="008F1E95"/>
    <w:rsid w:val="008F2304"/>
    <w:rsid w:val="008F57DD"/>
    <w:rsid w:val="008F5AEE"/>
    <w:rsid w:val="008F5C8D"/>
    <w:rsid w:val="008F68E2"/>
    <w:rsid w:val="008F6EAA"/>
    <w:rsid w:val="008F7800"/>
    <w:rsid w:val="008F7BCA"/>
    <w:rsid w:val="00900F4D"/>
    <w:rsid w:val="0090167B"/>
    <w:rsid w:val="009018F6"/>
    <w:rsid w:val="0090273B"/>
    <w:rsid w:val="00902DEC"/>
    <w:rsid w:val="0090342E"/>
    <w:rsid w:val="00903D3A"/>
    <w:rsid w:val="009044B9"/>
    <w:rsid w:val="009047B1"/>
    <w:rsid w:val="00904C86"/>
    <w:rsid w:val="0090669E"/>
    <w:rsid w:val="0090680D"/>
    <w:rsid w:val="00907C4D"/>
    <w:rsid w:val="0091045D"/>
    <w:rsid w:val="00910DEC"/>
    <w:rsid w:val="0091281A"/>
    <w:rsid w:val="00912B24"/>
    <w:rsid w:val="009139B5"/>
    <w:rsid w:val="00913EEF"/>
    <w:rsid w:val="00914514"/>
    <w:rsid w:val="00914549"/>
    <w:rsid w:val="00914C08"/>
    <w:rsid w:val="00914F2F"/>
    <w:rsid w:val="00916057"/>
    <w:rsid w:val="00916AD1"/>
    <w:rsid w:val="00917060"/>
    <w:rsid w:val="00917637"/>
    <w:rsid w:val="00917FBF"/>
    <w:rsid w:val="00917FEE"/>
    <w:rsid w:val="0092023D"/>
    <w:rsid w:val="00920472"/>
    <w:rsid w:val="00921251"/>
    <w:rsid w:val="00921861"/>
    <w:rsid w:val="0092189E"/>
    <w:rsid w:val="009219FD"/>
    <w:rsid w:val="00921DF7"/>
    <w:rsid w:val="00924734"/>
    <w:rsid w:val="0092548B"/>
    <w:rsid w:val="009257B0"/>
    <w:rsid w:val="009257B5"/>
    <w:rsid w:val="009258BD"/>
    <w:rsid w:val="00925DEB"/>
    <w:rsid w:val="00926297"/>
    <w:rsid w:val="009263C0"/>
    <w:rsid w:val="009302D4"/>
    <w:rsid w:val="009307F2"/>
    <w:rsid w:val="00930CEC"/>
    <w:rsid w:val="00930F4A"/>
    <w:rsid w:val="0093375E"/>
    <w:rsid w:val="00933BEF"/>
    <w:rsid w:val="009340EF"/>
    <w:rsid w:val="0093787E"/>
    <w:rsid w:val="009412CC"/>
    <w:rsid w:val="0094323E"/>
    <w:rsid w:val="0094388B"/>
    <w:rsid w:val="00943D09"/>
    <w:rsid w:val="00944826"/>
    <w:rsid w:val="009457A1"/>
    <w:rsid w:val="00947AF8"/>
    <w:rsid w:val="00947C5D"/>
    <w:rsid w:val="00947CA9"/>
    <w:rsid w:val="00950478"/>
    <w:rsid w:val="0095063D"/>
    <w:rsid w:val="00950888"/>
    <w:rsid w:val="00950AF9"/>
    <w:rsid w:val="00950B5F"/>
    <w:rsid w:val="00950D35"/>
    <w:rsid w:val="0095144C"/>
    <w:rsid w:val="0095165B"/>
    <w:rsid w:val="00951B17"/>
    <w:rsid w:val="00951B8D"/>
    <w:rsid w:val="0095359B"/>
    <w:rsid w:val="009536A8"/>
    <w:rsid w:val="00953799"/>
    <w:rsid w:val="00954559"/>
    <w:rsid w:val="00954596"/>
    <w:rsid w:val="00955851"/>
    <w:rsid w:val="00955C63"/>
    <w:rsid w:val="009560AC"/>
    <w:rsid w:val="0095786E"/>
    <w:rsid w:val="00957E23"/>
    <w:rsid w:val="00961487"/>
    <w:rsid w:val="00961BA7"/>
    <w:rsid w:val="00961CC8"/>
    <w:rsid w:val="00961F01"/>
    <w:rsid w:val="00962162"/>
    <w:rsid w:val="00962399"/>
    <w:rsid w:val="009623BC"/>
    <w:rsid w:val="009628BE"/>
    <w:rsid w:val="00962E87"/>
    <w:rsid w:val="009631C8"/>
    <w:rsid w:val="00963AE4"/>
    <w:rsid w:val="00963C14"/>
    <w:rsid w:val="009645CD"/>
    <w:rsid w:val="00965940"/>
    <w:rsid w:val="00965A4E"/>
    <w:rsid w:val="00966BE5"/>
    <w:rsid w:val="00966EB0"/>
    <w:rsid w:val="00970F0D"/>
    <w:rsid w:val="00971116"/>
    <w:rsid w:val="00972E28"/>
    <w:rsid w:val="00973030"/>
    <w:rsid w:val="009733F3"/>
    <w:rsid w:val="009748E4"/>
    <w:rsid w:val="00974E07"/>
    <w:rsid w:val="00975EC7"/>
    <w:rsid w:val="00976D65"/>
    <w:rsid w:val="009774B4"/>
    <w:rsid w:val="00977CE6"/>
    <w:rsid w:val="009807AC"/>
    <w:rsid w:val="00980C18"/>
    <w:rsid w:val="009810E9"/>
    <w:rsid w:val="0098141C"/>
    <w:rsid w:val="009817E7"/>
    <w:rsid w:val="00981AA9"/>
    <w:rsid w:val="00981C91"/>
    <w:rsid w:val="009830DF"/>
    <w:rsid w:val="00983132"/>
    <w:rsid w:val="00983314"/>
    <w:rsid w:val="00983DF2"/>
    <w:rsid w:val="0098433A"/>
    <w:rsid w:val="00985675"/>
    <w:rsid w:val="00985939"/>
    <w:rsid w:val="0098637F"/>
    <w:rsid w:val="00986A9B"/>
    <w:rsid w:val="00986B9C"/>
    <w:rsid w:val="00987BAB"/>
    <w:rsid w:val="009906BF"/>
    <w:rsid w:val="009913F3"/>
    <w:rsid w:val="00991DA1"/>
    <w:rsid w:val="009927F1"/>
    <w:rsid w:val="009936C4"/>
    <w:rsid w:val="009948ED"/>
    <w:rsid w:val="00995ADA"/>
    <w:rsid w:val="009960F0"/>
    <w:rsid w:val="0099643A"/>
    <w:rsid w:val="00997959"/>
    <w:rsid w:val="009A0A26"/>
    <w:rsid w:val="009A0A70"/>
    <w:rsid w:val="009A0BAF"/>
    <w:rsid w:val="009A0DD7"/>
    <w:rsid w:val="009A1180"/>
    <w:rsid w:val="009A1431"/>
    <w:rsid w:val="009A153D"/>
    <w:rsid w:val="009A1634"/>
    <w:rsid w:val="009A1A60"/>
    <w:rsid w:val="009A1AE3"/>
    <w:rsid w:val="009A1DF1"/>
    <w:rsid w:val="009A203F"/>
    <w:rsid w:val="009A23D7"/>
    <w:rsid w:val="009A2A39"/>
    <w:rsid w:val="009A3052"/>
    <w:rsid w:val="009A3530"/>
    <w:rsid w:val="009A3A34"/>
    <w:rsid w:val="009A3FE2"/>
    <w:rsid w:val="009A400C"/>
    <w:rsid w:val="009A4B2C"/>
    <w:rsid w:val="009A53FE"/>
    <w:rsid w:val="009A5592"/>
    <w:rsid w:val="009A59BA"/>
    <w:rsid w:val="009A6417"/>
    <w:rsid w:val="009B01DF"/>
    <w:rsid w:val="009B020D"/>
    <w:rsid w:val="009B072F"/>
    <w:rsid w:val="009B07A1"/>
    <w:rsid w:val="009B09CC"/>
    <w:rsid w:val="009B173B"/>
    <w:rsid w:val="009B1A1A"/>
    <w:rsid w:val="009B2608"/>
    <w:rsid w:val="009B2A71"/>
    <w:rsid w:val="009B2C87"/>
    <w:rsid w:val="009B4027"/>
    <w:rsid w:val="009B4975"/>
    <w:rsid w:val="009B561F"/>
    <w:rsid w:val="009B5773"/>
    <w:rsid w:val="009B5ABF"/>
    <w:rsid w:val="009B5D2D"/>
    <w:rsid w:val="009B6716"/>
    <w:rsid w:val="009C0045"/>
    <w:rsid w:val="009C058F"/>
    <w:rsid w:val="009C2B3E"/>
    <w:rsid w:val="009C2EA2"/>
    <w:rsid w:val="009C3721"/>
    <w:rsid w:val="009C4141"/>
    <w:rsid w:val="009C4B55"/>
    <w:rsid w:val="009C5FCC"/>
    <w:rsid w:val="009C61A2"/>
    <w:rsid w:val="009C6D6B"/>
    <w:rsid w:val="009C6DF6"/>
    <w:rsid w:val="009C6E92"/>
    <w:rsid w:val="009C7EF0"/>
    <w:rsid w:val="009D04F7"/>
    <w:rsid w:val="009D1589"/>
    <w:rsid w:val="009D2003"/>
    <w:rsid w:val="009D38C2"/>
    <w:rsid w:val="009D417F"/>
    <w:rsid w:val="009D45E5"/>
    <w:rsid w:val="009D4B85"/>
    <w:rsid w:val="009D535B"/>
    <w:rsid w:val="009D56E2"/>
    <w:rsid w:val="009D6231"/>
    <w:rsid w:val="009D630B"/>
    <w:rsid w:val="009D6688"/>
    <w:rsid w:val="009D6CAA"/>
    <w:rsid w:val="009D6CF6"/>
    <w:rsid w:val="009D6E69"/>
    <w:rsid w:val="009D700C"/>
    <w:rsid w:val="009D7496"/>
    <w:rsid w:val="009E02DC"/>
    <w:rsid w:val="009E1F2D"/>
    <w:rsid w:val="009E2040"/>
    <w:rsid w:val="009E49AE"/>
    <w:rsid w:val="009E4DC7"/>
    <w:rsid w:val="009E5CD1"/>
    <w:rsid w:val="009E633A"/>
    <w:rsid w:val="009E6534"/>
    <w:rsid w:val="009E660A"/>
    <w:rsid w:val="009E6B64"/>
    <w:rsid w:val="009E719D"/>
    <w:rsid w:val="009E72E5"/>
    <w:rsid w:val="009F46C8"/>
    <w:rsid w:val="009F4F2A"/>
    <w:rsid w:val="009F660B"/>
    <w:rsid w:val="009F671E"/>
    <w:rsid w:val="009F68BC"/>
    <w:rsid w:val="009F7ED1"/>
    <w:rsid w:val="00A0149B"/>
    <w:rsid w:val="00A015FF"/>
    <w:rsid w:val="00A01607"/>
    <w:rsid w:val="00A018D4"/>
    <w:rsid w:val="00A02F9D"/>
    <w:rsid w:val="00A03767"/>
    <w:rsid w:val="00A04834"/>
    <w:rsid w:val="00A05628"/>
    <w:rsid w:val="00A07DCF"/>
    <w:rsid w:val="00A12979"/>
    <w:rsid w:val="00A12EC4"/>
    <w:rsid w:val="00A131A9"/>
    <w:rsid w:val="00A1334A"/>
    <w:rsid w:val="00A143C5"/>
    <w:rsid w:val="00A1496E"/>
    <w:rsid w:val="00A14F84"/>
    <w:rsid w:val="00A16AD6"/>
    <w:rsid w:val="00A16D6D"/>
    <w:rsid w:val="00A17C75"/>
    <w:rsid w:val="00A211C8"/>
    <w:rsid w:val="00A2121E"/>
    <w:rsid w:val="00A21EAC"/>
    <w:rsid w:val="00A221DE"/>
    <w:rsid w:val="00A22CB2"/>
    <w:rsid w:val="00A23138"/>
    <w:rsid w:val="00A23940"/>
    <w:rsid w:val="00A23ECC"/>
    <w:rsid w:val="00A24CD3"/>
    <w:rsid w:val="00A25461"/>
    <w:rsid w:val="00A254C3"/>
    <w:rsid w:val="00A26201"/>
    <w:rsid w:val="00A26367"/>
    <w:rsid w:val="00A2678A"/>
    <w:rsid w:val="00A269E1"/>
    <w:rsid w:val="00A26E2D"/>
    <w:rsid w:val="00A274DB"/>
    <w:rsid w:val="00A27C1C"/>
    <w:rsid w:val="00A307DD"/>
    <w:rsid w:val="00A30F6A"/>
    <w:rsid w:val="00A32534"/>
    <w:rsid w:val="00A32AEA"/>
    <w:rsid w:val="00A32F32"/>
    <w:rsid w:val="00A333E1"/>
    <w:rsid w:val="00A33E80"/>
    <w:rsid w:val="00A33EFE"/>
    <w:rsid w:val="00A35BB5"/>
    <w:rsid w:val="00A403B1"/>
    <w:rsid w:val="00A40B73"/>
    <w:rsid w:val="00A4148D"/>
    <w:rsid w:val="00A42BA0"/>
    <w:rsid w:val="00A43071"/>
    <w:rsid w:val="00A43F13"/>
    <w:rsid w:val="00A44A3A"/>
    <w:rsid w:val="00A44D0E"/>
    <w:rsid w:val="00A4621D"/>
    <w:rsid w:val="00A46960"/>
    <w:rsid w:val="00A477FA"/>
    <w:rsid w:val="00A509FB"/>
    <w:rsid w:val="00A51C19"/>
    <w:rsid w:val="00A51E04"/>
    <w:rsid w:val="00A522B5"/>
    <w:rsid w:val="00A52C31"/>
    <w:rsid w:val="00A52F37"/>
    <w:rsid w:val="00A533C5"/>
    <w:rsid w:val="00A5388C"/>
    <w:rsid w:val="00A5397B"/>
    <w:rsid w:val="00A53BE1"/>
    <w:rsid w:val="00A54006"/>
    <w:rsid w:val="00A54644"/>
    <w:rsid w:val="00A55921"/>
    <w:rsid w:val="00A560E3"/>
    <w:rsid w:val="00A56131"/>
    <w:rsid w:val="00A5628F"/>
    <w:rsid w:val="00A564AF"/>
    <w:rsid w:val="00A566A8"/>
    <w:rsid w:val="00A56D0B"/>
    <w:rsid w:val="00A5775C"/>
    <w:rsid w:val="00A57ECE"/>
    <w:rsid w:val="00A60E72"/>
    <w:rsid w:val="00A61F0C"/>
    <w:rsid w:val="00A61FF0"/>
    <w:rsid w:val="00A620E8"/>
    <w:rsid w:val="00A62580"/>
    <w:rsid w:val="00A63AC9"/>
    <w:rsid w:val="00A64282"/>
    <w:rsid w:val="00A64502"/>
    <w:rsid w:val="00A64B5F"/>
    <w:rsid w:val="00A65706"/>
    <w:rsid w:val="00A65EA0"/>
    <w:rsid w:val="00A66517"/>
    <w:rsid w:val="00A66AE5"/>
    <w:rsid w:val="00A67A53"/>
    <w:rsid w:val="00A67B0E"/>
    <w:rsid w:val="00A718EF"/>
    <w:rsid w:val="00A72134"/>
    <w:rsid w:val="00A7248C"/>
    <w:rsid w:val="00A726A8"/>
    <w:rsid w:val="00A72951"/>
    <w:rsid w:val="00A73505"/>
    <w:rsid w:val="00A75E02"/>
    <w:rsid w:val="00A76A5B"/>
    <w:rsid w:val="00A76E79"/>
    <w:rsid w:val="00A7771B"/>
    <w:rsid w:val="00A77B53"/>
    <w:rsid w:val="00A811F1"/>
    <w:rsid w:val="00A823D8"/>
    <w:rsid w:val="00A82887"/>
    <w:rsid w:val="00A83010"/>
    <w:rsid w:val="00A83BF5"/>
    <w:rsid w:val="00A83CED"/>
    <w:rsid w:val="00A84CD1"/>
    <w:rsid w:val="00A85E2E"/>
    <w:rsid w:val="00A861F3"/>
    <w:rsid w:val="00A8728F"/>
    <w:rsid w:val="00A8756A"/>
    <w:rsid w:val="00A8785B"/>
    <w:rsid w:val="00A87DB8"/>
    <w:rsid w:val="00A87F7D"/>
    <w:rsid w:val="00A906B7"/>
    <w:rsid w:val="00A9070E"/>
    <w:rsid w:val="00A91B29"/>
    <w:rsid w:val="00A92816"/>
    <w:rsid w:val="00A92DD4"/>
    <w:rsid w:val="00A94D0F"/>
    <w:rsid w:val="00A94F13"/>
    <w:rsid w:val="00A9568C"/>
    <w:rsid w:val="00A95BED"/>
    <w:rsid w:val="00A95EA2"/>
    <w:rsid w:val="00A969CE"/>
    <w:rsid w:val="00A9787E"/>
    <w:rsid w:val="00A97AF9"/>
    <w:rsid w:val="00AA08E8"/>
    <w:rsid w:val="00AA0DB4"/>
    <w:rsid w:val="00AA0FD4"/>
    <w:rsid w:val="00AA11C5"/>
    <w:rsid w:val="00AA17E2"/>
    <w:rsid w:val="00AA18D6"/>
    <w:rsid w:val="00AA21B7"/>
    <w:rsid w:val="00AA2495"/>
    <w:rsid w:val="00AA3827"/>
    <w:rsid w:val="00AA382D"/>
    <w:rsid w:val="00AA4A2C"/>
    <w:rsid w:val="00AA51ED"/>
    <w:rsid w:val="00AA59A6"/>
    <w:rsid w:val="00AA6299"/>
    <w:rsid w:val="00AA63C1"/>
    <w:rsid w:val="00AA64CB"/>
    <w:rsid w:val="00AA6E05"/>
    <w:rsid w:val="00AB0262"/>
    <w:rsid w:val="00AB0646"/>
    <w:rsid w:val="00AB10A8"/>
    <w:rsid w:val="00AB14A1"/>
    <w:rsid w:val="00AB202A"/>
    <w:rsid w:val="00AB52A8"/>
    <w:rsid w:val="00AB5555"/>
    <w:rsid w:val="00AB55AD"/>
    <w:rsid w:val="00AB5C84"/>
    <w:rsid w:val="00AB5D1B"/>
    <w:rsid w:val="00AB65BC"/>
    <w:rsid w:val="00AB6918"/>
    <w:rsid w:val="00AB6B40"/>
    <w:rsid w:val="00AB740A"/>
    <w:rsid w:val="00AC07E3"/>
    <w:rsid w:val="00AC1DA5"/>
    <w:rsid w:val="00AC216B"/>
    <w:rsid w:val="00AC26B1"/>
    <w:rsid w:val="00AC2BF2"/>
    <w:rsid w:val="00AC3BFD"/>
    <w:rsid w:val="00AC3EAB"/>
    <w:rsid w:val="00AC42B8"/>
    <w:rsid w:val="00AC45C5"/>
    <w:rsid w:val="00AC4791"/>
    <w:rsid w:val="00AC4A4C"/>
    <w:rsid w:val="00AC4FB6"/>
    <w:rsid w:val="00AC4FD1"/>
    <w:rsid w:val="00AC5923"/>
    <w:rsid w:val="00AC5FEF"/>
    <w:rsid w:val="00AC6036"/>
    <w:rsid w:val="00AC7593"/>
    <w:rsid w:val="00AD01AA"/>
    <w:rsid w:val="00AD0328"/>
    <w:rsid w:val="00AD060E"/>
    <w:rsid w:val="00AD0865"/>
    <w:rsid w:val="00AD11DC"/>
    <w:rsid w:val="00AD1966"/>
    <w:rsid w:val="00AD19E8"/>
    <w:rsid w:val="00AD1B82"/>
    <w:rsid w:val="00AD25C0"/>
    <w:rsid w:val="00AD2B03"/>
    <w:rsid w:val="00AD2D4C"/>
    <w:rsid w:val="00AD2E07"/>
    <w:rsid w:val="00AD38A9"/>
    <w:rsid w:val="00AD39DA"/>
    <w:rsid w:val="00AD3A55"/>
    <w:rsid w:val="00AD4071"/>
    <w:rsid w:val="00AD44EA"/>
    <w:rsid w:val="00AD4782"/>
    <w:rsid w:val="00AD5236"/>
    <w:rsid w:val="00AD527D"/>
    <w:rsid w:val="00AD54E0"/>
    <w:rsid w:val="00AD5F48"/>
    <w:rsid w:val="00AD6E88"/>
    <w:rsid w:val="00AD6EFC"/>
    <w:rsid w:val="00AD753D"/>
    <w:rsid w:val="00AD758E"/>
    <w:rsid w:val="00AD7AB5"/>
    <w:rsid w:val="00AD7FA7"/>
    <w:rsid w:val="00AE08B7"/>
    <w:rsid w:val="00AE0DBA"/>
    <w:rsid w:val="00AE160F"/>
    <w:rsid w:val="00AE21DC"/>
    <w:rsid w:val="00AE239B"/>
    <w:rsid w:val="00AE25D2"/>
    <w:rsid w:val="00AE2B47"/>
    <w:rsid w:val="00AE2CAD"/>
    <w:rsid w:val="00AE305F"/>
    <w:rsid w:val="00AE3090"/>
    <w:rsid w:val="00AE380E"/>
    <w:rsid w:val="00AE3AAD"/>
    <w:rsid w:val="00AE4189"/>
    <w:rsid w:val="00AE43B6"/>
    <w:rsid w:val="00AE503A"/>
    <w:rsid w:val="00AE68E2"/>
    <w:rsid w:val="00AE70F0"/>
    <w:rsid w:val="00AE7FDF"/>
    <w:rsid w:val="00AF0157"/>
    <w:rsid w:val="00AF07A7"/>
    <w:rsid w:val="00AF18E8"/>
    <w:rsid w:val="00AF1B2E"/>
    <w:rsid w:val="00AF244D"/>
    <w:rsid w:val="00AF2EC7"/>
    <w:rsid w:val="00AF32E8"/>
    <w:rsid w:val="00AF3AC0"/>
    <w:rsid w:val="00AF4A40"/>
    <w:rsid w:val="00AF4F4A"/>
    <w:rsid w:val="00AF55A6"/>
    <w:rsid w:val="00AF631D"/>
    <w:rsid w:val="00B003B7"/>
    <w:rsid w:val="00B00C24"/>
    <w:rsid w:val="00B00F93"/>
    <w:rsid w:val="00B01BBE"/>
    <w:rsid w:val="00B03870"/>
    <w:rsid w:val="00B03F92"/>
    <w:rsid w:val="00B04A89"/>
    <w:rsid w:val="00B055D8"/>
    <w:rsid w:val="00B065DF"/>
    <w:rsid w:val="00B06CD6"/>
    <w:rsid w:val="00B06EBC"/>
    <w:rsid w:val="00B07F40"/>
    <w:rsid w:val="00B11B88"/>
    <w:rsid w:val="00B11D2D"/>
    <w:rsid w:val="00B123F0"/>
    <w:rsid w:val="00B12891"/>
    <w:rsid w:val="00B12BE5"/>
    <w:rsid w:val="00B141F3"/>
    <w:rsid w:val="00B142AE"/>
    <w:rsid w:val="00B146C1"/>
    <w:rsid w:val="00B146E7"/>
    <w:rsid w:val="00B1525A"/>
    <w:rsid w:val="00B156DF"/>
    <w:rsid w:val="00B15ABB"/>
    <w:rsid w:val="00B15C2E"/>
    <w:rsid w:val="00B16890"/>
    <w:rsid w:val="00B16973"/>
    <w:rsid w:val="00B17145"/>
    <w:rsid w:val="00B178C9"/>
    <w:rsid w:val="00B1792D"/>
    <w:rsid w:val="00B17DC5"/>
    <w:rsid w:val="00B2036A"/>
    <w:rsid w:val="00B2093D"/>
    <w:rsid w:val="00B21057"/>
    <w:rsid w:val="00B2110D"/>
    <w:rsid w:val="00B2122A"/>
    <w:rsid w:val="00B21803"/>
    <w:rsid w:val="00B2202B"/>
    <w:rsid w:val="00B22172"/>
    <w:rsid w:val="00B23422"/>
    <w:rsid w:val="00B23AA1"/>
    <w:rsid w:val="00B23D25"/>
    <w:rsid w:val="00B24948"/>
    <w:rsid w:val="00B2494B"/>
    <w:rsid w:val="00B24CBD"/>
    <w:rsid w:val="00B25CA3"/>
    <w:rsid w:val="00B260A3"/>
    <w:rsid w:val="00B30028"/>
    <w:rsid w:val="00B30222"/>
    <w:rsid w:val="00B31E8D"/>
    <w:rsid w:val="00B326F4"/>
    <w:rsid w:val="00B3313B"/>
    <w:rsid w:val="00B331E8"/>
    <w:rsid w:val="00B331EA"/>
    <w:rsid w:val="00B33648"/>
    <w:rsid w:val="00B341E4"/>
    <w:rsid w:val="00B34732"/>
    <w:rsid w:val="00B353B8"/>
    <w:rsid w:val="00B35C56"/>
    <w:rsid w:val="00B36F17"/>
    <w:rsid w:val="00B372ED"/>
    <w:rsid w:val="00B40603"/>
    <w:rsid w:val="00B40840"/>
    <w:rsid w:val="00B40AF6"/>
    <w:rsid w:val="00B41071"/>
    <w:rsid w:val="00B41A62"/>
    <w:rsid w:val="00B41E46"/>
    <w:rsid w:val="00B425C0"/>
    <w:rsid w:val="00B42DB6"/>
    <w:rsid w:val="00B443B4"/>
    <w:rsid w:val="00B450F4"/>
    <w:rsid w:val="00B46957"/>
    <w:rsid w:val="00B47B54"/>
    <w:rsid w:val="00B50E99"/>
    <w:rsid w:val="00B51094"/>
    <w:rsid w:val="00B51926"/>
    <w:rsid w:val="00B51F9A"/>
    <w:rsid w:val="00B52448"/>
    <w:rsid w:val="00B5283E"/>
    <w:rsid w:val="00B53B7C"/>
    <w:rsid w:val="00B542F3"/>
    <w:rsid w:val="00B54D87"/>
    <w:rsid w:val="00B54DA7"/>
    <w:rsid w:val="00B56890"/>
    <w:rsid w:val="00B600C6"/>
    <w:rsid w:val="00B60167"/>
    <w:rsid w:val="00B60FC0"/>
    <w:rsid w:val="00B6160C"/>
    <w:rsid w:val="00B61665"/>
    <w:rsid w:val="00B62DCA"/>
    <w:rsid w:val="00B63528"/>
    <w:rsid w:val="00B63DAF"/>
    <w:rsid w:val="00B63E98"/>
    <w:rsid w:val="00B6425F"/>
    <w:rsid w:val="00B65242"/>
    <w:rsid w:val="00B65754"/>
    <w:rsid w:val="00B661AA"/>
    <w:rsid w:val="00B66242"/>
    <w:rsid w:val="00B66323"/>
    <w:rsid w:val="00B670D3"/>
    <w:rsid w:val="00B67958"/>
    <w:rsid w:val="00B67EA1"/>
    <w:rsid w:val="00B701D1"/>
    <w:rsid w:val="00B716BB"/>
    <w:rsid w:val="00B716FD"/>
    <w:rsid w:val="00B734C2"/>
    <w:rsid w:val="00B73656"/>
    <w:rsid w:val="00B73A15"/>
    <w:rsid w:val="00B73BDA"/>
    <w:rsid w:val="00B74053"/>
    <w:rsid w:val="00B74205"/>
    <w:rsid w:val="00B765A0"/>
    <w:rsid w:val="00B768EA"/>
    <w:rsid w:val="00B76C02"/>
    <w:rsid w:val="00B77BD2"/>
    <w:rsid w:val="00B814CB"/>
    <w:rsid w:val="00B81B6A"/>
    <w:rsid w:val="00B820F4"/>
    <w:rsid w:val="00B835E0"/>
    <w:rsid w:val="00B8396D"/>
    <w:rsid w:val="00B8401B"/>
    <w:rsid w:val="00B8552E"/>
    <w:rsid w:val="00B872E1"/>
    <w:rsid w:val="00B872F0"/>
    <w:rsid w:val="00B90331"/>
    <w:rsid w:val="00B903ED"/>
    <w:rsid w:val="00B9095B"/>
    <w:rsid w:val="00B90B2D"/>
    <w:rsid w:val="00B91368"/>
    <w:rsid w:val="00B91A97"/>
    <w:rsid w:val="00B92AD8"/>
    <w:rsid w:val="00B92E22"/>
    <w:rsid w:val="00B92F80"/>
    <w:rsid w:val="00B935A1"/>
    <w:rsid w:val="00B95515"/>
    <w:rsid w:val="00B95DAD"/>
    <w:rsid w:val="00B95EF0"/>
    <w:rsid w:val="00B96C0C"/>
    <w:rsid w:val="00B9716B"/>
    <w:rsid w:val="00B9728B"/>
    <w:rsid w:val="00B9734D"/>
    <w:rsid w:val="00B97732"/>
    <w:rsid w:val="00B9779D"/>
    <w:rsid w:val="00BA08DA"/>
    <w:rsid w:val="00BA15A6"/>
    <w:rsid w:val="00BA27F4"/>
    <w:rsid w:val="00BA2E40"/>
    <w:rsid w:val="00BA3CB7"/>
    <w:rsid w:val="00BA41DE"/>
    <w:rsid w:val="00BA556C"/>
    <w:rsid w:val="00BB00F9"/>
    <w:rsid w:val="00BB0100"/>
    <w:rsid w:val="00BB0F31"/>
    <w:rsid w:val="00BB15AB"/>
    <w:rsid w:val="00BB17DC"/>
    <w:rsid w:val="00BB189B"/>
    <w:rsid w:val="00BB1D21"/>
    <w:rsid w:val="00BB2E51"/>
    <w:rsid w:val="00BB3583"/>
    <w:rsid w:val="00BB3C5F"/>
    <w:rsid w:val="00BB4420"/>
    <w:rsid w:val="00BB4BEA"/>
    <w:rsid w:val="00BB4C1A"/>
    <w:rsid w:val="00BB50AB"/>
    <w:rsid w:val="00BB5B75"/>
    <w:rsid w:val="00BB5FD3"/>
    <w:rsid w:val="00BB610A"/>
    <w:rsid w:val="00BB6664"/>
    <w:rsid w:val="00BC01FC"/>
    <w:rsid w:val="00BC1F79"/>
    <w:rsid w:val="00BC2201"/>
    <w:rsid w:val="00BC226B"/>
    <w:rsid w:val="00BC3C7A"/>
    <w:rsid w:val="00BC55D2"/>
    <w:rsid w:val="00BC70E1"/>
    <w:rsid w:val="00BC7111"/>
    <w:rsid w:val="00BC7BCE"/>
    <w:rsid w:val="00BC7DC6"/>
    <w:rsid w:val="00BD0427"/>
    <w:rsid w:val="00BD1039"/>
    <w:rsid w:val="00BD13B5"/>
    <w:rsid w:val="00BD1994"/>
    <w:rsid w:val="00BD227E"/>
    <w:rsid w:val="00BD23CE"/>
    <w:rsid w:val="00BD2550"/>
    <w:rsid w:val="00BD2EFC"/>
    <w:rsid w:val="00BD340E"/>
    <w:rsid w:val="00BD60AD"/>
    <w:rsid w:val="00BD61C8"/>
    <w:rsid w:val="00BD6C02"/>
    <w:rsid w:val="00BE0D84"/>
    <w:rsid w:val="00BE1244"/>
    <w:rsid w:val="00BE165D"/>
    <w:rsid w:val="00BE20A2"/>
    <w:rsid w:val="00BE2394"/>
    <w:rsid w:val="00BE242E"/>
    <w:rsid w:val="00BE2702"/>
    <w:rsid w:val="00BE4326"/>
    <w:rsid w:val="00BE4CB1"/>
    <w:rsid w:val="00BE51AF"/>
    <w:rsid w:val="00BE5F4F"/>
    <w:rsid w:val="00BE60DB"/>
    <w:rsid w:val="00BF0191"/>
    <w:rsid w:val="00BF13EC"/>
    <w:rsid w:val="00BF1C07"/>
    <w:rsid w:val="00BF2EE1"/>
    <w:rsid w:val="00BF3949"/>
    <w:rsid w:val="00BF3DEE"/>
    <w:rsid w:val="00BF54AC"/>
    <w:rsid w:val="00BF54BD"/>
    <w:rsid w:val="00BF6B8E"/>
    <w:rsid w:val="00BF77FE"/>
    <w:rsid w:val="00C025A5"/>
    <w:rsid w:val="00C038A2"/>
    <w:rsid w:val="00C03C78"/>
    <w:rsid w:val="00C0467D"/>
    <w:rsid w:val="00C04FD3"/>
    <w:rsid w:val="00C0551D"/>
    <w:rsid w:val="00C065A2"/>
    <w:rsid w:val="00C069C3"/>
    <w:rsid w:val="00C06CD8"/>
    <w:rsid w:val="00C06F80"/>
    <w:rsid w:val="00C07919"/>
    <w:rsid w:val="00C103DE"/>
    <w:rsid w:val="00C103F9"/>
    <w:rsid w:val="00C104AC"/>
    <w:rsid w:val="00C10AE9"/>
    <w:rsid w:val="00C110E1"/>
    <w:rsid w:val="00C11903"/>
    <w:rsid w:val="00C1198F"/>
    <w:rsid w:val="00C11FA1"/>
    <w:rsid w:val="00C12E21"/>
    <w:rsid w:val="00C12E65"/>
    <w:rsid w:val="00C13C20"/>
    <w:rsid w:val="00C13F74"/>
    <w:rsid w:val="00C146D3"/>
    <w:rsid w:val="00C16010"/>
    <w:rsid w:val="00C16BE0"/>
    <w:rsid w:val="00C21C39"/>
    <w:rsid w:val="00C2325C"/>
    <w:rsid w:val="00C239ED"/>
    <w:rsid w:val="00C2451A"/>
    <w:rsid w:val="00C248B4"/>
    <w:rsid w:val="00C24D9D"/>
    <w:rsid w:val="00C25CF3"/>
    <w:rsid w:val="00C263E9"/>
    <w:rsid w:val="00C27238"/>
    <w:rsid w:val="00C2775A"/>
    <w:rsid w:val="00C3063A"/>
    <w:rsid w:val="00C30913"/>
    <w:rsid w:val="00C30BAD"/>
    <w:rsid w:val="00C31E8F"/>
    <w:rsid w:val="00C335DA"/>
    <w:rsid w:val="00C33CDF"/>
    <w:rsid w:val="00C33D3E"/>
    <w:rsid w:val="00C362E0"/>
    <w:rsid w:val="00C36755"/>
    <w:rsid w:val="00C36ED4"/>
    <w:rsid w:val="00C376CC"/>
    <w:rsid w:val="00C400F7"/>
    <w:rsid w:val="00C409FF"/>
    <w:rsid w:val="00C40EC6"/>
    <w:rsid w:val="00C419AD"/>
    <w:rsid w:val="00C41B5F"/>
    <w:rsid w:val="00C437BA"/>
    <w:rsid w:val="00C438B7"/>
    <w:rsid w:val="00C44395"/>
    <w:rsid w:val="00C443B3"/>
    <w:rsid w:val="00C45CE8"/>
    <w:rsid w:val="00C46F06"/>
    <w:rsid w:val="00C47A12"/>
    <w:rsid w:val="00C47DA6"/>
    <w:rsid w:val="00C50986"/>
    <w:rsid w:val="00C50ABF"/>
    <w:rsid w:val="00C50EF2"/>
    <w:rsid w:val="00C51256"/>
    <w:rsid w:val="00C51566"/>
    <w:rsid w:val="00C516B7"/>
    <w:rsid w:val="00C516C4"/>
    <w:rsid w:val="00C51C1F"/>
    <w:rsid w:val="00C52433"/>
    <w:rsid w:val="00C52D62"/>
    <w:rsid w:val="00C52EF3"/>
    <w:rsid w:val="00C533D4"/>
    <w:rsid w:val="00C53A4C"/>
    <w:rsid w:val="00C5448D"/>
    <w:rsid w:val="00C5477F"/>
    <w:rsid w:val="00C547B7"/>
    <w:rsid w:val="00C5503B"/>
    <w:rsid w:val="00C558D3"/>
    <w:rsid w:val="00C55A32"/>
    <w:rsid w:val="00C564F2"/>
    <w:rsid w:val="00C56F11"/>
    <w:rsid w:val="00C57431"/>
    <w:rsid w:val="00C57C2F"/>
    <w:rsid w:val="00C6167F"/>
    <w:rsid w:val="00C61B81"/>
    <w:rsid w:val="00C61CBB"/>
    <w:rsid w:val="00C61F3A"/>
    <w:rsid w:val="00C629CB"/>
    <w:rsid w:val="00C62B75"/>
    <w:rsid w:val="00C657B5"/>
    <w:rsid w:val="00C661E1"/>
    <w:rsid w:val="00C66686"/>
    <w:rsid w:val="00C670A1"/>
    <w:rsid w:val="00C678C4"/>
    <w:rsid w:val="00C67AF4"/>
    <w:rsid w:val="00C701EA"/>
    <w:rsid w:val="00C71215"/>
    <w:rsid w:val="00C7165F"/>
    <w:rsid w:val="00C7216B"/>
    <w:rsid w:val="00C72584"/>
    <w:rsid w:val="00C7275F"/>
    <w:rsid w:val="00C727BE"/>
    <w:rsid w:val="00C732A9"/>
    <w:rsid w:val="00C73448"/>
    <w:rsid w:val="00C73E2E"/>
    <w:rsid w:val="00C73E3A"/>
    <w:rsid w:val="00C74546"/>
    <w:rsid w:val="00C747E7"/>
    <w:rsid w:val="00C748E2"/>
    <w:rsid w:val="00C75977"/>
    <w:rsid w:val="00C759A7"/>
    <w:rsid w:val="00C76BB9"/>
    <w:rsid w:val="00C7776C"/>
    <w:rsid w:val="00C81D7F"/>
    <w:rsid w:val="00C828DB"/>
    <w:rsid w:val="00C838B4"/>
    <w:rsid w:val="00C8398D"/>
    <w:rsid w:val="00C83A95"/>
    <w:rsid w:val="00C840B3"/>
    <w:rsid w:val="00C84BC2"/>
    <w:rsid w:val="00C85139"/>
    <w:rsid w:val="00C85657"/>
    <w:rsid w:val="00C9053A"/>
    <w:rsid w:val="00C90FA8"/>
    <w:rsid w:val="00C91572"/>
    <w:rsid w:val="00C91C23"/>
    <w:rsid w:val="00C91C88"/>
    <w:rsid w:val="00C939C3"/>
    <w:rsid w:val="00C93BB8"/>
    <w:rsid w:val="00C940BE"/>
    <w:rsid w:val="00C94228"/>
    <w:rsid w:val="00C944E6"/>
    <w:rsid w:val="00C96D56"/>
    <w:rsid w:val="00C975FE"/>
    <w:rsid w:val="00C977E6"/>
    <w:rsid w:val="00CA0020"/>
    <w:rsid w:val="00CA0B2E"/>
    <w:rsid w:val="00CA0B72"/>
    <w:rsid w:val="00CA18CA"/>
    <w:rsid w:val="00CA2557"/>
    <w:rsid w:val="00CA29F1"/>
    <w:rsid w:val="00CA2A12"/>
    <w:rsid w:val="00CA2E0A"/>
    <w:rsid w:val="00CA414B"/>
    <w:rsid w:val="00CA5413"/>
    <w:rsid w:val="00CA5674"/>
    <w:rsid w:val="00CA5B7A"/>
    <w:rsid w:val="00CA5BDA"/>
    <w:rsid w:val="00CA5C1A"/>
    <w:rsid w:val="00CA633F"/>
    <w:rsid w:val="00CA641E"/>
    <w:rsid w:val="00CA6613"/>
    <w:rsid w:val="00CA66B9"/>
    <w:rsid w:val="00CA7558"/>
    <w:rsid w:val="00CA785F"/>
    <w:rsid w:val="00CA792A"/>
    <w:rsid w:val="00CA7944"/>
    <w:rsid w:val="00CA7949"/>
    <w:rsid w:val="00CB0400"/>
    <w:rsid w:val="00CB068E"/>
    <w:rsid w:val="00CB0C13"/>
    <w:rsid w:val="00CB0C6E"/>
    <w:rsid w:val="00CB0C89"/>
    <w:rsid w:val="00CB1D1C"/>
    <w:rsid w:val="00CB1D39"/>
    <w:rsid w:val="00CB226B"/>
    <w:rsid w:val="00CB229B"/>
    <w:rsid w:val="00CB242C"/>
    <w:rsid w:val="00CB33B4"/>
    <w:rsid w:val="00CB3D93"/>
    <w:rsid w:val="00CB4441"/>
    <w:rsid w:val="00CB4B1A"/>
    <w:rsid w:val="00CB4B2E"/>
    <w:rsid w:val="00CB4E1F"/>
    <w:rsid w:val="00CB5B42"/>
    <w:rsid w:val="00CB5B50"/>
    <w:rsid w:val="00CC0BCF"/>
    <w:rsid w:val="00CC152E"/>
    <w:rsid w:val="00CC19B7"/>
    <w:rsid w:val="00CC2493"/>
    <w:rsid w:val="00CC2BDA"/>
    <w:rsid w:val="00CC3222"/>
    <w:rsid w:val="00CC3478"/>
    <w:rsid w:val="00CC35F1"/>
    <w:rsid w:val="00CC35FF"/>
    <w:rsid w:val="00CC586C"/>
    <w:rsid w:val="00CC6CC1"/>
    <w:rsid w:val="00CD0E6E"/>
    <w:rsid w:val="00CD23AE"/>
    <w:rsid w:val="00CD27DF"/>
    <w:rsid w:val="00CD2D8A"/>
    <w:rsid w:val="00CD3BAC"/>
    <w:rsid w:val="00CD3FF2"/>
    <w:rsid w:val="00CD4A65"/>
    <w:rsid w:val="00CD50EC"/>
    <w:rsid w:val="00CD531F"/>
    <w:rsid w:val="00CD55FD"/>
    <w:rsid w:val="00CD605B"/>
    <w:rsid w:val="00CD6DA8"/>
    <w:rsid w:val="00CD6FA3"/>
    <w:rsid w:val="00CE2184"/>
    <w:rsid w:val="00CE3B7F"/>
    <w:rsid w:val="00CE3FA2"/>
    <w:rsid w:val="00CE41A0"/>
    <w:rsid w:val="00CE4958"/>
    <w:rsid w:val="00CE5783"/>
    <w:rsid w:val="00CE6038"/>
    <w:rsid w:val="00CE68E2"/>
    <w:rsid w:val="00CE706E"/>
    <w:rsid w:val="00CE70B1"/>
    <w:rsid w:val="00CE7AE4"/>
    <w:rsid w:val="00CF0A4C"/>
    <w:rsid w:val="00CF150A"/>
    <w:rsid w:val="00CF1B16"/>
    <w:rsid w:val="00CF1D11"/>
    <w:rsid w:val="00CF2225"/>
    <w:rsid w:val="00CF25E7"/>
    <w:rsid w:val="00CF3C77"/>
    <w:rsid w:val="00CF45A2"/>
    <w:rsid w:val="00CF52E7"/>
    <w:rsid w:val="00CF5EC3"/>
    <w:rsid w:val="00CF64B5"/>
    <w:rsid w:val="00CF6E22"/>
    <w:rsid w:val="00CF7853"/>
    <w:rsid w:val="00D0011B"/>
    <w:rsid w:val="00D004ED"/>
    <w:rsid w:val="00D0260F"/>
    <w:rsid w:val="00D03708"/>
    <w:rsid w:val="00D03DE6"/>
    <w:rsid w:val="00D03ED6"/>
    <w:rsid w:val="00D0667B"/>
    <w:rsid w:val="00D06776"/>
    <w:rsid w:val="00D06E46"/>
    <w:rsid w:val="00D06F95"/>
    <w:rsid w:val="00D07097"/>
    <w:rsid w:val="00D10DF6"/>
    <w:rsid w:val="00D114BF"/>
    <w:rsid w:val="00D1158C"/>
    <w:rsid w:val="00D11600"/>
    <w:rsid w:val="00D11985"/>
    <w:rsid w:val="00D119A2"/>
    <w:rsid w:val="00D12E31"/>
    <w:rsid w:val="00D137F9"/>
    <w:rsid w:val="00D1458C"/>
    <w:rsid w:val="00D1620E"/>
    <w:rsid w:val="00D163AA"/>
    <w:rsid w:val="00D16701"/>
    <w:rsid w:val="00D16867"/>
    <w:rsid w:val="00D16EEC"/>
    <w:rsid w:val="00D2047A"/>
    <w:rsid w:val="00D20631"/>
    <w:rsid w:val="00D207FC"/>
    <w:rsid w:val="00D21625"/>
    <w:rsid w:val="00D21785"/>
    <w:rsid w:val="00D2260B"/>
    <w:rsid w:val="00D22D49"/>
    <w:rsid w:val="00D23930"/>
    <w:rsid w:val="00D23A23"/>
    <w:rsid w:val="00D2423E"/>
    <w:rsid w:val="00D24D8A"/>
    <w:rsid w:val="00D24DA4"/>
    <w:rsid w:val="00D25235"/>
    <w:rsid w:val="00D25383"/>
    <w:rsid w:val="00D25670"/>
    <w:rsid w:val="00D25C7A"/>
    <w:rsid w:val="00D27725"/>
    <w:rsid w:val="00D301FF"/>
    <w:rsid w:val="00D30529"/>
    <w:rsid w:val="00D30B6E"/>
    <w:rsid w:val="00D3257F"/>
    <w:rsid w:val="00D32DB2"/>
    <w:rsid w:val="00D33CCB"/>
    <w:rsid w:val="00D340E2"/>
    <w:rsid w:val="00D35C1F"/>
    <w:rsid w:val="00D36887"/>
    <w:rsid w:val="00D37563"/>
    <w:rsid w:val="00D379EB"/>
    <w:rsid w:val="00D400B8"/>
    <w:rsid w:val="00D4022C"/>
    <w:rsid w:val="00D41023"/>
    <w:rsid w:val="00D41C6C"/>
    <w:rsid w:val="00D42465"/>
    <w:rsid w:val="00D42E5B"/>
    <w:rsid w:val="00D439D1"/>
    <w:rsid w:val="00D43C68"/>
    <w:rsid w:val="00D444B2"/>
    <w:rsid w:val="00D449AD"/>
    <w:rsid w:val="00D453E4"/>
    <w:rsid w:val="00D47226"/>
    <w:rsid w:val="00D50998"/>
    <w:rsid w:val="00D50B21"/>
    <w:rsid w:val="00D51349"/>
    <w:rsid w:val="00D51A08"/>
    <w:rsid w:val="00D527AF"/>
    <w:rsid w:val="00D529E1"/>
    <w:rsid w:val="00D534C2"/>
    <w:rsid w:val="00D5410F"/>
    <w:rsid w:val="00D54858"/>
    <w:rsid w:val="00D5565D"/>
    <w:rsid w:val="00D564DF"/>
    <w:rsid w:val="00D576DD"/>
    <w:rsid w:val="00D57CB4"/>
    <w:rsid w:val="00D605A6"/>
    <w:rsid w:val="00D61477"/>
    <w:rsid w:val="00D619E2"/>
    <w:rsid w:val="00D62036"/>
    <w:rsid w:val="00D620CC"/>
    <w:rsid w:val="00D62313"/>
    <w:rsid w:val="00D634B8"/>
    <w:rsid w:val="00D63EF3"/>
    <w:rsid w:val="00D64441"/>
    <w:rsid w:val="00D64859"/>
    <w:rsid w:val="00D64FB0"/>
    <w:rsid w:val="00D65497"/>
    <w:rsid w:val="00D654DA"/>
    <w:rsid w:val="00D65EE2"/>
    <w:rsid w:val="00D6609E"/>
    <w:rsid w:val="00D67A9F"/>
    <w:rsid w:val="00D67C20"/>
    <w:rsid w:val="00D702F8"/>
    <w:rsid w:val="00D70C1B"/>
    <w:rsid w:val="00D70E5C"/>
    <w:rsid w:val="00D7146C"/>
    <w:rsid w:val="00D718CD"/>
    <w:rsid w:val="00D7416F"/>
    <w:rsid w:val="00D755F2"/>
    <w:rsid w:val="00D75C69"/>
    <w:rsid w:val="00D762AC"/>
    <w:rsid w:val="00D771AA"/>
    <w:rsid w:val="00D775E7"/>
    <w:rsid w:val="00D776BF"/>
    <w:rsid w:val="00D77B9E"/>
    <w:rsid w:val="00D81CA9"/>
    <w:rsid w:val="00D83403"/>
    <w:rsid w:val="00D839D8"/>
    <w:rsid w:val="00D83F9E"/>
    <w:rsid w:val="00D840C2"/>
    <w:rsid w:val="00D84562"/>
    <w:rsid w:val="00D855EE"/>
    <w:rsid w:val="00D859E3"/>
    <w:rsid w:val="00D85C16"/>
    <w:rsid w:val="00D86169"/>
    <w:rsid w:val="00D86588"/>
    <w:rsid w:val="00D871B6"/>
    <w:rsid w:val="00D8732E"/>
    <w:rsid w:val="00D91294"/>
    <w:rsid w:val="00D91332"/>
    <w:rsid w:val="00D9186A"/>
    <w:rsid w:val="00D92D47"/>
    <w:rsid w:val="00D94213"/>
    <w:rsid w:val="00D946D9"/>
    <w:rsid w:val="00D94BEB"/>
    <w:rsid w:val="00D94EA5"/>
    <w:rsid w:val="00D95594"/>
    <w:rsid w:val="00D95F32"/>
    <w:rsid w:val="00DA024A"/>
    <w:rsid w:val="00DA07EE"/>
    <w:rsid w:val="00DA0A58"/>
    <w:rsid w:val="00DA1C85"/>
    <w:rsid w:val="00DA1CC9"/>
    <w:rsid w:val="00DA2E58"/>
    <w:rsid w:val="00DA328E"/>
    <w:rsid w:val="00DA38E4"/>
    <w:rsid w:val="00DA3AA6"/>
    <w:rsid w:val="00DA3D24"/>
    <w:rsid w:val="00DA3DEA"/>
    <w:rsid w:val="00DA46C1"/>
    <w:rsid w:val="00DA4CC1"/>
    <w:rsid w:val="00DA5861"/>
    <w:rsid w:val="00DA6AB9"/>
    <w:rsid w:val="00DA70DD"/>
    <w:rsid w:val="00DA7337"/>
    <w:rsid w:val="00DA7817"/>
    <w:rsid w:val="00DB088F"/>
    <w:rsid w:val="00DB0B4A"/>
    <w:rsid w:val="00DB0D64"/>
    <w:rsid w:val="00DB0D8C"/>
    <w:rsid w:val="00DB1487"/>
    <w:rsid w:val="00DB19B4"/>
    <w:rsid w:val="00DB19F1"/>
    <w:rsid w:val="00DB26AE"/>
    <w:rsid w:val="00DB2823"/>
    <w:rsid w:val="00DB32BA"/>
    <w:rsid w:val="00DB43B3"/>
    <w:rsid w:val="00DB4411"/>
    <w:rsid w:val="00DB466D"/>
    <w:rsid w:val="00DB4FFD"/>
    <w:rsid w:val="00DB52F9"/>
    <w:rsid w:val="00DB5FD0"/>
    <w:rsid w:val="00DB7395"/>
    <w:rsid w:val="00DB75C2"/>
    <w:rsid w:val="00DB7E2C"/>
    <w:rsid w:val="00DC027B"/>
    <w:rsid w:val="00DC0A64"/>
    <w:rsid w:val="00DC0AC2"/>
    <w:rsid w:val="00DC0FC4"/>
    <w:rsid w:val="00DC1B9A"/>
    <w:rsid w:val="00DC202F"/>
    <w:rsid w:val="00DC2344"/>
    <w:rsid w:val="00DC2E4F"/>
    <w:rsid w:val="00DC31AF"/>
    <w:rsid w:val="00DC384C"/>
    <w:rsid w:val="00DC40C4"/>
    <w:rsid w:val="00DC4AFD"/>
    <w:rsid w:val="00DC4D87"/>
    <w:rsid w:val="00DC4D8A"/>
    <w:rsid w:val="00DC6436"/>
    <w:rsid w:val="00DC6DF6"/>
    <w:rsid w:val="00DC7BFE"/>
    <w:rsid w:val="00DC7CD4"/>
    <w:rsid w:val="00DD08C7"/>
    <w:rsid w:val="00DD1A10"/>
    <w:rsid w:val="00DD200D"/>
    <w:rsid w:val="00DD2990"/>
    <w:rsid w:val="00DD2FE9"/>
    <w:rsid w:val="00DD307B"/>
    <w:rsid w:val="00DD3430"/>
    <w:rsid w:val="00DD3A7E"/>
    <w:rsid w:val="00DD4082"/>
    <w:rsid w:val="00DD434E"/>
    <w:rsid w:val="00DD4402"/>
    <w:rsid w:val="00DD60D0"/>
    <w:rsid w:val="00DD6200"/>
    <w:rsid w:val="00DD686C"/>
    <w:rsid w:val="00DD6C08"/>
    <w:rsid w:val="00DD6C8D"/>
    <w:rsid w:val="00DD6E86"/>
    <w:rsid w:val="00DD7F41"/>
    <w:rsid w:val="00DE04FB"/>
    <w:rsid w:val="00DE0D23"/>
    <w:rsid w:val="00DE0E5D"/>
    <w:rsid w:val="00DE1C75"/>
    <w:rsid w:val="00DE1DEA"/>
    <w:rsid w:val="00DE328F"/>
    <w:rsid w:val="00DE447F"/>
    <w:rsid w:val="00DE48F0"/>
    <w:rsid w:val="00DE4A77"/>
    <w:rsid w:val="00DE63E9"/>
    <w:rsid w:val="00DE68EE"/>
    <w:rsid w:val="00DE6D24"/>
    <w:rsid w:val="00DE7285"/>
    <w:rsid w:val="00DE74EB"/>
    <w:rsid w:val="00DE7C40"/>
    <w:rsid w:val="00DF0EA5"/>
    <w:rsid w:val="00DF1F1D"/>
    <w:rsid w:val="00DF23A5"/>
    <w:rsid w:val="00DF38F7"/>
    <w:rsid w:val="00DF4C6E"/>
    <w:rsid w:val="00DF5F23"/>
    <w:rsid w:val="00DF5F7B"/>
    <w:rsid w:val="00DF6666"/>
    <w:rsid w:val="00DF745E"/>
    <w:rsid w:val="00DF746C"/>
    <w:rsid w:val="00DF762E"/>
    <w:rsid w:val="00E0044E"/>
    <w:rsid w:val="00E0075D"/>
    <w:rsid w:val="00E00816"/>
    <w:rsid w:val="00E0239F"/>
    <w:rsid w:val="00E0267B"/>
    <w:rsid w:val="00E03D1F"/>
    <w:rsid w:val="00E04441"/>
    <w:rsid w:val="00E05F03"/>
    <w:rsid w:val="00E06370"/>
    <w:rsid w:val="00E06B7B"/>
    <w:rsid w:val="00E06E20"/>
    <w:rsid w:val="00E07DD9"/>
    <w:rsid w:val="00E1002D"/>
    <w:rsid w:val="00E102F8"/>
    <w:rsid w:val="00E1132D"/>
    <w:rsid w:val="00E11E49"/>
    <w:rsid w:val="00E12FCF"/>
    <w:rsid w:val="00E131EB"/>
    <w:rsid w:val="00E13273"/>
    <w:rsid w:val="00E13379"/>
    <w:rsid w:val="00E138E0"/>
    <w:rsid w:val="00E139EE"/>
    <w:rsid w:val="00E14531"/>
    <w:rsid w:val="00E14D83"/>
    <w:rsid w:val="00E14FA6"/>
    <w:rsid w:val="00E15A0D"/>
    <w:rsid w:val="00E16640"/>
    <w:rsid w:val="00E16A1C"/>
    <w:rsid w:val="00E16CC9"/>
    <w:rsid w:val="00E1740F"/>
    <w:rsid w:val="00E17518"/>
    <w:rsid w:val="00E178E9"/>
    <w:rsid w:val="00E17BA7"/>
    <w:rsid w:val="00E200CF"/>
    <w:rsid w:val="00E2105B"/>
    <w:rsid w:val="00E227E5"/>
    <w:rsid w:val="00E2397E"/>
    <w:rsid w:val="00E23DB1"/>
    <w:rsid w:val="00E24287"/>
    <w:rsid w:val="00E25B3D"/>
    <w:rsid w:val="00E25C62"/>
    <w:rsid w:val="00E27565"/>
    <w:rsid w:val="00E31367"/>
    <w:rsid w:val="00E3181C"/>
    <w:rsid w:val="00E32EF3"/>
    <w:rsid w:val="00E33E21"/>
    <w:rsid w:val="00E3470C"/>
    <w:rsid w:val="00E34BC4"/>
    <w:rsid w:val="00E34D8D"/>
    <w:rsid w:val="00E3540C"/>
    <w:rsid w:val="00E36187"/>
    <w:rsid w:val="00E36332"/>
    <w:rsid w:val="00E36C9B"/>
    <w:rsid w:val="00E37638"/>
    <w:rsid w:val="00E376B7"/>
    <w:rsid w:val="00E37E9D"/>
    <w:rsid w:val="00E41B71"/>
    <w:rsid w:val="00E42569"/>
    <w:rsid w:val="00E434A0"/>
    <w:rsid w:val="00E43FB2"/>
    <w:rsid w:val="00E441D5"/>
    <w:rsid w:val="00E44D30"/>
    <w:rsid w:val="00E45321"/>
    <w:rsid w:val="00E4597F"/>
    <w:rsid w:val="00E462B8"/>
    <w:rsid w:val="00E46C4E"/>
    <w:rsid w:val="00E46CB7"/>
    <w:rsid w:val="00E4723D"/>
    <w:rsid w:val="00E47EC1"/>
    <w:rsid w:val="00E47F80"/>
    <w:rsid w:val="00E5077C"/>
    <w:rsid w:val="00E50EC8"/>
    <w:rsid w:val="00E51331"/>
    <w:rsid w:val="00E5159B"/>
    <w:rsid w:val="00E515C6"/>
    <w:rsid w:val="00E52E0D"/>
    <w:rsid w:val="00E52FE2"/>
    <w:rsid w:val="00E54629"/>
    <w:rsid w:val="00E54715"/>
    <w:rsid w:val="00E54D6B"/>
    <w:rsid w:val="00E54E6F"/>
    <w:rsid w:val="00E55338"/>
    <w:rsid w:val="00E567BF"/>
    <w:rsid w:val="00E569AF"/>
    <w:rsid w:val="00E56CB9"/>
    <w:rsid w:val="00E56EBB"/>
    <w:rsid w:val="00E5774E"/>
    <w:rsid w:val="00E57EEB"/>
    <w:rsid w:val="00E60318"/>
    <w:rsid w:val="00E60BA8"/>
    <w:rsid w:val="00E61E25"/>
    <w:rsid w:val="00E61E28"/>
    <w:rsid w:val="00E61E3F"/>
    <w:rsid w:val="00E61F32"/>
    <w:rsid w:val="00E628E4"/>
    <w:rsid w:val="00E63969"/>
    <w:rsid w:val="00E647F7"/>
    <w:rsid w:val="00E64A03"/>
    <w:rsid w:val="00E6526A"/>
    <w:rsid w:val="00E65936"/>
    <w:rsid w:val="00E65FF5"/>
    <w:rsid w:val="00E66273"/>
    <w:rsid w:val="00E66857"/>
    <w:rsid w:val="00E67556"/>
    <w:rsid w:val="00E71FB2"/>
    <w:rsid w:val="00E7252F"/>
    <w:rsid w:val="00E72D1F"/>
    <w:rsid w:val="00E73FC2"/>
    <w:rsid w:val="00E7406E"/>
    <w:rsid w:val="00E74481"/>
    <w:rsid w:val="00E74517"/>
    <w:rsid w:val="00E745F0"/>
    <w:rsid w:val="00E755D7"/>
    <w:rsid w:val="00E7566D"/>
    <w:rsid w:val="00E76E91"/>
    <w:rsid w:val="00E77014"/>
    <w:rsid w:val="00E774B4"/>
    <w:rsid w:val="00E778F5"/>
    <w:rsid w:val="00E77C41"/>
    <w:rsid w:val="00E80E7C"/>
    <w:rsid w:val="00E81779"/>
    <w:rsid w:val="00E8205B"/>
    <w:rsid w:val="00E82444"/>
    <w:rsid w:val="00E82716"/>
    <w:rsid w:val="00E8341C"/>
    <w:rsid w:val="00E836D2"/>
    <w:rsid w:val="00E8602B"/>
    <w:rsid w:val="00E86B5F"/>
    <w:rsid w:val="00E87D05"/>
    <w:rsid w:val="00E91F96"/>
    <w:rsid w:val="00E92E99"/>
    <w:rsid w:val="00E968FD"/>
    <w:rsid w:val="00E96B80"/>
    <w:rsid w:val="00E96D55"/>
    <w:rsid w:val="00E97993"/>
    <w:rsid w:val="00EA0D5D"/>
    <w:rsid w:val="00EA1192"/>
    <w:rsid w:val="00EA153F"/>
    <w:rsid w:val="00EA2788"/>
    <w:rsid w:val="00EA2C6E"/>
    <w:rsid w:val="00EA4694"/>
    <w:rsid w:val="00EA4964"/>
    <w:rsid w:val="00EA4F1A"/>
    <w:rsid w:val="00EA7456"/>
    <w:rsid w:val="00EA7459"/>
    <w:rsid w:val="00EA7502"/>
    <w:rsid w:val="00EB02DE"/>
    <w:rsid w:val="00EB0A07"/>
    <w:rsid w:val="00EB0EA6"/>
    <w:rsid w:val="00EB1B69"/>
    <w:rsid w:val="00EB1C78"/>
    <w:rsid w:val="00EB3B46"/>
    <w:rsid w:val="00EB4F08"/>
    <w:rsid w:val="00EB55B9"/>
    <w:rsid w:val="00EB5F54"/>
    <w:rsid w:val="00EB6120"/>
    <w:rsid w:val="00EB737D"/>
    <w:rsid w:val="00EC0734"/>
    <w:rsid w:val="00EC2E07"/>
    <w:rsid w:val="00EC373B"/>
    <w:rsid w:val="00EC43C7"/>
    <w:rsid w:val="00EC465D"/>
    <w:rsid w:val="00EC5C89"/>
    <w:rsid w:val="00EC5CF8"/>
    <w:rsid w:val="00EC6656"/>
    <w:rsid w:val="00EC66D2"/>
    <w:rsid w:val="00EC67E7"/>
    <w:rsid w:val="00EC6EB7"/>
    <w:rsid w:val="00EC75CF"/>
    <w:rsid w:val="00EC7FA0"/>
    <w:rsid w:val="00ED0A1B"/>
    <w:rsid w:val="00ED1C28"/>
    <w:rsid w:val="00ED21BC"/>
    <w:rsid w:val="00ED2FEC"/>
    <w:rsid w:val="00ED34B5"/>
    <w:rsid w:val="00ED3F67"/>
    <w:rsid w:val="00ED440A"/>
    <w:rsid w:val="00ED736B"/>
    <w:rsid w:val="00ED7971"/>
    <w:rsid w:val="00EE031D"/>
    <w:rsid w:val="00EE0439"/>
    <w:rsid w:val="00EE0748"/>
    <w:rsid w:val="00EE0A4D"/>
    <w:rsid w:val="00EE29A0"/>
    <w:rsid w:val="00EE2CEA"/>
    <w:rsid w:val="00EE3365"/>
    <w:rsid w:val="00EE4891"/>
    <w:rsid w:val="00EE48DF"/>
    <w:rsid w:val="00EE4AB3"/>
    <w:rsid w:val="00EE53D0"/>
    <w:rsid w:val="00EE541B"/>
    <w:rsid w:val="00EE6852"/>
    <w:rsid w:val="00EE6B75"/>
    <w:rsid w:val="00EE7405"/>
    <w:rsid w:val="00EF033E"/>
    <w:rsid w:val="00EF06EC"/>
    <w:rsid w:val="00EF14FF"/>
    <w:rsid w:val="00EF1678"/>
    <w:rsid w:val="00EF240F"/>
    <w:rsid w:val="00EF261E"/>
    <w:rsid w:val="00EF282E"/>
    <w:rsid w:val="00EF2BFE"/>
    <w:rsid w:val="00EF2D85"/>
    <w:rsid w:val="00EF37E8"/>
    <w:rsid w:val="00EF3A68"/>
    <w:rsid w:val="00EF402C"/>
    <w:rsid w:val="00EF45E0"/>
    <w:rsid w:val="00EF4E6F"/>
    <w:rsid w:val="00EF5C82"/>
    <w:rsid w:val="00EF75B5"/>
    <w:rsid w:val="00EF7A15"/>
    <w:rsid w:val="00F0002B"/>
    <w:rsid w:val="00F01F8C"/>
    <w:rsid w:val="00F024B0"/>
    <w:rsid w:val="00F02973"/>
    <w:rsid w:val="00F02B5C"/>
    <w:rsid w:val="00F02DE6"/>
    <w:rsid w:val="00F035A6"/>
    <w:rsid w:val="00F04655"/>
    <w:rsid w:val="00F04AD0"/>
    <w:rsid w:val="00F06F70"/>
    <w:rsid w:val="00F10033"/>
    <w:rsid w:val="00F10848"/>
    <w:rsid w:val="00F10B68"/>
    <w:rsid w:val="00F10C3B"/>
    <w:rsid w:val="00F1123D"/>
    <w:rsid w:val="00F11421"/>
    <w:rsid w:val="00F11799"/>
    <w:rsid w:val="00F11F55"/>
    <w:rsid w:val="00F129A2"/>
    <w:rsid w:val="00F12A95"/>
    <w:rsid w:val="00F12DEC"/>
    <w:rsid w:val="00F13151"/>
    <w:rsid w:val="00F140F2"/>
    <w:rsid w:val="00F1529F"/>
    <w:rsid w:val="00F152BF"/>
    <w:rsid w:val="00F15523"/>
    <w:rsid w:val="00F1577B"/>
    <w:rsid w:val="00F15E1C"/>
    <w:rsid w:val="00F16391"/>
    <w:rsid w:val="00F17887"/>
    <w:rsid w:val="00F2062B"/>
    <w:rsid w:val="00F21A18"/>
    <w:rsid w:val="00F21E61"/>
    <w:rsid w:val="00F2204E"/>
    <w:rsid w:val="00F220EA"/>
    <w:rsid w:val="00F222CD"/>
    <w:rsid w:val="00F23579"/>
    <w:rsid w:val="00F243F2"/>
    <w:rsid w:val="00F24EA4"/>
    <w:rsid w:val="00F2528F"/>
    <w:rsid w:val="00F25D51"/>
    <w:rsid w:val="00F2625A"/>
    <w:rsid w:val="00F31A03"/>
    <w:rsid w:val="00F3283C"/>
    <w:rsid w:val="00F32D0F"/>
    <w:rsid w:val="00F343F0"/>
    <w:rsid w:val="00F34495"/>
    <w:rsid w:val="00F34620"/>
    <w:rsid w:val="00F34AAB"/>
    <w:rsid w:val="00F34C4D"/>
    <w:rsid w:val="00F350CF"/>
    <w:rsid w:val="00F35582"/>
    <w:rsid w:val="00F37004"/>
    <w:rsid w:val="00F373B8"/>
    <w:rsid w:val="00F376A1"/>
    <w:rsid w:val="00F37B8E"/>
    <w:rsid w:val="00F40B37"/>
    <w:rsid w:val="00F41196"/>
    <w:rsid w:val="00F41746"/>
    <w:rsid w:val="00F41E79"/>
    <w:rsid w:val="00F4315F"/>
    <w:rsid w:val="00F43FDE"/>
    <w:rsid w:val="00F445F6"/>
    <w:rsid w:val="00F4512F"/>
    <w:rsid w:val="00F45486"/>
    <w:rsid w:val="00F45763"/>
    <w:rsid w:val="00F4581D"/>
    <w:rsid w:val="00F45BCF"/>
    <w:rsid w:val="00F45BEA"/>
    <w:rsid w:val="00F45CFE"/>
    <w:rsid w:val="00F45E9F"/>
    <w:rsid w:val="00F46877"/>
    <w:rsid w:val="00F46DB1"/>
    <w:rsid w:val="00F47F3E"/>
    <w:rsid w:val="00F523D7"/>
    <w:rsid w:val="00F530E6"/>
    <w:rsid w:val="00F532C7"/>
    <w:rsid w:val="00F53CAE"/>
    <w:rsid w:val="00F54B94"/>
    <w:rsid w:val="00F54EE5"/>
    <w:rsid w:val="00F55358"/>
    <w:rsid w:val="00F556E6"/>
    <w:rsid w:val="00F5603C"/>
    <w:rsid w:val="00F5605C"/>
    <w:rsid w:val="00F564B9"/>
    <w:rsid w:val="00F57909"/>
    <w:rsid w:val="00F612D6"/>
    <w:rsid w:val="00F626B7"/>
    <w:rsid w:val="00F63400"/>
    <w:rsid w:val="00F636C6"/>
    <w:rsid w:val="00F6433D"/>
    <w:rsid w:val="00F6573E"/>
    <w:rsid w:val="00F662EB"/>
    <w:rsid w:val="00F66E9C"/>
    <w:rsid w:val="00F67606"/>
    <w:rsid w:val="00F70327"/>
    <w:rsid w:val="00F70FEF"/>
    <w:rsid w:val="00F7106B"/>
    <w:rsid w:val="00F72E50"/>
    <w:rsid w:val="00F72FA8"/>
    <w:rsid w:val="00F734BB"/>
    <w:rsid w:val="00F74E43"/>
    <w:rsid w:val="00F75415"/>
    <w:rsid w:val="00F7632A"/>
    <w:rsid w:val="00F773F9"/>
    <w:rsid w:val="00F80702"/>
    <w:rsid w:val="00F80E21"/>
    <w:rsid w:val="00F8101C"/>
    <w:rsid w:val="00F817B9"/>
    <w:rsid w:val="00F81CB7"/>
    <w:rsid w:val="00F82280"/>
    <w:rsid w:val="00F8235F"/>
    <w:rsid w:val="00F83A22"/>
    <w:rsid w:val="00F83A97"/>
    <w:rsid w:val="00F844F0"/>
    <w:rsid w:val="00F84895"/>
    <w:rsid w:val="00F849F9"/>
    <w:rsid w:val="00F84E9D"/>
    <w:rsid w:val="00F8592B"/>
    <w:rsid w:val="00F8659E"/>
    <w:rsid w:val="00F86CE4"/>
    <w:rsid w:val="00F86F42"/>
    <w:rsid w:val="00F8761B"/>
    <w:rsid w:val="00F90E80"/>
    <w:rsid w:val="00F914BE"/>
    <w:rsid w:val="00F91941"/>
    <w:rsid w:val="00F91B01"/>
    <w:rsid w:val="00F92E3F"/>
    <w:rsid w:val="00F93873"/>
    <w:rsid w:val="00F938D2"/>
    <w:rsid w:val="00F9430F"/>
    <w:rsid w:val="00F955DD"/>
    <w:rsid w:val="00F96389"/>
    <w:rsid w:val="00F9650E"/>
    <w:rsid w:val="00F9651F"/>
    <w:rsid w:val="00F96AFF"/>
    <w:rsid w:val="00F96B73"/>
    <w:rsid w:val="00F97639"/>
    <w:rsid w:val="00F977C7"/>
    <w:rsid w:val="00F978AD"/>
    <w:rsid w:val="00FA0890"/>
    <w:rsid w:val="00FA164A"/>
    <w:rsid w:val="00FA33FC"/>
    <w:rsid w:val="00FA3F3E"/>
    <w:rsid w:val="00FA4272"/>
    <w:rsid w:val="00FA4855"/>
    <w:rsid w:val="00FA4ACD"/>
    <w:rsid w:val="00FA6428"/>
    <w:rsid w:val="00FA7144"/>
    <w:rsid w:val="00FA7184"/>
    <w:rsid w:val="00FA7FF6"/>
    <w:rsid w:val="00FB1D9D"/>
    <w:rsid w:val="00FB3304"/>
    <w:rsid w:val="00FB34A6"/>
    <w:rsid w:val="00FB3F5C"/>
    <w:rsid w:val="00FB46B8"/>
    <w:rsid w:val="00FB4B38"/>
    <w:rsid w:val="00FB54BB"/>
    <w:rsid w:val="00FB54DB"/>
    <w:rsid w:val="00FB5AC0"/>
    <w:rsid w:val="00FB6024"/>
    <w:rsid w:val="00FB6C91"/>
    <w:rsid w:val="00FB74E8"/>
    <w:rsid w:val="00FC0263"/>
    <w:rsid w:val="00FC0348"/>
    <w:rsid w:val="00FC0FB5"/>
    <w:rsid w:val="00FC102A"/>
    <w:rsid w:val="00FC154C"/>
    <w:rsid w:val="00FC1DBC"/>
    <w:rsid w:val="00FC239B"/>
    <w:rsid w:val="00FC2637"/>
    <w:rsid w:val="00FC2DB5"/>
    <w:rsid w:val="00FC3361"/>
    <w:rsid w:val="00FC344A"/>
    <w:rsid w:val="00FC393B"/>
    <w:rsid w:val="00FC4052"/>
    <w:rsid w:val="00FC5252"/>
    <w:rsid w:val="00FC5ECF"/>
    <w:rsid w:val="00FC6356"/>
    <w:rsid w:val="00FC7D01"/>
    <w:rsid w:val="00FD0130"/>
    <w:rsid w:val="00FD0373"/>
    <w:rsid w:val="00FD0582"/>
    <w:rsid w:val="00FD0C93"/>
    <w:rsid w:val="00FD1062"/>
    <w:rsid w:val="00FD2589"/>
    <w:rsid w:val="00FD3631"/>
    <w:rsid w:val="00FD4876"/>
    <w:rsid w:val="00FD52A3"/>
    <w:rsid w:val="00FD68D4"/>
    <w:rsid w:val="00FD6933"/>
    <w:rsid w:val="00FD710A"/>
    <w:rsid w:val="00FD7805"/>
    <w:rsid w:val="00FE00D9"/>
    <w:rsid w:val="00FE1186"/>
    <w:rsid w:val="00FE177A"/>
    <w:rsid w:val="00FE1816"/>
    <w:rsid w:val="00FE240A"/>
    <w:rsid w:val="00FE248F"/>
    <w:rsid w:val="00FE3278"/>
    <w:rsid w:val="00FE3E3C"/>
    <w:rsid w:val="00FE43E7"/>
    <w:rsid w:val="00FE4B66"/>
    <w:rsid w:val="00FE4F6E"/>
    <w:rsid w:val="00FE57D8"/>
    <w:rsid w:val="00FE583F"/>
    <w:rsid w:val="00FE5CC4"/>
    <w:rsid w:val="00FE6B13"/>
    <w:rsid w:val="00FE7575"/>
    <w:rsid w:val="00FF0245"/>
    <w:rsid w:val="00FF1070"/>
    <w:rsid w:val="00FF13E2"/>
    <w:rsid w:val="00FF1925"/>
    <w:rsid w:val="00FF218E"/>
    <w:rsid w:val="00FF2237"/>
    <w:rsid w:val="00FF4953"/>
    <w:rsid w:val="00FF5FA3"/>
    <w:rsid w:val="00FF5FCE"/>
    <w:rsid w:val="00FF6162"/>
    <w:rsid w:val="00FF6177"/>
    <w:rsid w:val="00FF648E"/>
    <w:rsid w:val="00FF6AC9"/>
    <w:rsid w:val="00FF6A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3BD259"/>
  <w15:chartTrackingRefBased/>
  <w15:docId w15:val="{D3630204-6EA1-48C3-BACC-D8E6E86F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4E"/>
    <w:rPr>
      <w:sz w:val="24"/>
      <w:szCs w:val="24"/>
    </w:rPr>
  </w:style>
  <w:style w:type="paragraph" w:styleId="Heading1">
    <w:name w:val="heading 1"/>
    <w:basedOn w:val="Normal"/>
    <w:link w:val="Heading1Char"/>
    <w:uiPriority w:val="99"/>
    <w:qFormat/>
    <w:rsid w:val="0094482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4826"/>
    <w:rPr>
      <w:rFonts w:ascii="Cambria" w:hAnsi="Cambria" w:cs="Times New Roman"/>
      <w:b/>
      <w:bCs/>
      <w:color w:val="365F91"/>
      <w:sz w:val="28"/>
      <w:szCs w:val="28"/>
    </w:rPr>
  </w:style>
  <w:style w:type="character" w:styleId="Hyperlink">
    <w:name w:val="Hyperlink"/>
    <w:uiPriority w:val="99"/>
    <w:rsid w:val="00944826"/>
    <w:rPr>
      <w:rFonts w:cs="Times New Roman"/>
      <w:color w:val="0000FF"/>
      <w:u w:val="single"/>
    </w:rPr>
  </w:style>
  <w:style w:type="character" w:styleId="FollowedHyperlink">
    <w:name w:val="FollowedHyperlink"/>
    <w:uiPriority w:val="99"/>
    <w:semiHidden/>
    <w:rsid w:val="00944826"/>
    <w:rPr>
      <w:rFonts w:cs="Times New Roman"/>
      <w:color w:val="800080"/>
      <w:u w:val="single"/>
    </w:rPr>
  </w:style>
  <w:style w:type="paragraph" w:customStyle="1" w:styleId="h1">
    <w:name w:val="h1"/>
    <w:basedOn w:val="Normal"/>
    <w:uiPriority w:val="99"/>
    <w:rsid w:val="00944826"/>
    <w:pPr>
      <w:spacing w:after="150"/>
    </w:pPr>
    <w:rPr>
      <w:color w:val="306060"/>
      <w:sz w:val="31"/>
      <w:szCs w:val="31"/>
    </w:rPr>
  </w:style>
  <w:style w:type="paragraph" w:customStyle="1" w:styleId="h2">
    <w:name w:val="h2"/>
    <w:basedOn w:val="Normal"/>
    <w:uiPriority w:val="99"/>
    <w:rsid w:val="00944826"/>
    <w:pPr>
      <w:spacing w:before="100" w:beforeAutospacing="1" w:after="100" w:afterAutospacing="1"/>
    </w:pPr>
    <w:rPr>
      <w:color w:val="306060"/>
    </w:rPr>
  </w:style>
  <w:style w:type="paragraph" w:customStyle="1" w:styleId="a">
    <w:name w:val="a"/>
    <w:basedOn w:val="Normal"/>
    <w:uiPriority w:val="99"/>
    <w:rsid w:val="00944826"/>
    <w:pPr>
      <w:spacing w:before="100" w:beforeAutospacing="1" w:after="100" w:afterAutospacing="1"/>
    </w:pPr>
    <w:rPr>
      <w:color w:val="306060"/>
    </w:rPr>
  </w:style>
  <w:style w:type="paragraph" w:customStyle="1" w:styleId="b">
    <w:name w:val="b"/>
    <w:basedOn w:val="Normal"/>
    <w:uiPriority w:val="99"/>
    <w:rsid w:val="00944826"/>
    <w:pPr>
      <w:spacing w:before="100" w:beforeAutospacing="1" w:after="100" w:afterAutospacing="1"/>
    </w:pPr>
    <w:rPr>
      <w:color w:val="306060"/>
    </w:rPr>
  </w:style>
  <w:style w:type="paragraph" w:customStyle="1" w:styleId="body">
    <w:name w:val="body"/>
    <w:basedOn w:val="Normal"/>
    <w:uiPriority w:val="99"/>
    <w:rsid w:val="00944826"/>
    <w:pPr>
      <w:shd w:val="clear" w:color="auto" w:fill="C9E1DF"/>
      <w:spacing w:before="100" w:beforeAutospacing="1" w:after="100" w:afterAutospacing="1"/>
    </w:pPr>
    <w:rPr>
      <w:rFonts w:ascii="Arial" w:hAnsi="Arial" w:cs="Arial"/>
      <w:color w:val="333333"/>
    </w:rPr>
  </w:style>
  <w:style w:type="paragraph" w:customStyle="1" w:styleId="button">
    <w:name w:val="button"/>
    <w:basedOn w:val="Normal"/>
    <w:uiPriority w:val="99"/>
    <w:rsid w:val="00944826"/>
    <w:pPr>
      <w:spacing w:before="100" w:beforeAutospacing="1" w:after="100" w:afterAutospacing="1"/>
    </w:pPr>
    <w:rPr>
      <w:color w:val="F0F8F8"/>
    </w:rPr>
  </w:style>
  <w:style w:type="paragraph" w:customStyle="1" w:styleId="radio">
    <w:name w:val="radio"/>
    <w:basedOn w:val="Normal"/>
    <w:uiPriority w:val="99"/>
    <w:rsid w:val="00944826"/>
    <w:pPr>
      <w:spacing w:before="100" w:beforeAutospacing="1" w:after="100" w:afterAutospacing="1"/>
    </w:pPr>
  </w:style>
  <w:style w:type="paragraph" w:customStyle="1" w:styleId="headcol">
    <w:name w:val="headcol"/>
    <w:basedOn w:val="Normal"/>
    <w:uiPriority w:val="99"/>
    <w:rsid w:val="00944826"/>
    <w:pPr>
      <w:spacing w:before="100" w:beforeAutospacing="1" w:after="100" w:afterAutospacing="1"/>
    </w:pPr>
    <w:rPr>
      <w:color w:val="F0F8F8"/>
    </w:rPr>
  </w:style>
  <w:style w:type="paragraph" w:customStyle="1" w:styleId="titlecol">
    <w:name w:val="titlecol"/>
    <w:basedOn w:val="Normal"/>
    <w:uiPriority w:val="99"/>
    <w:rsid w:val="00944826"/>
    <w:pPr>
      <w:spacing w:before="100" w:beforeAutospacing="1" w:after="100" w:afterAutospacing="1"/>
      <w:jc w:val="right"/>
    </w:pPr>
    <w:rPr>
      <w:b/>
      <w:bCs/>
    </w:rPr>
  </w:style>
  <w:style w:type="paragraph" w:customStyle="1" w:styleId="th">
    <w:name w:val="th"/>
    <w:basedOn w:val="Normal"/>
    <w:uiPriority w:val="99"/>
    <w:rsid w:val="00944826"/>
    <w:pPr>
      <w:spacing w:before="100" w:beforeAutospacing="1" w:after="100" w:afterAutospacing="1"/>
    </w:pPr>
    <w:rPr>
      <w:b/>
      <w:bCs/>
      <w:color w:val="333333"/>
    </w:rPr>
  </w:style>
  <w:style w:type="paragraph" w:customStyle="1" w:styleId="thr">
    <w:name w:val="thr"/>
    <w:basedOn w:val="Normal"/>
    <w:uiPriority w:val="99"/>
    <w:rsid w:val="00944826"/>
    <w:pPr>
      <w:spacing w:before="100" w:beforeAutospacing="1" w:after="100" w:afterAutospacing="1"/>
      <w:jc w:val="right"/>
    </w:pPr>
  </w:style>
  <w:style w:type="paragraph" w:customStyle="1" w:styleId="bdc">
    <w:name w:val="bdc"/>
    <w:basedOn w:val="Normal"/>
    <w:uiPriority w:val="99"/>
    <w:rsid w:val="00944826"/>
    <w:pPr>
      <w:spacing w:before="100" w:beforeAutospacing="1" w:after="100" w:afterAutospacing="1"/>
    </w:pPr>
    <w:rPr>
      <w:b/>
      <w:bCs/>
    </w:rPr>
  </w:style>
  <w:style w:type="paragraph" w:customStyle="1" w:styleId="input">
    <w:name w:val="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myinput">
    <w:name w:val="my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select">
    <w:name w:val="select"/>
    <w:basedOn w:val="Normal"/>
    <w:uiPriority w:val="99"/>
    <w:rsid w:val="00944826"/>
    <w:pPr>
      <w:shd w:val="clear" w:color="auto" w:fill="F0F8F8"/>
      <w:spacing w:before="100" w:beforeAutospacing="1" w:after="100" w:afterAutospacing="1"/>
    </w:pPr>
    <w:rPr>
      <w:color w:val="333333"/>
    </w:rPr>
  </w:style>
  <w:style w:type="paragraph" w:customStyle="1" w:styleId="top1">
    <w:name w:val="top1"/>
    <w:basedOn w:val="Normal"/>
    <w:uiPriority w:val="99"/>
    <w:rsid w:val="00944826"/>
    <w:pPr>
      <w:spacing w:before="100" w:beforeAutospacing="1" w:after="100" w:afterAutospacing="1"/>
    </w:pPr>
  </w:style>
  <w:style w:type="paragraph" w:customStyle="1" w:styleId="logo">
    <w:name w:val="logo"/>
    <w:basedOn w:val="Normal"/>
    <w:uiPriority w:val="99"/>
    <w:rsid w:val="00944826"/>
    <w:pPr>
      <w:spacing w:before="100" w:beforeAutospacing="1" w:after="100" w:afterAutospacing="1"/>
    </w:pPr>
  </w:style>
  <w:style w:type="paragraph" w:customStyle="1" w:styleId="top2">
    <w:name w:val="top2"/>
    <w:basedOn w:val="Normal"/>
    <w:uiPriority w:val="99"/>
    <w:rsid w:val="00944826"/>
    <w:pPr>
      <w:spacing w:before="100" w:beforeAutospacing="1" w:after="100" w:afterAutospacing="1"/>
    </w:pPr>
  </w:style>
  <w:style w:type="paragraph" w:customStyle="1" w:styleId="hline">
    <w:name w:val="hline"/>
    <w:basedOn w:val="Normal"/>
    <w:uiPriority w:val="99"/>
    <w:rsid w:val="00944826"/>
    <w:pPr>
      <w:spacing w:before="100" w:beforeAutospacing="1" w:after="100" w:afterAutospacing="1"/>
    </w:pPr>
  </w:style>
  <w:style w:type="paragraph" w:customStyle="1" w:styleId="vline">
    <w:name w:val="vline"/>
    <w:basedOn w:val="Normal"/>
    <w:uiPriority w:val="99"/>
    <w:rsid w:val="00944826"/>
    <w:pPr>
      <w:spacing w:before="100" w:beforeAutospacing="1" w:after="100" w:afterAutospacing="1"/>
    </w:pPr>
  </w:style>
  <w:style w:type="paragraph" w:customStyle="1" w:styleId="zvabri">
    <w:name w:val="zvabri"/>
    <w:basedOn w:val="Normal"/>
    <w:uiPriority w:val="99"/>
    <w:rsid w:val="00944826"/>
    <w:pPr>
      <w:spacing w:before="100" w:beforeAutospacing="1" w:after="100" w:afterAutospacing="1"/>
    </w:pPr>
    <w:rPr>
      <w:color w:val="FF0000"/>
    </w:rPr>
  </w:style>
  <w:style w:type="paragraph" w:styleId="z-TopofForm">
    <w:name w:val="HTML Top of Form"/>
    <w:basedOn w:val="Normal"/>
    <w:next w:val="Normal"/>
    <w:link w:val="z-TopofFormChar"/>
    <w:hidden/>
    <w:uiPriority w:val="99"/>
    <w:semiHidden/>
    <w:rsid w:val="00944826"/>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944826"/>
    <w:rPr>
      <w:rFonts w:ascii="Arial" w:hAnsi="Arial" w:cs="Arial"/>
      <w:vanish/>
      <w:sz w:val="16"/>
      <w:szCs w:val="16"/>
    </w:rPr>
  </w:style>
  <w:style w:type="paragraph" w:styleId="z-BottomofForm">
    <w:name w:val="HTML Bottom of Form"/>
    <w:basedOn w:val="Normal"/>
    <w:next w:val="Normal"/>
    <w:link w:val="z-BottomofFormChar"/>
    <w:hidden/>
    <w:uiPriority w:val="99"/>
    <w:rsid w:val="00944826"/>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locked/>
    <w:rsid w:val="00944826"/>
    <w:rPr>
      <w:rFonts w:ascii="Arial" w:hAnsi="Arial" w:cs="Arial"/>
      <w:vanish/>
      <w:sz w:val="16"/>
      <w:szCs w:val="16"/>
    </w:rPr>
  </w:style>
  <w:style w:type="paragraph" w:styleId="NormalWeb">
    <w:name w:val="Normal (Web)"/>
    <w:basedOn w:val="Normal"/>
    <w:uiPriority w:val="99"/>
    <w:rsid w:val="00944826"/>
    <w:pPr>
      <w:spacing w:before="100" w:beforeAutospacing="1" w:after="100" w:afterAutospacing="1"/>
    </w:pPr>
  </w:style>
  <w:style w:type="paragraph" w:customStyle="1" w:styleId="naisf">
    <w:name w:val="naisf"/>
    <w:basedOn w:val="Normal"/>
    <w:rsid w:val="00944826"/>
    <w:pPr>
      <w:spacing w:before="75" w:after="75"/>
      <w:ind w:firstLine="375"/>
      <w:jc w:val="both"/>
    </w:pPr>
  </w:style>
  <w:style w:type="paragraph" w:customStyle="1" w:styleId="nais1">
    <w:name w:val="nais1"/>
    <w:basedOn w:val="Normal"/>
    <w:uiPriority w:val="99"/>
    <w:rsid w:val="00944826"/>
    <w:pPr>
      <w:spacing w:before="75" w:after="75"/>
      <w:ind w:left="450" w:firstLine="375"/>
      <w:jc w:val="both"/>
    </w:pPr>
  </w:style>
  <w:style w:type="paragraph" w:customStyle="1" w:styleId="nais2">
    <w:name w:val="nais2"/>
    <w:basedOn w:val="Normal"/>
    <w:uiPriority w:val="99"/>
    <w:rsid w:val="00944826"/>
    <w:pPr>
      <w:spacing w:before="75" w:after="75"/>
      <w:ind w:left="900" w:firstLine="375"/>
      <w:jc w:val="both"/>
    </w:pPr>
  </w:style>
  <w:style w:type="paragraph" w:customStyle="1" w:styleId="naispant">
    <w:name w:val="naispant"/>
    <w:basedOn w:val="Normal"/>
    <w:uiPriority w:val="99"/>
    <w:rsid w:val="00944826"/>
    <w:pPr>
      <w:spacing w:before="75" w:after="75"/>
      <w:ind w:left="375" w:firstLine="375"/>
      <w:jc w:val="both"/>
    </w:pPr>
    <w:rPr>
      <w:b/>
      <w:bCs/>
    </w:rPr>
  </w:style>
  <w:style w:type="paragraph" w:customStyle="1" w:styleId="naisvisr">
    <w:name w:val="naisvisr"/>
    <w:basedOn w:val="Normal"/>
    <w:uiPriority w:val="99"/>
    <w:rsid w:val="00944826"/>
    <w:pPr>
      <w:spacing w:before="150" w:after="150"/>
      <w:jc w:val="center"/>
    </w:pPr>
    <w:rPr>
      <w:b/>
      <w:bCs/>
      <w:sz w:val="28"/>
      <w:szCs w:val="28"/>
    </w:rPr>
  </w:style>
  <w:style w:type="paragraph" w:customStyle="1" w:styleId="naisnod">
    <w:name w:val="naisnod"/>
    <w:basedOn w:val="Normal"/>
    <w:uiPriority w:val="99"/>
    <w:rsid w:val="00944826"/>
    <w:pPr>
      <w:spacing w:before="150" w:after="150"/>
      <w:jc w:val="center"/>
    </w:pPr>
    <w:rPr>
      <w:b/>
      <w:bCs/>
    </w:rPr>
  </w:style>
  <w:style w:type="paragraph" w:customStyle="1" w:styleId="naislab">
    <w:name w:val="naislab"/>
    <w:basedOn w:val="Normal"/>
    <w:uiPriority w:val="99"/>
    <w:rsid w:val="00944826"/>
    <w:pPr>
      <w:spacing w:before="75" w:after="75"/>
      <w:jc w:val="right"/>
    </w:pPr>
  </w:style>
  <w:style w:type="paragraph" w:customStyle="1" w:styleId="naiskr">
    <w:name w:val="naiskr"/>
    <w:basedOn w:val="Normal"/>
    <w:rsid w:val="00944826"/>
    <w:pPr>
      <w:spacing w:before="75" w:after="75"/>
    </w:pPr>
  </w:style>
  <w:style w:type="paragraph" w:customStyle="1" w:styleId="naisc">
    <w:name w:val="naisc"/>
    <w:basedOn w:val="Normal"/>
    <w:rsid w:val="00944826"/>
    <w:pPr>
      <w:spacing w:before="75" w:after="75"/>
      <w:jc w:val="center"/>
    </w:pPr>
  </w:style>
  <w:style w:type="character" w:styleId="Strong">
    <w:name w:val="Strong"/>
    <w:uiPriority w:val="99"/>
    <w:qFormat/>
    <w:rsid w:val="00944826"/>
    <w:rPr>
      <w:rFonts w:cs="Times New Roman"/>
      <w:b/>
      <w:bCs/>
    </w:rPr>
  </w:style>
  <w:style w:type="character" w:customStyle="1" w:styleId="th1">
    <w:name w:val="th1"/>
    <w:uiPriority w:val="99"/>
    <w:rsid w:val="00944826"/>
    <w:rPr>
      <w:rFonts w:cs="Times New Roman"/>
      <w:b/>
      <w:bCs/>
      <w:color w:val="333333"/>
    </w:rPr>
  </w:style>
  <w:style w:type="character" w:styleId="Emphasis">
    <w:name w:val="Emphasis"/>
    <w:uiPriority w:val="99"/>
    <w:qFormat/>
    <w:rsid w:val="00944826"/>
    <w:rPr>
      <w:rFonts w:cs="Times New Roman"/>
      <w:i/>
      <w:iCs/>
    </w:rPr>
  </w:style>
  <w:style w:type="paragraph" w:styleId="BalloonText">
    <w:name w:val="Balloon Text"/>
    <w:basedOn w:val="Normal"/>
    <w:link w:val="BalloonTextChar"/>
    <w:uiPriority w:val="99"/>
    <w:semiHidden/>
    <w:rsid w:val="002308FA"/>
    <w:rPr>
      <w:rFonts w:ascii="Tahoma" w:hAnsi="Tahoma" w:cs="Tahoma"/>
      <w:sz w:val="16"/>
      <w:szCs w:val="16"/>
    </w:rPr>
  </w:style>
  <w:style w:type="character" w:customStyle="1" w:styleId="BalloonTextChar">
    <w:name w:val="Balloon Text Char"/>
    <w:link w:val="BalloonText"/>
    <w:uiPriority w:val="99"/>
    <w:semiHidden/>
    <w:locked/>
    <w:rsid w:val="002308FA"/>
    <w:rPr>
      <w:rFonts w:ascii="Tahoma" w:hAnsi="Tahoma" w:cs="Tahoma"/>
      <w:sz w:val="16"/>
      <w:szCs w:val="16"/>
    </w:rPr>
  </w:style>
  <w:style w:type="table" w:styleId="TableGrid">
    <w:name w:val="Table Grid"/>
    <w:basedOn w:val="TableNormal"/>
    <w:uiPriority w:val="99"/>
    <w:locked/>
    <w:rsid w:val="00CD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D24A9"/>
    <w:pPr>
      <w:ind w:firstLine="709"/>
      <w:jc w:val="both"/>
    </w:pPr>
    <w:rPr>
      <w:sz w:val="28"/>
      <w:szCs w:val="28"/>
      <w:lang w:eastAsia="en-US"/>
    </w:rPr>
  </w:style>
  <w:style w:type="character" w:customStyle="1" w:styleId="BodyTextIndent3Char">
    <w:name w:val="Body Text Indent 3 Char"/>
    <w:link w:val="BodyTextIndent3"/>
    <w:uiPriority w:val="99"/>
    <w:locked/>
    <w:rsid w:val="006D24A9"/>
    <w:rPr>
      <w:rFonts w:cs="Times New Roman"/>
      <w:sz w:val="28"/>
      <w:szCs w:val="28"/>
      <w:lang w:val="lv-LV"/>
    </w:rPr>
  </w:style>
  <w:style w:type="paragraph" w:styleId="Header">
    <w:name w:val="header"/>
    <w:basedOn w:val="Normal"/>
    <w:link w:val="HeaderChar"/>
    <w:uiPriority w:val="99"/>
    <w:rsid w:val="00745496"/>
    <w:pPr>
      <w:tabs>
        <w:tab w:val="center" w:pos="4153"/>
        <w:tab w:val="right" w:pos="8306"/>
      </w:tabs>
    </w:pPr>
  </w:style>
  <w:style w:type="character" w:customStyle="1" w:styleId="HeaderChar">
    <w:name w:val="Header Char"/>
    <w:link w:val="Header"/>
    <w:uiPriority w:val="99"/>
    <w:semiHidden/>
    <w:locked/>
    <w:rsid w:val="009A1431"/>
    <w:rPr>
      <w:rFonts w:cs="Times New Roman"/>
      <w:sz w:val="24"/>
      <w:szCs w:val="24"/>
      <w:lang w:val="lv-LV" w:eastAsia="lv-LV"/>
    </w:rPr>
  </w:style>
  <w:style w:type="character" w:styleId="PageNumber">
    <w:name w:val="page number"/>
    <w:uiPriority w:val="99"/>
    <w:rsid w:val="00745496"/>
    <w:rPr>
      <w:rFonts w:cs="Times New Roman"/>
    </w:rPr>
  </w:style>
  <w:style w:type="paragraph" w:styleId="Footer">
    <w:name w:val="footer"/>
    <w:basedOn w:val="Normal"/>
    <w:link w:val="FooterChar"/>
    <w:uiPriority w:val="99"/>
    <w:rsid w:val="00745496"/>
    <w:pPr>
      <w:tabs>
        <w:tab w:val="center" w:pos="4153"/>
        <w:tab w:val="right" w:pos="8306"/>
      </w:tabs>
    </w:pPr>
  </w:style>
  <w:style w:type="character" w:customStyle="1" w:styleId="FooterChar">
    <w:name w:val="Footer Char"/>
    <w:link w:val="Footer"/>
    <w:uiPriority w:val="99"/>
    <w:semiHidden/>
    <w:locked/>
    <w:rsid w:val="009A1431"/>
    <w:rPr>
      <w:rFonts w:cs="Times New Roman"/>
      <w:sz w:val="24"/>
      <w:szCs w:val="24"/>
      <w:lang w:val="lv-LV"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26E9B"/>
    <w:pPr>
      <w:spacing w:after="200" w:line="276" w:lineRule="auto"/>
      <w:ind w:left="720"/>
      <w:contextualSpacing/>
    </w:pPr>
    <w:rPr>
      <w:rFonts w:ascii="Calibri" w:hAnsi="Calibri"/>
      <w:sz w:val="22"/>
      <w:szCs w:val="22"/>
      <w:lang w:eastAsia="en-US"/>
    </w:rPr>
  </w:style>
  <w:style w:type="character" w:styleId="CommentReference">
    <w:name w:val="annotation reference"/>
    <w:uiPriority w:val="99"/>
    <w:semiHidden/>
    <w:unhideWhenUsed/>
    <w:rsid w:val="00FE43E7"/>
    <w:rPr>
      <w:sz w:val="16"/>
      <w:szCs w:val="16"/>
    </w:rPr>
  </w:style>
  <w:style w:type="paragraph" w:styleId="CommentText">
    <w:name w:val="annotation text"/>
    <w:basedOn w:val="Normal"/>
    <w:link w:val="CommentTextChar"/>
    <w:unhideWhenUsed/>
    <w:rsid w:val="00FE43E7"/>
    <w:rPr>
      <w:sz w:val="20"/>
      <w:szCs w:val="20"/>
    </w:rPr>
  </w:style>
  <w:style w:type="character" w:customStyle="1" w:styleId="CommentTextChar">
    <w:name w:val="Comment Text Char"/>
    <w:basedOn w:val="DefaultParagraphFont"/>
    <w:link w:val="CommentText"/>
    <w:rsid w:val="00FE43E7"/>
  </w:style>
  <w:style w:type="paragraph" w:styleId="CommentSubject">
    <w:name w:val="annotation subject"/>
    <w:basedOn w:val="CommentText"/>
    <w:next w:val="CommentText"/>
    <w:link w:val="CommentSubjectChar"/>
    <w:uiPriority w:val="99"/>
    <w:semiHidden/>
    <w:unhideWhenUsed/>
    <w:rsid w:val="00FE43E7"/>
    <w:rPr>
      <w:b/>
      <w:bCs/>
    </w:rPr>
  </w:style>
  <w:style w:type="character" w:customStyle="1" w:styleId="CommentSubjectChar">
    <w:name w:val="Comment Subject Char"/>
    <w:link w:val="CommentSubject"/>
    <w:uiPriority w:val="99"/>
    <w:semiHidden/>
    <w:rsid w:val="00FE43E7"/>
    <w:rPr>
      <w:b/>
      <w:bC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EB6120"/>
    <w:rPr>
      <w:rFonts w:ascii="Calibri" w:hAnsi="Calibri"/>
      <w:sz w:val="22"/>
      <w:szCs w:val="22"/>
      <w:lang w:eastAsia="en-US"/>
    </w:rPr>
  </w:style>
  <w:style w:type="character" w:customStyle="1" w:styleId="UnresolvedMention1">
    <w:name w:val="Unresolved Mention1"/>
    <w:uiPriority w:val="99"/>
    <w:semiHidden/>
    <w:unhideWhenUsed/>
    <w:rsid w:val="00B326F4"/>
    <w:rPr>
      <w:color w:val="808080"/>
      <w:shd w:val="clear" w:color="auto" w:fill="E6E6E6"/>
    </w:rPr>
  </w:style>
  <w:style w:type="paragraph" w:customStyle="1" w:styleId="tv213">
    <w:name w:val="tv213"/>
    <w:basedOn w:val="Normal"/>
    <w:rsid w:val="00B17DC5"/>
    <w:pPr>
      <w:spacing w:before="100" w:beforeAutospacing="1" w:after="100" w:afterAutospacing="1"/>
    </w:pPr>
  </w:style>
  <w:style w:type="character" w:customStyle="1" w:styleId="UnresolvedMention2">
    <w:name w:val="Unresolved Mention2"/>
    <w:basedOn w:val="DefaultParagraphFont"/>
    <w:uiPriority w:val="99"/>
    <w:semiHidden/>
    <w:unhideWhenUsed/>
    <w:rsid w:val="00107455"/>
    <w:rPr>
      <w:color w:val="605E5C"/>
      <w:shd w:val="clear" w:color="auto" w:fill="E1DFDD"/>
    </w:rPr>
  </w:style>
  <w:style w:type="paragraph" w:styleId="BodyTextIndent">
    <w:name w:val="Body Text Indent"/>
    <w:basedOn w:val="Normal"/>
    <w:link w:val="BodyTextIndentChar"/>
    <w:rsid w:val="00DE63E9"/>
    <w:pPr>
      <w:spacing w:after="120"/>
      <w:ind w:left="283"/>
    </w:pPr>
    <w:rPr>
      <w:lang w:val="en-GB" w:eastAsia="x-none"/>
    </w:rPr>
  </w:style>
  <w:style w:type="character" w:customStyle="1" w:styleId="BodyTextIndentChar">
    <w:name w:val="Body Text Indent Char"/>
    <w:basedOn w:val="DefaultParagraphFont"/>
    <w:link w:val="BodyTextIndent"/>
    <w:rsid w:val="00DE63E9"/>
    <w:rPr>
      <w:sz w:val="24"/>
      <w:szCs w:val="24"/>
      <w:lang w:val="en-GB" w:eastAsia="x-none"/>
    </w:rPr>
  </w:style>
  <w:style w:type="character" w:customStyle="1" w:styleId="Bodytext7">
    <w:name w:val="Body text (7)_"/>
    <w:basedOn w:val="DefaultParagraphFont"/>
    <w:link w:val="Bodytext70"/>
    <w:rsid w:val="00C90FA8"/>
    <w:rPr>
      <w:sz w:val="23"/>
      <w:szCs w:val="23"/>
      <w:shd w:val="clear" w:color="auto" w:fill="FFFFFF"/>
    </w:rPr>
  </w:style>
  <w:style w:type="character" w:customStyle="1" w:styleId="Bodytext7Calibri">
    <w:name w:val="Body text (7) + Calibri"/>
    <w:aliases w:val="14 pt,Italic,Spacing 0 pt,Body text + 14 pt"/>
    <w:basedOn w:val="Bodytext7"/>
    <w:rsid w:val="00C90FA8"/>
    <w:rPr>
      <w:rFonts w:ascii="Calibri" w:eastAsia="Calibri" w:hAnsi="Calibri" w:cs="Calibri"/>
      <w:i/>
      <w:iCs/>
      <w:color w:val="000000"/>
      <w:spacing w:val="0"/>
      <w:w w:val="100"/>
      <w:position w:val="0"/>
      <w:sz w:val="28"/>
      <w:szCs w:val="28"/>
      <w:shd w:val="clear" w:color="auto" w:fill="FFFFFF"/>
      <w:lang w:val="lv-LV" w:eastAsia="lv-LV" w:bidi="lv-LV"/>
    </w:rPr>
  </w:style>
  <w:style w:type="character" w:customStyle="1" w:styleId="Bodytext711pt">
    <w:name w:val="Body text (7) + 11 pt"/>
    <w:basedOn w:val="Bodytext7"/>
    <w:rsid w:val="00C90FA8"/>
    <w:rPr>
      <w:color w:val="000000"/>
      <w:spacing w:val="0"/>
      <w:w w:val="100"/>
      <w:position w:val="0"/>
      <w:sz w:val="22"/>
      <w:szCs w:val="22"/>
      <w:shd w:val="clear" w:color="auto" w:fill="FFFFFF"/>
      <w:lang w:val="lv-LV" w:eastAsia="lv-LV" w:bidi="lv-LV"/>
    </w:rPr>
  </w:style>
  <w:style w:type="character" w:customStyle="1" w:styleId="Bodytext10">
    <w:name w:val="Body text (10)_"/>
    <w:basedOn w:val="DefaultParagraphFont"/>
    <w:link w:val="Bodytext100"/>
    <w:rsid w:val="00C90FA8"/>
    <w:rPr>
      <w:rFonts w:ascii="Calibri" w:eastAsia="Calibri" w:hAnsi="Calibri" w:cs="Calibri"/>
      <w:sz w:val="15"/>
      <w:szCs w:val="15"/>
      <w:shd w:val="clear" w:color="auto" w:fill="FFFFFF"/>
    </w:rPr>
  </w:style>
  <w:style w:type="paragraph" w:customStyle="1" w:styleId="Bodytext70">
    <w:name w:val="Body text (7)"/>
    <w:basedOn w:val="Normal"/>
    <w:link w:val="Bodytext7"/>
    <w:rsid w:val="00C90FA8"/>
    <w:pPr>
      <w:widowControl w:val="0"/>
      <w:shd w:val="clear" w:color="auto" w:fill="FFFFFF"/>
      <w:spacing w:after="240" w:line="274" w:lineRule="exact"/>
      <w:jc w:val="both"/>
    </w:pPr>
    <w:rPr>
      <w:sz w:val="23"/>
      <w:szCs w:val="23"/>
    </w:rPr>
  </w:style>
  <w:style w:type="paragraph" w:customStyle="1" w:styleId="Bodytext100">
    <w:name w:val="Body text (10)"/>
    <w:basedOn w:val="Normal"/>
    <w:link w:val="Bodytext10"/>
    <w:rsid w:val="00C90FA8"/>
    <w:pPr>
      <w:widowControl w:val="0"/>
      <w:shd w:val="clear" w:color="auto" w:fill="FFFFFF"/>
      <w:spacing w:before="360" w:line="176" w:lineRule="exact"/>
      <w:jc w:val="center"/>
    </w:pPr>
    <w:rPr>
      <w:rFonts w:ascii="Calibri" w:eastAsia="Calibri" w:hAnsi="Calibri" w:cs="Calibri"/>
      <w:sz w:val="15"/>
      <w:szCs w:val="15"/>
    </w:rPr>
  </w:style>
  <w:style w:type="character" w:customStyle="1" w:styleId="Bodytext">
    <w:name w:val="Body text_"/>
    <w:basedOn w:val="DefaultParagraphFont"/>
    <w:link w:val="BodyText1"/>
    <w:rsid w:val="000D6631"/>
    <w:rPr>
      <w:rFonts w:ascii="Calibri" w:eastAsia="Calibri" w:hAnsi="Calibri" w:cs="Calibri"/>
      <w:sz w:val="23"/>
      <w:szCs w:val="23"/>
      <w:shd w:val="clear" w:color="auto" w:fill="FFFFFF"/>
    </w:rPr>
  </w:style>
  <w:style w:type="character" w:customStyle="1" w:styleId="Bodytext4">
    <w:name w:val="Body text (4)_"/>
    <w:basedOn w:val="DefaultParagraphFont"/>
    <w:link w:val="Bodytext40"/>
    <w:rsid w:val="000D6631"/>
    <w:rPr>
      <w:rFonts w:ascii="Calibri" w:eastAsia="Calibri" w:hAnsi="Calibri" w:cs="Calibri"/>
      <w:b/>
      <w:bCs/>
      <w:sz w:val="22"/>
      <w:szCs w:val="22"/>
      <w:shd w:val="clear" w:color="auto" w:fill="FFFFFF"/>
    </w:rPr>
  </w:style>
  <w:style w:type="paragraph" w:customStyle="1" w:styleId="BodyText1">
    <w:name w:val="Body Text1"/>
    <w:basedOn w:val="Normal"/>
    <w:link w:val="Bodytext"/>
    <w:rsid w:val="000D6631"/>
    <w:pPr>
      <w:widowControl w:val="0"/>
      <w:shd w:val="clear" w:color="auto" w:fill="FFFFFF"/>
      <w:spacing w:line="562" w:lineRule="exact"/>
      <w:ind w:hanging="360"/>
      <w:jc w:val="both"/>
    </w:pPr>
    <w:rPr>
      <w:rFonts w:ascii="Calibri" w:eastAsia="Calibri" w:hAnsi="Calibri" w:cs="Calibri"/>
      <w:sz w:val="23"/>
      <w:szCs w:val="23"/>
    </w:rPr>
  </w:style>
  <w:style w:type="paragraph" w:customStyle="1" w:styleId="Bodytext40">
    <w:name w:val="Body text (4)"/>
    <w:basedOn w:val="Normal"/>
    <w:link w:val="Bodytext4"/>
    <w:rsid w:val="000D6631"/>
    <w:pPr>
      <w:widowControl w:val="0"/>
      <w:shd w:val="clear" w:color="auto" w:fill="FFFFFF"/>
      <w:spacing w:after="240" w:line="288" w:lineRule="exact"/>
      <w:jc w:val="right"/>
    </w:pPr>
    <w:rPr>
      <w:rFonts w:ascii="Calibri" w:eastAsia="Calibri" w:hAnsi="Calibri" w:cs="Calibri"/>
      <w:b/>
      <w:bCs/>
      <w:sz w:val="22"/>
      <w:szCs w:val="22"/>
    </w:rPr>
  </w:style>
  <w:style w:type="character" w:customStyle="1" w:styleId="Footnote">
    <w:name w:val="Footnote_"/>
    <w:basedOn w:val="DefaultParagraphFont"/>
    <w:rsid w:val="0013059C"/>
    <w:rPr>
      <w:rFonts w:ascii="Calibri" w:eastAsia="Calibri" w:hAnsi="Calibri" w:cs="Calibri"/>
      <w:b w:val="0"/>
      <w:bCs w:val="0"/>
      <w:i w:val="0"/>
      <w:iCs w:val="0"/>
      <w:smallCaps w:val="0"/>
      <w:strike w:val="0"/>
      <w:sz w:val="19"/>
      <w:szCs w:val="19"/>
      <w:u w:val="none"/>
      <w:lang w:val="en-US" w:eastAsia="en-US" w:bidi="en-US"/>
    </w:rPr>
  </w:style>
  <w:style w:type="character" w:customStyle="1" w:styleId="Footnote0">
    <w:name w:val="Footnote"/>
    <w:basedOn w:val="Footnote"/>
    <w:rsid w:val="0013059C"/>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paragraph" w:customStyle="1" w:styleId="Standard">
    <w:name w:val="Standard"/>
    <w:rsid w:val="00086103"/>
    <w:pPr>
      <w:suppressAutoHyphens/>
      <w:autoSpaceDN w:val="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2172">
      <w:bodyDiv w:val="1"/>
      <w:marLeft w:val="0"/>
      <w:marRight w:val="0"/>
      <w:marTop w:val="0"/>
      <w:marBottom w:val="0"/>
      <w:divBdr>
        <w:top w:val="none" w:sz="0" w:space="0" w:color="auto"/>
        <w:left w:val="none" w:sz="0" w:space="0" w:color="auto"/>
        <w:bottom w:val="none" w:sz="0" w:space="0" w:color="auto"/>
        <w:right w:val="none" w:sz="0" w:space="0" w:color="auto"/>
      </w:divBdr>
      <w:divsChild>
        <w:div w:id="1055812574">
          <w:marLeft w:val="720"/>
          <w:marRight w:val="0"/>
          <w:marTop w:val="0"/>
          <w:marBottom w:val="0"/>
          <w:divBdr>
            <w:top w:val="none" w:sz="0" w:space="0" w:color="auto"/>
            <w:left w:val="none" w:sz="0" w:space="0" w:color="auto"/>
            <w:bottom w:val="none" w:sz="0" w:space="0" w:color="auto"/>
            <w:right w:val="none" w:sz="0" w:space="0" w:color="auto"/>
          </w:divBdr>
        </w:div>
        <w:div w:id="1152482366">
          <w:marLeft w:val="0"/>
          <w:marRight w:val="0"/>
          <w:marTop w:val="0"/>
          <w:marBottom w:val="0"/>
          <w:divBdr>
            <w:top w:val="none" w:sz="0" w:space="0" w:color="auto"/>
            <w:left w:val="none" w:sz="0" w:space="0" w:color="auto"/>
            <w:bottom w:val="none" w:sz="0" w:space="0" w:color="auto"/>
            <w:right w:val="none" w:sz="0" w:space="0" w:color="auto"/>
          </w:divBdr>
        </w:div>
      </w:divsChild>
    </w:div>
    <w:div w:id="139465551">
      <w:bodyDiv w:val="1"/>
      <w:marLeft w:val="0"/>
      <w:marRight w:val="0"/>
      <w:marTop w:val="0"/>
      <w:marBottom w:val="0"/>
      <w:divBdr>
        <w:top w:val="none" w:sz="0" w:space="0" w:color="auto"/>
        <w:left w:val="none" w:sz="0" w:space="0" w:color="auto"/>
        <w:bottom w:val="none" w:sz="0" w:space="0" w:color="auto"/>
        <w:right w:val="none" w:sz="0" w:space="0" w:color="auto"/>
      </w:divBdr>
      <w:divsChild>
        <w:div w:id="1105149349">
          <w:marLeft w:val="0"/>
          <w:marRight w:val="0"/>
          <w:marTop w:val="0"/>
          <w:marBottom w:val="0"/>
          <w:divBdr>
            <w:top w:val="none" w:sz="0" w:space="0" w:color="auto"/>
            <w:left w:val="none" w:sz="0" w:space="0" w:color="auto"/>
            <w:bottom w:val="none" w:sz="0" w:space="0" w:color="auto"/>
            <w:right w:val="none" w:sz="0" w:space="0" w:color="auto"/>
          </w:divBdr>
        </w:div>
      </w:divsChild>
    </w:div>
    <w:div w:id="460342962">
      <w:marLeft w:val="0"/>
      <w:marRight w:val="0"/>
      <w:marTop w:val="0"/>
      <w:marBottom w:val="0"/>
      <w:divBdr>
        <w:top w:val="none" w:sz="0" w:space="0" w:color="auto"/>
        <w:left w:val="none" w:sz="0" w:space="0" w:color="auto"/>
        <w:bottom w:val="none" w:sz="0" w:space="0" w:color="auto"/>
        <w:right w:val="none" w:sz="0" w:space="0" w:color="auto"/>
      </w:divBdr>
    </w:div>
    <w:div w:id="460342965">
      <w:marLeft w:val="0"/>
      <w:marRight w:val="0"/>
      <w:marTop w:val="0"/>
      <w:marBottom w:val="0"/>
      <w:divBdr>
        <w:top w:val="none" w:sz="0" w:space="0" w:color="auto"/>
        <w:left w:val="none" w:sz="0" w:space="0" w:color="auto"/>
        <w:bottom w:val="none" w:sz="0" w:space="0" w:color="auto"/>
        <w:right w:val="none" w:sz="0" w:space="0" w:color="auto"/>
      </w:divBdr>
    </w:div>
    <w:div w:id="460342966">
      <w:marLeft w:val="0"/>
      <w:marRight w:val="0"/>
      <w:marTop w:val="0"/>
      <w:marBottom w:val="0"/>
      <w:divBdr>
        <w:top w:val="none" w:sz="0" w:space="0" w:color="auto"/>
        <w:left w:val="none" w:sz="0" w:space="0" w:color="auto"/>
        <w:bottom w:val="none" w:sz="0" w:space="0" w:color="auto"/>
        <w:right w:val="none" w:sz="0" w:space="0" w:color="auto"/>
      </w:divBdr>
    </w:div>
    <w:div w:id="460342967">
      <w:marLeft w:val="0"/>
      <w:marRight w:val="0"/>
      <w:marTop w:val="0"/>
      <w:marBottom w:val="0"/>
      <w:divBdr>
        <w:top w:val="none" w:sz="0" w:space="0" w:color="auto"/>
        <w:left w:val="none" w:sz="0" w:space="0" w:color="auto"/>
        <w:bottom w:val="none" w:sz="0" w:space="0" w:color="auto"/>
        <w:right w:val="none" w:sz="0" w:space="0" w:color="auto"/>
      </w:divBdr>
      <w:divsChild>
        <w:div w:id="460342963">
          <w:marLeft w:val="0"/>
          <w:marRight w:val="0"/>
          <w:marTop w:val="0"/>
          <w:marBottom w:val="0"/>
          <w:divBdr>
            <w:top w:val="none" w:sz="0" w:space="0" w:color="auto"/>
            <w:left w:val="none" w:sz="0" w:space="0" w:color="auto"/>
            <w:bottom w:val="none" w:sz="0" w:space="0" w:color="auto"/>
            <w:right w:val="none" w:sz="0" w:space="0" w:color="auto"/>
          </w:divBdr>
        </w:div>
        <w:div w:id="460342968">
          <w:marLeft w:val="0"/>
          <w:marRight w:val="0"/>
          <w:marTop w:val="0"/>
          <w:marBottom w:val="0"/>
          <w:divBdr>
            <w:top w:val="single" w:sz="12" w:space="0" w:color="8CC4C3"/>
            <w:left w:val="single" w:sz="12" w:space="0" w:color="8CC4C3"/>
            <w:bottom w:val="single" w:sz="12" w:space="0" w:color="8CC4C3"/>
            <w:right w:val="single" w:sz="12" w:space="0" w:color="8CC4C3"/>
          </w:divBdr>
          <w:divsChild>
            <w:div w:id="460342964">
              <w:marLeft w:val="0"/>
              <w:marRight w:val="0"/>
              <w:marTop w:val="0"/>
              <w:marBottom w:val="0"/>
              <w:divBdr>
                <w:top w:val="none" w:sz="0" w:space="0" w:color="auto"/>
                <w:left w:val="none" w:sz="0" w:space="0" w:color="auto"/>
                <w:bottom w:val="none" w:sz="0" w:space="0" w:color="auto"/>
                <w:right w:val="none" w:sz="0" w:space="0" w:color="auto"/>
              </w:divBdr>
            </w:div>
            <w:div w:id="460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2970">
      <w:marLeft w:val="0"/>
      <w:marRight w:val="0"/>
      <w:marTop w:val="0"/>
      <w:marBottom w:val="0"/>
      <w:divBdr>
        <w:top w:val="none" w:sz="0" w:space="0" w:color="auto"/>
        <w:left w:val="none" w:sz="0" w:space="0" w:color="auto"/>
        <w:bottom w:val="none" w:sz="0" w:space="0" w:color="auto"/>
        <w:right w:val="none" w:sz="0" w:space="0" w:color="auto"/>
      </w:divBdr>
    </w:div>
    <w:div w:id="460342971">
      <w:marLeft w:val="0"/>
      <w:marRight w:val="0"/>
      <w:marTop w:val="0"/>
      <w:marBottom w:val="0"/>
      <w:divBdr>
        <w:top w:val="none" w:sz="0" w:space="0" w:color="auto"/>
        <w:left w:val="none" w:sz="0" w:space="0" w:color="auto"/>
        <w:bottom w:val="none" w:sz="0" w:space="0" w:color="auto"/>
        <w:right w:val="none" w:sz="0" w:space="0" w:color="auto"/>
      </w:divBdr>
      <w:divsChild>
        <w:div w:id="460342979">
          <w:marLeft w:val="0"/>
          <w:marRight w:val="0"/>
          <w:marTop w:val="0"/>
          <w:marBottom w:val="0"/>
          <w:divBdr>
            <w:top w:val="none" w:sz="0" w:space="0" w:color="auto"/>
            <w:left w:val="none" w:sz="0" w:space="0" w:color="auto"/>
            <w:bottom w:val="none" w:sz="0" w:space="0" w:color="auto"/>
            <w:right w:val="none" w:sz="0" w:space="0" w:color="auto"/>
          </w:divBdr>
        </w:div>
      </w:divsChild>
    </w:div>
    <w:div w:id="460342972">
      <w:marLeft w:val="0"/>
      <w:marRight w:val="0"/>
      <w:marTop w:val="0"/>
      <w:marBottom w:val="0"/>
      <w:divBdr>
        <w:top w:val="none" w:sz="0" w:space="0" w:color="auto"/>
        <w:left w:val="none" w:sz="0" w:space="0" w:color="auto"/>
        <w:bottom w:val="none" w:sz="0" w:space="0" w:color="auto"/>
        <w:right w:val="none" w:sz="0" w:space="0" w:color="auto"/>
      </w:divBdr>
    </w:div>
    <w:div w:id="460342973">
      <w:marLeft w:val="0"/>
      <w:marRight w:val="0"/>
      <w:marTop w:val="0"/>
      <w:marBottom w:val="0"/>
      <w:divBdr>
        <w:top w:val="none" w:sz="0" w:space="0" w:color="auto"/>
        <w:left w:val="none" w:sz="0" w:space="0" w:color="auto"/>
        <w:bottom w:val="none" w:sz="0" w:space="0" w:color="auto"/>
        <w:right w:val="none" w:sz="0" w:space="0" w:color="auto"/>
      </w:divBdr>
    </w:div>
    <w:div w:id="460342974">
      <w:marLeft w:val="0"/>
      <w:marRight w:val="0"/>
      <w:marTop w:val="0"/>
      <w:marBottom w:val="0"/>
      <w:divBdr>
        <w:top w:val="none" w:sz="0" w:space="0" w:color="auto"/>
        <w:left w:val="none" w:sz="0" w:space="0" w:color="auto"/>
        <w:bottom w:val="none" w:sz="0" w:space="0" w:color="auto"/>
        <w:right w:val="none" w:sz="0" w:space="0" w:color="auto"/>
      </w:divBdr>
    </w:div>
    <w:div w:id="460342976">
      <w:marLeft w:val="0"/>
      <w:marRight w:val="0"/>
      <w:marTop w:val="0"/>
      <w:marBottom w:val="0"/>
      <w:divBdr>
        <w:top w:val="none" w:sz="0" w:space="0" w:color="auto"/>
        <w:left w:val="none" w:sz="0" w:space="0" w:color="auto"/>
        <w:bottom w:val="none" w:sz="0" w:space="0" w:color="auto"/>
        <w:right w:val="none" w:sz="0" w:space="0" w:color="auto"/>
      </w:divBdr>
    </w:div>
    <w:div w:id="460342977">
      <w:marLeft w:val="0"/>
      <w:marRight w:val="0"/>
      <w:marTop w:val="0"/>
      <w:marBottom w:val="0"/>
      <w:divBdr>
        <w:top w:val="none" w:sz="0" w:space="0" w:color="auto"/>
        <w:left w:val="none" w:sz="0" w:space="0" w:color="auto"/>
        <w:bottom w:val="none" w:sz="0" w:space="0" w:color="auto"/>
        <w:right w:val="none" w:sz="0" w:space="0" w:color="auto"/>
      </w:divBdr>
    </w:div>
    <w:div w:id="460342978">
      <w:marLeft w:val="0"/>
      <w:marRight w:val="0"/>
      <w:marTop w:val="0"/>
      <w:marBottom w:val="0"/>
      <w:divBdr>
        <w:top w:val="none" w:sz="0" w:space="0" w:color="auto"/>
        <w:left w:val="none" w:sz="0" w:space="0" w:color="auto"/>
        <w:bottom w:val="none" w:sz="0" w:space="0" w:color="auto"/>
        <w:right w:val="none" w:sz="0" w:space="0" w:color="auto"/>
      </w:divBdr>
      <w:divsChild>
        <w:div w:id="460342975">
          <w:marLeft w:val="0"/>
          <w:marRight w:val="0"/>
          <w:marTop w:val="0"/>
          <w:marBottom w:val="0"/>
          <w:divBdr>
            <w:top w:val="none" w:sz="0" w:space="0" w:color="auto"/>
            <w:left w:val="none" w:sz="0" w:space="0" w:color="auto"/>
            <w:bottom w:val="none" w:sz="0" w:space="0" w:color="auto"/>
            <w:right w:val="none" w:sz="0" w:space="0" w:color="auto"/>
          </w:divBdr>
        </w:div>
      </w:divsChild>
    </w:div>
    <w:div w:id="460342980">
      <w:marLeft w:val="0"/>
      <w:marRight w:val="0"/>
      <w:marTop w:val="0"/>
      <w:marBottom w:val="0"/>
      <w:divBdr>
        <w:top w:val="none" w:sz="0" w:space="0" w:color="auto"/>
        <w:left w:val="none" w:sz="0" w:space="0" w:color="auto"/>
        <w:bottom w:val="none" w:sz="0" w:space="0" w:color="auto"/>
        <w:right w:val="none" w:sz="0" w:space="0" w:color="auto"/>
      </w:divBdr>
    </w:div>
    <w:div w:id="474567960">
      <w:bodyDiv w:val="1"/>
      <w:marLeft w:val="0"/>
      <w:marRight w:val="0"/>
      <w:marTop w:val="0"/>
      <w:marBottom w:val="0"/>
      <w:divBdr>
        <w:top w:val="none" w:sz="0" w:space="0" w:color="auto"/>
        <w:left w:val="none" w:sz="0" w:space="0" w:color="auto"/>
        <w:bottom w:val="none" w:sz="0" w:space="0" w:color="auto"/>
        <w:right w:val="none" w:sz="0" w:space="0" w:color="auto"/>
      </w:divBdr>
    </w:div>
    <w:div w:id="490103146">
      <w:bodyDiv w:val="1"/>
      <w:marLeft w:val="0"/>
      <w:marRight w:val="0"/>
      <w:marTop w:val="0"/>
      <w:marBottom w:val="0"/>
      <w:divBdr>
        <w:top w:val="none" w:sz="0" w:space="0" w:color="auto"/>
        <w:left w:val="none" w:sz="0" w:space="0" w:color="auto"/>
        <w:bottom w:val="none" w:sz="0" w:space="0" w:color="auto"/>
        <w:right w:val="none" w:sz="0" w:space="0" w:color="auto"/>
      </w:divBdr>
    </w:div>
    <w:div w:id="508376427">
      <w:bodyDiv w:val="1"/>
      <w:marLeft w:val="0"/>
      <w:marRight w:val="0"/>
      <w:marTop w:val="0"/>
      <w:marBottom w:val="0"/>
      <w:divBdr>
        <w:top w:val="none" w:sz="0" w:space="0" w:color="auto"/>
        <w:left w:val="none" w:sz="0" w:space="0" w:color="auto"/>
        <w:bottom w:val="none" w:sz="0" w:space="0" w:color="auto"/>
        <w:right w:val="none" w:sz="0" w:space="0" w:color="auto"/>
      </w:divBdr>
    </w:div>
    <w:div w:id="621227481">
      <w:bodyDiv w:val="1"/>
      <w:marLeft w:val="0"/>
      <w:marRight w:val="0"/>
      <w:marTop w:val="0"/>
      <w:marBottom w:val="0"/>
      <w:divBdr>
        <w:top w:val="none" w:sz="0" w:space="0" w:color="auto"/>
        <w:left w:val="none" w:sz="0" w:space="0" w:color="auto"/>
        <w:bottom w:val="none" w:sz="0" w:space="0" w:color="auto"/>
        <w:right w:val="none" w:sz="0" w:space="0" w:color="auto"/>
      </w:divBdr>
    </w:div>
    <w:div w:id="1072656053">
      <w:bodyDiv w:val="1"/>
      <w:marLeft w:val="0"/>
      <w:marRight w:val="0"/>
      <w:marTop w:val="0"/>
      <w:marBottom w:val="0"/>
      <w:divBdr>
        <w:top w:val="none" w:sz="0" w:space="0" w:color="auto"/>
        <w:left w:val="none" w:sz="0" w:space="0" w:color="auto"/>
        <w:bottom w:val="none" w:sz="0" w:space="0" w:color="auto"/>
        <w:right w:val="none" w:sz="0" w:space="0" w:color="auto"/>
      </w:divBdr>
    </w:div>
    <w:div w:id="1082069528">
      <w:bodyDiv w:val="1"/>
      <w:marLeft w:val="0"/>
      <w:marRight w:val="0"/>
      <w:marTop w:val="0"/>
      <w:marBottom w:val="0"/>
      <w:divBdr>
        <w:top w:val="none" w:sz="0" w:space="0" w:color="auto"/>
        <w:left w:val="none" w:sz="0" w:space="0" w:color="auto"/>
        <w:bottom w:val="none" w:sz="0" w:space="0" w:color="auto"/>
        <w:right w:val="none" w:sz="0" w:space="0" w:color="auto"/>
      </w:divBdr>
    </w:div>
    <w:div w:id="1247499031">
      <w:bodyDiv w:val="1"/>
      <w:marLeft w:val="0"/>
      <w:marRight w:val="0"/>
      <w:marTop w:val="0"/>
      <w:marBottom w:val="0"/>
      <w:divBdr>
        <w:top w:val="none" w:sz="0" w:space="0" w:color="auto"/>
        <w:left w:val="none" w:sz="0" w:space="0" w:color="auto"/>
        <w:bottom w:val="none" w:sz="0" w:space="0" w:color="auto"/>
        <w:right w:val="none" w:sz="0" w:space="0" w:color="auto"/>
      </w:divBdr>
    </w:div>
    <w:div w:id="1293289814">
      <w:bodyDiv w:val="1"/>
      <w:marLeft w:val="0"/>
      <w:marRight w:val="0"/>
      <w:marTop w:val="0"/>
      <w:marBottom w:val="0"/>
      <w:divBdr>
        <w:top w:val="none" w:sz="0" w:space="0" w:color="auto"/>
        <w:left w:val="none" w:sz="0" w:space="0" w:color="auto"/>
        <w:bottom w:val="none" w:sz="0" w:space="0" w:color="auto"/>
        <w:right w:val="none" w:sz="0" w:space="0" w:color="auto"/>
      </w:divBdr>
    </w:div>
    <w:div w:id="1573537941">
      <w:bodyDiv w:val="1"/>
      <w:marLeft w:val="0"/>
      <w:marRight w:val="0"/>
      <w:marTop w:val="0"/>
      <w:marBottom w:val="0"/>
      <w:divBdr>
        <w:top w:val="none" w:sz="0" w:space="0" w:color="auto"/>
        <w:left w:val="none" w:sz="0" w:space="0" w:color="auto"/>
        <w:bottom w:val="none" w:sz="0" w:space="0" w:color="auto"/>
        <w:right w:val="none" w:sz="0" w:space="0" w:color="auto"/>
      </w:divBdr>
    </w:div>
    <w:div w:id="1629894019">
      <w:bodyDiv w:val="1"/>
      <w:marLeft w:val="0"/>
      <w:marRight w:val="0"/>
      <w:marTop w:val="0"/>
      <w:marBottom w:val="0"/>
      <w:divBdr>
        <w:top w:val="none" w:sz="0" w:space="0" w:color="auto"/>
        <w:left w:val="none" w:sz="0" w:space="0" w:color="auto"/>
        <w:bottom w:val="none" w:sz="0" w:space="0" w:color="auto"/>
        <w:right w:val="none" w:sz="0" w:space="0" w:color="auto"/>
      </w:divBdr>
    </w:div>
    <w:div w:id="2031684722">
      <w:bodyDiv w:val="1"/>
      <w:marLeft w:val="0"/>
      <w:marRight w:val="0"/>
      <w:marTop w:val="0"/>
      <w:marBottom w:val="0"/>
      <w:divBdr>
        <w:top w:val="none" w:sz="0" w:space="0" w:color="auto"/>
        <w:left w:val="none" w:sz="0" w:space="0" w:color="auto"/>
        <w:bottom w:val="none" w:sz="0" w:space="0" w:color="auto"/>
        <w:right w:val="none" w:sz="0" w:space="0" w:color="auto"/>
      </w:divBdr>
      <w:divsChild>
        <w:div w:id="14085721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C940-CABD-48CD-B310-A68D8194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7649</Words>
  <Characters>55285</Characters>
  <Application>Microsoft Office Word</Application>
  <DocSecurity>0</DocSecurity>
  <Lines>460</Lines>
  <Paragraphs>125</Paragraphs>
  <ScaleCrop>false</ScaleCrop>
  <HeadingPairs>
    <vt:vector size="2" baseType="variant">
      <vt:variant>
        <vt:lpstr>Title</vt:lpstr>
      </vt:variant>
      <vt:variant>
        <vt:i4>1</vt:i4>
      </vt:variant>
    </vt:vector>
  </HeadingPairs>
  <TitlesOfParts>
    <vt:vector size="1" baseType="lpstr">
      <vt:lpstr>Ministru kabineta noteikumu projekts "Farmaceitu profesionālās kvalifikācijas sertifikācijas komisijas pakalpojumu cenrādis" (VSS-406)</vt:lpstr>
    </vt:vector>
  </TitlesOfParts>
  <Company>Veselības ministrija</Company>
  <LinksUpToDate>false</LinksUpToDate>
  <CharactersWithSpaces>62809</CharactersWithSpaces>
  <SharedDoc>false</SharedDoc>
  <HLinks>
    <vt:vector size="30" baseType="variant">
      <vt:variant>
        <vt:i4>7864385</vt:i4>
      </vt:variant>
      <vt:variant>
        <vt:i4>12</vt:i4>
      </vt:variant>
      <vt:variant>
        <vt:i4>0</vt:i4>
      </vt:variant>
      <vt:variant>
        <vt:i4>5</vt:i4>
      </vt:variant>
      <vt:variant>
        <vt:lpwstr>mailto:Sarmite.Pengerote@zva.gov.lv</vt:lpwstr>
      </vt:variant>
      <vt:variant>
        <vt:lpwstr/>
      </vt:variant>
      <vt:variant>
        <vt:i4>4718698</vt:i4>
      </vt:variant>
      <vt:variant>
        <vt:i4>9</vt:i4>
      </vt:variant>
      <vt:variant>
        <vt:i4>0</vt:i4>
      </vt:variant>
      <vt:variant>
        <vt:i4>5</vt:i4>
      </vt:variant>
      <vt:variant>
        <vt:lpwstr>mailto:Inga.Vinnicenko@vm.gov.lv</vt:lpwstr>
      </vt:variant>
      <vt:variant>
        <vt:lpwstr/>
      </vt:variant>
      <vt:variant>
        <vt:i4>655360</vt:i4>
      </vt:variant>
      <vt:variant>
        <vt:i4>6</vt:i4>
      </vt:variant>
      <vt:variant>
        <vt:i4>0</vt:i4>
      </vt:variant>
      <vt:variant>
        <vt:i4>5</vt:i4>
      </vt:variant>
      <vt:variant>
        <vt:lpwstr>https://likumi.lv/ta/id/138149</vt:lpwstr>
      </vt:variant>
      <vt:variant>
        <vt:lpwstr>p10</vt:lpwstr>
      </vt:variant>
      <vt:variant>
        <vt:i4>131072</vt:i4>
      </vt:variant>
      <vt:variant>
        <vt:i4>3</vt:i4>
      </vt:variant>
      <vt:variant>
        <vt:i4>0</vt:i4>
      </vt:variant>
      <vt:variant>
        <vt:i4>5</vt:i4>
      </vt:variant>
      <vt:variant>
        <vt:lpwstr>https://likumi.lv/ta/id/138149</vt:lpwstr>
      </vt:variant>
      <vt:variant>
        <vt:lpwstr>p9</vt:lpwstr>
      </vt:variant>
      <vt:variant>
        <vt:i4>3342392</vt:i4>
      </vt:variant>
      <vt:variant>
        <vt:i4>0</vt:i4>
      </vt:variant>
      <vt:variant>
        <vt:i4>0</vt:i4>
      </vt:variant>
      <vt:variant>
        <vt:i4>5</vt:i4>
      </vt:variant>
      <vt:variant>
        <vt:lpwstr>https://likumi.lv/ta/id/43127</vt:lpwstr>
      </vt:variant>
      <vt:variant>
        <vt:lpwstr>p29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"Farmaceitu profesionālās kvalifikācijas sertifikācijas komisijas pakalpojumu cenrādis" (VSS-406)</dc:title>
  <dc:subject>Izziņa</dc:subject>
  <dc:creator>Liene Ābola</dc:creator>
  <cp:keywords/>
  <dc:description/>
  <cp:lastModifiedBy>Anita Jurševica</cp:lastModifiedBy>
  <cp:revision>7</cp:revision>
  <cp:lastPrinted>2019-11-26T09:42:00Z</cp:lastPrinted>
  <dcterms:created xsi:type="dcterms:W3CDTF">2020-12-04T12:49:00Z</dcterms:created>
  <dcterms:modified xsi:type="dcterms:W3CDTF">2020-12-10T13:48:00Z</dcterms:modified>
</cp:coreProperties>
</file>