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E55B5" w14:textId="77777777" w:rsidR="005B5F81" w:rsidRPr="007D5F2D" w:rsidRDefault="005B5F81" w:rsidP="005B5F81">
      <w:pPr>
        <w:pStyle w:val="NoSpacing"/>
        <w:jc w:val="center"/>
        <w:rPr>
          <w:rFonts w:ascii="Times New Roman" w:eastAsia="Times New Roman" w:hAnsi="Times New Roman" w:cs="Times New Roman"/>
          <w:b/>
          <w:color w:val="000000" w:themeColor="text1"/>
          <w:sz w:val="28"/>
          <w:szCs w:val="28"/>
        </w:rPr>
      </w:pPr>
      <w:r w:rsidRPr="007D5F2D">
        <w:rPr>
          <w:rFonts w:ascii="Times New Roman" w:eastAsia="Times New Roman" w:hAnsi="Times New Roman" w:cs="Times New Roman"/>
          <w:b/>
          <w:color w:val="000000" w:themeColor="text1"/>
          <w:sz w:val="28"/>
          <w:szCs w:val="28"/>
        </w:rPr>
        <w:t xml:space="preserve">Ministru kabineta </w:t>
      </w:r>
      <w:r w:rsidR="00582546" w:rsidRPr="007D5F2D">
        <w:rPr>
          <w:rFonts w:ascii="Times New Roman" w:eastAsia="Times New Roman" w:hAnsi="Times New Roman" w:cs="Times New Roman"/>
          <w:b/>
          <w:color w:val="000000" w:themeColor="text1"/>
          <w:sz w:val="28"/>
          <w:szCs w:val="28"/>
        </w:rPr>
        <w:t xml:space="preserve">rīkojuma </w:t>
      </w:r>
      <w:r w:rsidRPr="007D5F2D">
        <w:rPr>
          <w:rFonts w:ascii="Times New Roman" w:eastAsia="Times New Roman" w:hAnsi="Times New Roman" w:cs="Times New Roman"/>
          <w:b/>
          <w:color w:val="000000" w:themeColor="text1"/>
          <w:sz w:val="28"/>
          <w:szCs w:val="28"/>
        </w:rPr>
        <w:t>projekta</w:t>
      </w:r>
    </w:p>
    <w:p w14:paraId="318AAB9D" w14:textId="77777777" w:rsidR="005B5F81" w:rsidRPr="007D5F2D" w:rsidRDefault="005C1600" w:rsidP="005B5F81">
      <w:pPr>
        <w:spacing w:line="240" w:lineRule="auto"/>
        <w:jc w:val="center"/>
        <w:rPr>
          <w:rFonts w:ascii="Times New Roman" w:eastAsia="Times New Roman" w:hAnsi="Times New Roman" w:cs="Times New Roman"/>
          <w:b/>
          <w:color w:val="000000" w:themeColor="text1"/>
          <w:sz w:val="28"/>
          <w:szCs w:val="28"/>
          <w:lang w:eastAsia="lv-LV"/>
        </w:rPr>
      </w:pPr>
      <w:r w:rsidRPr="007D5F2D">
        <w:rPr>
          <w:rFonts w:ascii="Times New Roman" w:eastAsia="Times New Roman" w:hAnsi="Times New Roman" w:cs="Times New Roman"/>
          <w:b/>
          <w:color w:val="000000" w:themeColor="text1"/>
          <w:sz w:val="28"/>
          <w:szCs w:val="28"/>
          <w:lang w:eastAsia="lv-LV"/>
        </w:rPr>
        <w:t>“Grozījum</w:t>
      </w:r>
      <w:r w:rsidR="00A5174F" w:rsidRPr="007D5F2D">
        <w:rPr>
          <w:rFonts w:ascii="Times New Roman" w:eastAsia="Times New Roman" w:hAnsi="Times New Roman" w:cs="Times New Roman"/>
          <w:b/>
          <w:color w:val="000000" w:themeColor="text1"/>
          <w:sz w:val="28"/>
          <w:szCs w:val="28"/>
          <w:lang w:eastAsia="lv-LV"/>
        </w:rPr>
        <w:t>i</w:t>
      </w:r>
      <w:r w:rsidRPr="007D5F2D">
        <w:rPr>
          <w:rFonts w:ascii="Times New Roman" w:eastAsia="Times New Roman" w:hAnsi="Times New Roman" w:cs="Times New Roman"/>
          <w:b/>
          <w:color w:val="000000" w:themeColor="text1"/>
          <w:sz w:val="28"/>
          <w:szCs w:val="28"/>
          <w:lang w:eastAsia="lv-LV"/>
        </w:rPr>
        <w:t xml:space="preserve"> Ministru kabineta 2020. gada 6.</w:t>
      </w:r>
      <w:r w:rsidR="00312880" w:rsidRPr="007D5F2D">
        <w:rPr>
          <w:rFonts w:ascii="Times New Roman" w:eastAsia="Times New Roman" w:hAnsi="Times New Roman" w:cs="Times New Roman"/>
          <w:b/>
          <w:color w:val="000000" w:themeColor="text1"/>
          <w:sz w:val="28"/>
          <w:szCs w:val="28"/>
          <w:lang w:eastAsia="lv-LV"/>
        </w:rPr>
        <w:t> </w:t>
      </w:r>
      <w:r w:rsidRPr="007D5F2D">
        <w:rPr>
          <w:rFonts w:ascii="Times New Roman" w:eastAsia="Times New Roman" w:hAnsi="Times New Roman" w:cs="Times New Roman"/>
          <w:b/>
          <w:color w:val="000000" w:themeColor="text1"/>
          <w:sz w:val="28"/>
          <w:szCs w:val="28"/>
          <w:lang w:eastAsia="lv-LV"/>
        </w:rPr>
        <w:t>novembra rīkojumā Nr.655 “Par ārkārtējās situācijas izsludināšanu””</w:t>
      </w:r>
      <w:r w:rsidR="005B5F81" w:rsidRPr="007D5F2D">
        <w:rPr>
          <w:rFonts w:ascii="Times New Roman" w:eastAsia="Times New Roman" w:hAnsi="Times New Roman" w:cs="Times New Roman"/>
          <w:b/>
          <w:color w:val="000000" w:themeColor="text1"/>
          <w:sz w:val="28"/>
          <w:szCs w:val="28"/>
          <w:lang w:eastAsia="lv-LV"/>
        </w:rPr>
        <w:t xml:space="preserve"> sākotnējās ietekmes novērtējuma ziņojums (anotācija)</w:t>
      </w:r>
    </w:p>
    <w:p w14:paraId="2FE67BFB" w14:textId="77777777" w:rsidR="005B5F81" w:rsidRPr="007D5F2D"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4885" w:type="pct"/>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978"/>
        <w:gridCol w:w="6869"/>
      </w:tblGrid>
      <w:tr w:rsidR="00A07928" w:rsidRPr="007D5F2D" w14:paraId="0009D170" w14:textId="77777777" w:rsidTr="007F5BE0">
        <w:trPr>
          <w:tblCellSpacing w:w="14" w:type="dxa"/>
        </w:trPr>
        <w:tc>
          <w:tcPr>
            <w:tcW w:w="8946" w:type="dxa"/>
            <w:gridSpan w:val="2"/>
            <w:tcBorders>
              <w:top w:val="outset" w:sz="6" w:space="0" w:color="auto"/>
              <w:left w:val="outset" w:sz="6" w:space="0" w:color="auto"/>
              <w:bottom w:val="outset" w:sz="6" w:space="0" w:color="auto"/>
              <w:right w:val="outset" w:sz="6" w:space="0" w:color="auto"/>
            </w:tcBorders>
            <w:vAlign w:val="center"/>
            <w:hideMark/>
          </w:tcPr>
          <w:p w14:paraId="382F0CC6"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D5F2D">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A07928" w:rsidRPr="007D5F2D" w14:paraId="11234DE7" w14:textId="77777777" w:rsidTr="007F5BE0">
        <w:trPr>
          <w:tblCellSpacing w:w="14" w:type="dxa"/>
        </w:trPr>
        <w:tc>
          <w:tcPr>
            <w:tcW w:w="1969" w:type="dxa"/>
            <w:tcBorders>
              <w:top w:val="outset" w:sz="6" w:space="0" w:color="auto"/>
              <w:left w:val="outset" w:sz="6" w:space="0" w:color="auto"/>
              <w:bottom w:val="outset" w:sz="6" w:space="0" w:color="auto"/>
              <w:right w:val="outset" w:sz="6" w:space="0" w:color="auto"/>
            </w:tcBorders>
            <w:hideMark/>
          </w:tcPr>
          <w:p w14:paraId="13B4706F"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6949" w:type="dxa"/>
            <w:tcBorders>
              <w:top w:val="outset" w:sz="6" w:space="0" w:color="auto"/>
              <w:left w:val="outset" w:sz="6" w:space="0" w:color="auto"/>
              <w:bottom w:val="outset" w:sz="6" w:space="0" w:color="auto"/>
              <w:right w:val="outset" w:sz="6" w:space="0" w:color="auto"/>
            </w:tcBorders>
            <w:hideMark/>
          </w:tcPr>
          <w:p w14:paraId="0C4A1564" w14:textId="6EC0580E" w:rsidR="005B5F81" w:rsidRPr="007D5F2D" w:rsidRDefault="0079208C" w:rsidP="00A44D7F">
            <w:pPr>
              <w:spacing w:after="0" w:line="240" w:lineRule="auto"/>
              <w:jc w:val="both"/>
              <w:rPr>
                <w:rFonts w:ascii="Times New Roman" w:eastAsia="Times New Roman" w:hAnsi="Times New Roman" w:cs="Times New Roman"/>
                <w:iCs/>
                <w:color w:val="000000" w:themeColor="text1"/>
                <w:sz w:val="24"/>
                <w:szCs w:val="24"/>
                <w:lang w:eastAsia="lv-LV"/>
              </w:rPr>
            </w:pPr>
            <w:bookmarkStart w:id="0" w:name="_Hlk10534086"/>
            <w:r w:rsidRPr="007D5F2D">
              <w:rPr>
                <w:rFonts w:ascii="Times New Roman" w:eastAsia="Times New Roman" w:hAnsi="Times New Roman" w:cs="Times New Roman"/>
                <w:bCs/>
                <w:iCs/>
                <w:color w:val="000000" w:themeColor="text1"/>
                <w:sz w:val="24"/>
                <w:szCs w:val="24"/>
                <w:lang w:eastAsia="lv-LV"/>
              </w:rPr>
              <w:t xml:space="preserve">   </w:t>
            </w:r>
            <w:r w:rsidR="005B5F81" w:rsidRPr="007D5F2D">
              <w:rPr>
                <w:rFonts w:ascii="Times New Roman" w:eastAsia="Times New Roman" w:hAnsi="Times New Roman" w:cs="Times New Roman"/>
                <w:bCs/>
                <w:iCs/>
                <w:color w:val="000000" w:themeColor="text1"/>
                <w:sz w:val="24"/>
                <w:szCs w:val="24"/>
                <w:lang w:eastAsia="lv-LV"/>
              </w:rPr>
              <w:t xml:space="preserve">Ministru kabineta </w:t>
            </w:r>
            <w:r w:rsidR="00582546" w:rsidRPr="007D5F2D">
              <w:rPr>
                <w:rFonts w:ascii="Times New Roman" w:eastAsia="Times New Roman" w:hAnsi="Times New Roman" w:cs="Times New Roman"/>
                <w:bCs/>
                <w:iCs/>
                <w:color w:val="000000" w:themeColor="text1"/>
                <w:sz w:val="24"/>
                <w:szCs w:val="24"/>
                <w:lang w:eastAsia="lv-LV"/>
              </w:rPr>
              <w:t>rīkojuma</w:t>
            </w:r>
            <w:r w:rsidR="005B5F81" w:rsidRPr="007D5F2D">
              <w:rPr>
                <w:rFonts w:ascii="Times New Roman" w:eastAsia="Times New Roman" w:hAnsi="Times New Roman" w:cs="Times New Roman"/>
                <w:bCs/>
                <w:iCs/>
                <w:color w:val="000000" w:themeColor="text1"/>
                <w:sz w:val="24"/>
                <w:szCs w:val="24"/>
                <w:lang w:eastAsia="lv-LV"/>
              </w:rPr>
              <w:t xml:space="preserve"> projekta </w:t>
            </w:r>
            <w:r w:rsidR="00A07928" w:rsidRPr="007D5F2D">
              <w:rPr>
                <w:rFonts w:ascii="Times New Roman" w:eastAsia="Times New Roman" w:hAnsi="Times New Roman" w:cs="Times New Roman"/>
                <w:bCs/>
                <w:iCs/>
                <w:color w:val="000000" w:themeColor="text1"/>
                <w:sz w:val="24"/>
                <w:szCs w:val="24"/>
                <w:lang w:eastAsia="lv-LV"/>
              </w:rPr>
              <w:t>“Grozījum</w:t>
            </w:r>
            <w:r w:rsidR="00A5174F" w:rsidRPr="007D5F2D">
              <w:rPr>
                <w:rFonts w:ascii="Times New Roman" w:eastAsia="Times New Roman" w:hAnsi="Times New Roman" w:cs="Times New Roman"/>
                <w:bCs/>
                <w:iCs/>
                <w:color w:val="000000" w:themeColor="text1"/>
                <w:sz w:val="24"/>
                <w:szCs w:val="24"/>
                <w:lang w:eastAsia="lv-LV"/>
              </w:rPr>
              <w:t>i</w:t>
            </w:r>
            <w:r w:rsidR="00A07928" w:rsidRPr="007D5F2D">
              <w:rPr>
                <w:rFonts w:ascii="Times New Roman" w:eastAsia="Times New Roman" w:hAnsi="Times New Roman" w:cs="Times New Roman"/>
                <w:bCs/>
                <w:iCs/>
                <w:color w:val="000000" w:themeColor="text1"/>
                <w:sz w:val="24"/>
                <w:szCs w:val="24"/>
                <w:lang w:eastAsia="lv-LV"/>
              </w:rPr>
              <w:t xml:space="preserve"> Ministru kabineta 2020. gada </w:t>
            </w:r>
            <w:proofErr w:type="gramStart"/>
            <w:r w:rsidR="00A07928" w:rsidRPr="007D5F2D">
              <w:rPr>
                <w:rFonts w:ascii="Times New Roman" w:eastAsia="Times New Roman" w:hAnsi="Times New Roman" w:cs="Times New Roman"/>
                <w:bCs/>
                <w:iCs/>
                <w:color w:val="000000" w:themeColor="text1"/>
                <w:sz w:val="24"/>
                <w:szCs w:val="24"/>
                <w:lang w:eastAsia="lv-LV"/>
              </w:rPr>
              <w:t>6.novembra</w:t>
            </w:r>
            <w:proofErr w:type="gramEnd"/>
            <w:r w:rsidR="00A07928" w:rsidRPr="007D5F2D">
              <w:rPr>
                <w:rFonts w:ascii="Times New Roman" w:eastAsia="Times New Roman" w:hAnsi="Times New Roman" w:cs="Times New Roman"/>
                <w:bCs/>
                <w:iCs/>
                <w:color w:val="000000" w:themeColor="text1"/>
                <w:sz w:val="24"/>
                <w:szCs w:val="24"/>
                <w:lang w:eastAsia="lv-LV"/>
              </w:rPr>
              <w:t xml:space="preserve"> rīkojumā Nr.655 “Par ārkārtējās situācijas izsludināšanu”” </w:t>
            </w:r>
            <w:r w:rsidR="005B5F81" w:rsidRPr="007D5F2D">
              <w:rPr>
                <w:rFonts w:ascii="Times New Roman" w:eastAsia="Times New Roman" w:hAnsi="Times New Roman" w:cs="Times New Roman"/>
                <w:bCs/>
                <w:iCs/>
                <w:color w:val="000000" w:themeColor="text1"/>
                <w:sz w:val="24"/>
                <w:szCs w:val="24"/>
                <w:lang w:eastAsia="lv-LV"/>
              </w:rPr>
              <w:t xml:space="preserve">(turpmāk – </w:t>
            </w:r>
            <w:r w:rsidR="00A44D7F" w:rsidRPr="007D5F2D">
              <w:rPr>
                <w:rFonts w:ascii="Times New Roman" w:eastAsia="Times New Roman" w:hAnsi="Times New Roman" w:cs="Times New Roman"/>
                <w:iCs/>
                <w:color w:val="000000" w:themeColor="text1"/>
                <w:sz w:val="24"/>
                <w:szCs w:val="24"/>
                <w:lang w:eastAsia="lv-LV"/>
              </w:rPr>
              <w:t>projekts) mērķis</w:t>
            </w:r>
            <w:r w:rsidR="005B5F81" w:rsidRPr="007D5F2D">
              <w:rPr>
                <w:rFonts w:ascii="Times New Roman" w:eastAsia="Times New Roman" w:hAnsi="Times New Roman" w:cs="Times New Roman"/>
                <w:iCs/>
                <w:color w:val="000000" w:themeColor="text1"/>
                <w:sz w:val="24"/>
                <w:szCs w:val="24"/>
                <w:lang w:eastAsia="lv-LV"/>
              </w:rPr>
              <w:t xml:space="preserve"> ir</w:t>
            </w:r>
            <w:bookmarkEnd w:id="0"/>
            <w:r w:rsidR="007F5BE0" w:rsidRPr="007D5F2D">
              <w:rPr>
                <w:rFonts w:ascii="Times New Roman" w:eastAsia="Times New Roman" w:hAnsi="Times New Roman" w:cs="Times New Roman"/>
                <w:iCs/>
                <w:color w:val="000000" w:themeColor="text1"/>
                <w:sz w:val="24"/>
                <w:szCs w:val="24"/>
                <w:lang w:eastAsia="lv-LV"/>
              </w:rPr>
              <w:t xml:space="preserve">, </w:t>
            </w:r>
            <w:r w:rsidR="007F5BE0" w:rsidRPr="007D5F2D">
              <w:rPr>
                <w:rFonts w:ascii="Times New Roman" w:hAnsi="Times New Roman" w:cs="Times New Roman"/>
                <w:color w:val="000000" w:themeColor="text1"/>
                <w:sz w:val="24"/>
                <w:szCs w:val="24"/>
              </w:rPr>
              <w:t>n</w:t>
            </w:r>
            <w:r w:rsidR="00A44D7F" w:rsidRPr="007D5F2D">
              <w:rPr>
                <w:rFonts w:ascii="Times New Roman" w:hAnsi="Times New Roman" w:cs="Times New Roman"/>
                <w:color w:val="000000" w:themeColor="text1"/>
                <w:sz w:val="24"/>
                <w:szCs w:val="24"/>
              </w:rPr>
              <w:t>osakot</w:t>
            </w:r>
            <w:r w:rsidR="005C1600" w:rsidRPr="007D5F2D">
              <w:rPr>
                <w:rFonts w:ascii="Times New Roman" w:eastAsia="Times New Roman" w:hAnsi="Times New Roman"/>
                <w:color w:val="000000" w:themeColor="text1"/>
                <w:sz w:val="24"/>
                <w:szCs w:val="24"/>
                <w:lang w:eastAsia="lv-LV"/>
              </w:rPr>
              <w:t xml:space="preserve"> </w:t>
            </w:r>
            <w:r w:rsidR="00A44D7F" w:rsidRPr="007D5F2D">
              <w:rPr>
                <w:rFonts w:ascii="Times New Roman" w:eastAsia="Times New Roman" w:hAnsi="Times New Roman"/>
                <w:color w:val="000000" w:themeColor="text1"/>
                <w:sz w:val="24"/>
                <w:szCs w:val="24"/>
                <w:lang w:eastAsia="lv-LV"/>
              </w:rPr>
              <w:t xml:space="preserve">papildus </w:t>
            </w:r>
            <w:r w:rsidR="007F5BE0" w:rsidRPr="007D5F2D">
              <w:rPr>
                <w:rFonts w:ascii="Times New Roman" w:eastAsia="Times New Roman" w:hAnsi="Times New Roman"/>
                <w:color w:val="000000" w:themeColor="text1"/>
                <w:sz w:val="24"/>
                <w:szCs w:val="24"/>
                <w:lang w:eastAsia="lv-LV"/>
              </w:rPr>
              <w:t xml:space="preserve">drošības </w:t>
            </w:r>
            <w:r w:rsidR="00A44D7F" w:rsidRPr="007D5F2D">
              <w:rPr>
                <w:rFonts w:ascii="Times New Roman" w:eastAsia="Times New Roman" w:hAnsi="Times New Roman"/>
                <w:color w:val="000000" w:themeColor="text1"/>
                <w:sz w:val="24"/>
                <w:szCs w:val="24"/>
                <w:lang w:eastAsia="lv-LV"/>
              </w:rPr>
              <w:t>prasības</w:t>
            </w:r>
            <w:r w:rsidR="007F5BE0" w:rsidRPr="007D5F2D">
              <w:rPr>
                <w:rFonts w:ascii="Times New Roman" w:eastAsia="Times New Roman" w:hAnsi="Times New Roman"/>
                <w:color w:val="000000" w:themeColor="text1"/>
                <w:sz w:val="24"/>
                <w:szCs w:val="24"/>
                <w:lang w:eastAsia="lv-LV"/>
              </w:rPr>
              <w:t>, mazināt cilvēku mobilitāti ārpus mājsaimniecīb</w:t>
            </w:r>
            <w:r w:rsidR="001539E9" w:rsidRPr="007D5F2D">
              <w:rPr>
                <w:rFonts w:ascii="Times New Roman" w:eastAsia="Times New Roman" w:hAnsi="Times New Roman"/>
                <w:color w:val="000000" w:themeColor="text1"/>
                <w:sz w:val="24"/>
                <w:szCs w:val="24"/>
                <w:lang w:eastAsia="lv-LV"/>
              </w:rPr>
              <w:t>ām</w:t>
            </w:r>
            <w:r w:rsidR="007F5BE0" w:rsidRPr="007D5F2D">
              <w:rPr>
                <w:rFonts w:ascii="Times New Roman" w:eastAsia="Times New Roman" w:hAnsi="Times New Roman"/>
                <w:color w:val="000000" w:themeColor="text1"/>
                <w:sz w:val="24"/>
                <w:szCs w:val="24"/>
                <w:lang w:eastAsia="lv-LV"/>
              </w:rPr>
              <w:t xml:space="preserve"> un mazināt cilvēku pulcēšanos iekštelpās, tādējādi samazinot Covid-19 izplatību sabiedrībā.</w:t>
            </w:r>
          </w:p>
        </w:tc>
      </w:tr>
    </w:tbl>
    <w:p w14:paraId="12705D86"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  </w:t>
      </w:r>
    </w:p>
    <w:tbl>
      <w:tblPr>
        <w:tblW w:w="8923" w:type="dxa"/>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603"/>
        <w:gridCol w:w="1516"/>
        <w:gridCol w:w="6804"/>
      </w:tblGrid>
      <w:tr w:rsidR="00A07928" w:rsidRPr="007D5F2D" w14:paraId="24FB9BC5" w14:textId="77777777" w:rsidTr="000B4DD0">
        <w:trPr>
          <w:tblCellSpacing w:w="14" w:type="dxa"/>
        </w:trPr>
        <w:tc>
          <w:tcPr>
            <w:tcW w:w="8867" w:type="dxa"/>
            <w:gridSpan w:val="3"/>
            <w:tcBorders>
              <w:top w:val="outset" w:sz="6" w:space="0" w:color="auto"/>
              <w:left w:val="outset" w:sz="6" w:space="0" w:color="auto"/>
              <w:bottom w:val="outset" w:sz="6" w:space="0" w:color="auto"/>
              <w:right w:val="outset" w:sz="6" w:space="0" w:color="auto"/>
            </w:tcBorders>
            <w:vAlign w:val="center"/>
            <w:hideMark/>
          </w:tcPr>
          <w:p w14:paraId="7BC08D59"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D5F2D">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A07928" w:rsidRPr="007D5F2D" w14:paraId="5FF53ED7" w14:textId="77777777" w:rsidTr="000B4DD0">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63938F62"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1.</w:t>
            </w:r>
          </w:p>
        </w:tc>
        <w:tc>
          <w:tcPr>
            <w:tcW w:w="1488" w:type="dxa"/>
            <w:tcBorders>
              <w:top w:val="outset" w:sz="6" w:space="0" w:color="auto"/>
              <w:left w:val="outset" w:sz="6" w:space="0" w:color="auto"/>
              <w:bottom w:val="outset" w:sz="6" w:space="0" w:color="auto"/>
              <w:right w:val="outset" w:sz="6" w:space="0" w:color="auto"/>
            </w:tcBorders>
            <w:hideMark/>
          </w:tcPr>
          <w:p w14:paraId="2EF092FF"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Pamatojums</w:t>
            </w:r>
          </w:p>
        </w:tc>
        <w:tc>
          <w:tcPr>
            <w:tcW w:w="6762" w:type="dxa"/>
            <w:tcBorders>
              <w:top w:val="outset" w:sz="6" w:space="0" w:color="auto"/>
              <w:left w:val="outset" w:sz="6" w:space="0" w:color="auto"/>
              <w:bottom w:val="outset" w:sz="6" w:space="0" w:color="auto"/>
              <w:right w:val="outset" w:sz="6" w:space="0" w:color="auto"/>
            </w:tcBorders>
            <w:hideMark/>
          </w:tcPr>
          <w:p w14:paraId="729F2FAF" w14:textId="25FBE35F" w:rsidR="005B5F81" w:rsidRPr="007D5F2D" w:rsidRDefault="0079208C" w:rsidP="007F499B">
            <w:pPr>
              <w:spacing w:after="0" w:line="240" w:lineRule="auto"/>
              <w:jc w:val="both"/>
              <w:rPr>
                <w:rFonts w:ascii="Times New Roman" w:eastAsia="Times New Roman" w:hAnsi="Times New Roman" w:cs="Times New Roman"/>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   </w:t>
            </w:r>
            <w:r w:rsidR="005B5F81" w:rsidRPr="007D5F2D">
              <w:rPr>
                <w:rFonts w:ascii="Times New Roman" w:eastAsia="Times New Roman" w:hAnsi="Times New Roman" w:cs="Times New Roman"/>
                <w:iCs/>
                <w:color w:val="000000" w:themeColor="text1"/>
                <w:sz w:val="24"/>
                <w:szCs w:val="24"/>
                <w:lang w:eastAsia="lv-LV"/>
              </w:rPr>
              <w:t>Projekts izstrādāts</w:t>
            </w:r>
            <w:proofErr w:type="gramStart"/>
            <w:r w:rsidR="005B5F81" w:rsidRPr="007D5F2D">
              <w:rPr>
                <w:rFonts w:ascii="Times New Roman" w:eastAsia="Times New Roman" w:hAnsi="Times New Roman" w:cs="Times New Roman"/>
                <w:iCs/>
                <w:color w:val="000000" w:themeColor="text1"/>
                <w:sz w:val="24"/>
                <w:szCs w:val="24"/>
                <w:lang w:eastAsia="lv-LV"/>
              </w:rPr>
              <w:t xml:space="preserve"> pamatojoties uz </w:t>
            </w:r>
            <w:r w:rsidR="0048649D" w:rsidRPr="007D5F2D">
              <w:rPr>
                <w:rFonts w:ascii="Times New Roman" w:hAnsi="Times New Roman" w:cs="Times New Roman"/>
                <w:color w:val="000000" w:themeColor="text1"/>
                <w:sz w:val="24"/>
                <w:szCs w:val="24"/>
              </w:rPr>
              <w:t>Civilās aizsardzības un katastrofas pārvaldīšanas likuma</w:t>
            </w:r>
            <w:proofErr w:type="gramEnd"/>
            <w:r w:rsidR="0048649D" w:rsidRPr="007D5F2D">
              <w:rPr>
                <w:rFonts w:ascii="Times New Roman" w:hAnsi="Times New Roman" w:cs="Times New Roman"/>
                <w:color w:val="000000" w:themeColor="text1"/>
                <w:sz w:val="24"/>
                <w:szCs w:val="24"/>
              </w:rPr>
              <w:t xml:space="preserve"> </w:t>
            </w:r>
            <w:hyperlink r:id="rId8" w:anchor="p4" w:history="1">
              <w:r w:rsidR="0048649D" w:rsidRPr="007D5F2D">
                <w:rPr>
                  <w:rFonts w:ascii="Times New Roman" w:hAnsi="Times New Roman" w:cs="Times New Roman"/>
                  <w:color w:val="000000" w:themeColor="text1"/>
                  <w:sz w:val="24"/>
                  <w:szCs w:val="24"/>
                </w:rPr>
                <w:t>4. panta</w:t>
              </w:r>
            </w:hyperlink>
            <w:r w:rsidR="0048649D" w:rsidRPr="007D5F2D">
              <w:rPr>
                <w:rFonts w:ascii="Times New Roman" w:hAnsi="Times New Roman" w:cs="Times New Roman"/>
                <w:color w:val="000000" w:themeColor="text1"/>
                <w:sz w:val="24"/>
                <w:szCs w:val="24"/>
              </w:rPr>
              <w:t xml:space="preserve"> pirmās daļas 1. punkta "e" apakšpunktu, likuma "</w:t>
            </w:r>
            <w:hyperlink r:id="rId9" w:tgtFrame="_blank" w:history="1">
              <w:r w:rsidR="0048649D" w:rsidRPr="007D5F2D">
                <w:rPr>
                  <w:rFonts w:ascii="Times New Roman" w:hAnsi="Times New Roman" w:cs="Times New Roman"/>
                  <w:color w:val="000000" w:themeColor="text1"/>
                  <w:sz w:val="24"/>
                  <w:szCs w:val="24"/>
                </w:rPr>
                <w:t>Par ārkārtējo situāciju un izņēmuma stāvokli</w:t>
              </w:r>
            </w:hyperlink>
            <w:r w:rsidR="0048649D" w:rsidRPr="007D5F2D">
              <w:rPr>
                <w:rFonts w:ascii="Times New Roman" w:hAnsi="Times New Roman" w:cs="Times New Roman"/>
                <w:color w:val="000000" w:themeColor="text1"/>
                <w:sz w:val="24"/>
                <w:szCs w:val="24"/>
              </w:rPr>
              <w:t>" </w:t>
            </w:r>
            <w:hyperlink r:id="rId10" w:anchor="p4" w:tgtFrame="_blank" w:history="1">
              <w:r w:rsidR="0048649D" w:rsidRPr="007D5F2D">
                <w:rPr>
                  <w:rFonts w:ascii="Times New Roman" w:hAnsi="Times New Roman" w:cs="Times New Roman"/>
                  <w:color w:val="000000" w:themeColor="text1"/>
                  <w:sz w:val="24"/>
                  <w:szCs w:val="24"/>
                </w:rPr>
                <w:t>4. pantu</w:t>
              </w:r>
            </w:hyperlink>
            <w:r w:rsidR="0048649D" w:rsidRPr="007D5F2D">
              <w:rPr>
                <w:rFonts w:ascii="Times New Roman" w:hAnsi="Times New Roman" w:cs="Times New Roman"/>
                <w:color w:val="000000" w:themeColor="text1"/>
                <w:sz w:val="24"/>
                <w:szCs w:val="24"/>
              </w:rPr>
              <w:t>, </w:t>
            </w:r>
            <w:hyperlink r:id="rId11" w:anchor="p5" w:tgtFrame="_blank" w:history="1">
              <w:r w:rsidR="0048649D" w:rsidRPr="007D5F2D">
                <w:rPr>
                  <w:rFonts w:ascii="Times New Roman" w:hAnsi="Times New Roman" w:cs="Times New Roman"/>
                  <w:color w:val="000000" w:themeColor="text1"/>
                  <w:sz w:val="24"/>
                  <w:szCs w:val="24"/>
                </w:rPr>
                <w:t>5. panta</w:t>
              </w:r>
            </w:hyperlink>
            <w:r w:rsidR="0048649D" w:rsidRPr="007D5F2D">
              <w:rPr>
                <w:rFonts w:ascii="Times New Roman" w:hAnsi="Times New Roman" w:cs="Times New Roman"/>
                <w:color w:val="000000" w:themeColor="text1"/>
                <w:sz w:val="24"/>
                <w:szCs w:val="24"/>
              </w:rPr>
              <w:t> pirmo daļu un </w:t>
            </w:r>
            <w:hyperlink r:id="rId12" w:anchor="p6" w:tgtFrame="_blank" w:history="1">
              <w:r w:rsidR="0048649D" w:rsidRPr="007D5F2D">
                <w:rPr>
                  <w:rFonts w:ascii="Times New Roman" w:hAnsi="Times New Roman" w:cs="Times New Roman"/>
                  <w:color w:val="000000" w:themeColor="text1"/>
                  <w:sz w:val="24"/>
                  <w:szCs w:val="24"/>
                </w:rPr>
                <w:t>6. panta</w:t>
              </w:r>
            </w:hyperlink>
            <w:r w:rsidR="0048649D" w:rsidRPr="007D5F2D">
              <w:rPr>
                <w:rFonts w:ascii="Times New Roman" w:hAnsi="Times New Roman" w:cs="Times New Roman"/>
                <w:color w:val="000000" w:themeColor="text1"/>
                <w:sz w:val="24"/>
                <w:szCs w:val="24"/>
              </w:rPr>
              <w:t xml:space="preserve"> pirmās daļas 1. punktu un otro daļu, </w:t>
            </w:r>
            <w:hyperlink r:id="rId13" w:anchor="p7" w:tgtFrame="_blank" w:history="1">
              <w:r w:rsidR="0048649D" w:rsidRPr="007D5F2D">
                <w:rPr>
                  <w:rFonts w:ascii="Times New Roman" w:hAnsi="Times New Roman" w:cs="Times New Roman"/>
                  <w:color w:val="000000" w:themeColor="text1"/>
                  <w:sz w:val="24"/>
                  <w:szCs w:val="24"/>
                </w:rPr>
                <w:t>7.</w:t>
              </w:r>
            </w:hyperlink>
            <w:r w:rsidR="0048649D" w:rsidRPr="007D5F2D">
              <w:rPr>
                <w:rFonts w:ascii="Times New Roman" w:hAnsi="Times New Roman" w:cs="Times New Roman"/>
                <w:color w:val="000000" w:themeColor="text1"/>
                <w:sz w:val="24"/>
                <w:szCs w:val="24"/>
              </w:rPr>
              <w:t xml:space="preserve"> panta 1. punktu un </w:t>
            </w:r>
            <w:hyperlink r:id="rId14" w:anchor="p8" w:tgtFrame="_blank" w:history="1">
              <w:r w:rsidR="0048649D" w:rsidRPr="007D5F2D">
                <w:rPr>
                  <w:rFonts w:ascii="Times New Roman" w:hAnsi="Times New Roman" w:cs="Times New Roman"/>
                  <w:color w:val="000000" w:themeColor="text1"/>
                  <w:sz w:val="24"/>
                  <w:szCs w:val="24"/>
                </w:rPr>
                <w:t>8.</w:t>
              </w:r>
            </w:hyperlink>
            <w:r w:rsidR="0048649D" w:rsidRPr="007D5F2D">
              <w:rPr>
                <w:rFonts w:ascii="Times New Roman" w:hAnsi="Times New Roman" w:cs="Times New Roman"/>
                <w:color w:val="000000" w:themeColor="text1"/>
                <w:sz w:val="24"/>
                <w:szCs w:val="24"/>
              </w:rPr>
              <w:t xml:space="preserve"> pantu, </w:t>
            </w:r>
            <w:hyperlink r:id="rId15" w:tgtFrame="_blank" w:history="1">
              <w:r w:rsidR="0048649D" w:rsidRPr="007D5F2D">
                <w:rPr>
                  <w:rFonts w:ascii="Times New Roman" w:hAnsi="Times New Roman" w:cs="Times New Roman"/>
                  <w:color w:val="000000" w:themeColor="text1"/>
                  <w:sz w:val="24"/>
                  <w:szCs w:val="24"/>
                </w:rPr>
                <w:t>Epidemioloģiskās drošības likuma</w:t>
              </w:r>
            </w:hyperlink>
            <w:r w:rsidR="0048649D" w:rsidRPr="007D5F2D">
              <w:rPr>
                <w:rFonts w:ascii="Times New Roman" w:hAnsi="Times New Roman" w:cs="Times New Roman"/>
                <w:color w:val="000000" w:themeColor="text1"/>
                <w:sz w:val="24"/>
                <w:szCs w:val="24"/>
              </w:rPr>
              <w:t xml:space="preserve"> </w:t>
            </w:r>
            <w:hyperlink r:id="rId16" w:anchor="p3" w:tgtFrame="_blank" w:history="1">
              <w:r w:rsidR="0048649D" w:rsidRPr="007D5F2D">
                <w:rPr>
                  <w:rFonts w:ascii="Times New Roman" w:hAnsi="Times New Roman" w:cs="Times New Roman"/>
                  <w:color w:val="000000" w:themeColor="text1"/>
                  <w:sz w:val="24"/>
                  <w:szCs w:val="24"/>
                </w:rPr>
                <w:t>3.</w:t>
              </w:r>
            </w:hyperlink>
            <w:r w:rsidR="0048649D" w:rsidRPr="007D5F2D">
              <w:rPr>
                <w:rFonts w:ascii="Times New Roman" w:hAnsi="Times New Roman" w:cs="Times New Roman"/>
                <w:color w:val="000000" w:themeColor="text1"/>
                <w:sz w:val="24"/>
                <w:szCs w:val="24"/>
              </w:rPr>
              <w:t> panta otro daļu</w:t>
            </w:r>
            <w:r w:rsidR="005C1600" w:rsidRPr="007D5F2D">
              <w:rPr>
                <w:rFonts w:ascii="Times New Roman" w:hAnsi="Times New Roman" w:cs="Times New Roman"/>
                <w:color w:val="000000" w:themeColor="text1"/>
                <w:sz w:val="24"/>
                <w:szCs w:val="24"/>
              </w:rPr>
              <w:t>.</w:t>
            </w:r>
          </w:p>
        </w:tc>
      </w:tr>
      <w:tr w:rsidR="00A07928" w:rsidRPr="007D5F2D" w14:paraId="1E6EE3A3" w14:textId="77777777" w:rsidTr="000B4DD0">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5E789818"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2.</w:t>
            </w:r>
          </w:p>
        </w:tc>
        <w:tc>
          <w:tcPr>
            <w:tcW w:w="1488" w:type="dxa"/>
            <w:tcBorders>
              <w:top w:val="outset" w:sz="6" w:space="0" w:color="auto"/>
              <w:left w:val="outset" w:sz="6" w:space="0" w:color="auto"/>
              <w:bottom w:val="outset" w:sz="6" w:space="0" w:color="auto"/>
              <w:right w:val="outset" w:sz="6" w:space="0" w:color="auto"/>
            </w:tcBorders>
            <w:hideMark/>
          </w:tcPr>
          <w:p w14:paraId="536FB054"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7ECC57A9" w14:textId="77777777" w:rsidR="005B5F81" w:rsidRPr="007D5F2D" w:rsidRDefault="005B5F81" w:rsidP="007F499B">
            <w:pPr>
              <w:rPr>
                <w:rFonts w:ascii="Times New Roman" w:eastAsia="Times New Roman" w:hAnsi="Times New Roman" w:cs="Times New Roman"/>
                <w:color w:val="000000" w:themeColor="text1"/>
                <w:sz w:val="24"/>
                <w:szCs w:val="24"/>
                <w:lang w:eastAsia="lv-LV"/>
              </w:rPr>
            </w:pPr>
          </w:p>
          <w:p w14:paraId="004BE3BD" w14:textId="77777777" w:rsidR="005B5F81" w:rsidRPr="007D5F2D" w:rsidRDefault="005B5F81" w:rsidP="007F499B">
            <w:pPr>
              <w:rPr>
                <w:rFonts w:ascii="Times New Roman" w:eastAsia="Times New Roman" w:hAnsi="Times New Roman" w:cs="Times New Roman"/>
                <w:color w:val="000000" w:themeColor="text1"/>
                <w:sz w:val="24"/>
                <w:szCs w:val="24"/>
                <w:lang w:eastAsia="lv-LV"/>
              </w:rPr>
            </w:pPr>
          </w:p>
          <w:p w14:paraId="7A6C6827" w14:textId="77777777" w:rsidR="005B5F81" w:rsidRPr="007D5F2D" w:rsidRDefault="005B5F81" w:rsidP="007F499B">
            <w:pPr>
              <w:ind w:firstLine="720"/>
              <w:rPr>
                <w:rFonts w:ascii="Times New Roman" w:eastAsia="Times New Roman" w:hAnsi="Times New Roman" w:cs="Times New Roman"/>
                <w:color w:val="000000" w:themeColor="text1"/>
                <w:sz w:val="24"/>
                <w:szCs w:val="24"/>
                <w:lang w:eastAsia="lv-LV"/>
              </w:rPr>
            </w:pPr>
          </w:p>
        </w:tc>
        <w:tc>
          <w:tcPr>
            <w:tcW w:w="6762" w:type="dxa"/>
            <w:tcBorders>
              <w:top w:val="outset" w:sz="6" w:space="0" w:color="auto"/>
              <w:left w:val="outset" w:sz="6" w:space="0" w:color="auto"/>
              <w:bottom w:val="outset" w:sz="6" w:space="0" w:color="auto"/>
              <w:right w:val="outset" w:sz="6" w:space="0" w:color="auto"/>
            </w:tcBorders>
          </w:tcPr>
          <w:p w14:paraId="2BE49D9A" w14:textId="41AC6282" w:rsidR="00934F3D"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50.nedēļā turpinās Covid-19 gadījumu pieaugums. Kaut arī salīdzinot ar iepriekšējām nedēļām jaunatklāto gadījumu pieauguma tendence ir mazāk strauja – jaunatklāto Covid-19 gadījumu skaita pieaugums ir 6,4%, turpinās ļoti straujš pacientu skaita pieaugums – 44,2%. Stacionēto Covid-19 gadījumu skaits vidēji dienā palielinās par 93 gadījumiem. Pēdējo 7 dienu laikā aizpildīto Covid-19 gultu skaits pieaudzis par 186 vietām jeb par 33,5%. Kā liecina Covid-19 saslimšanas rādītāju epidemioloģiskā analīze un prognozes, ja Covid-19 izplatība turpināsies ar esošo intensitāti, </w:t>
            </w:r>
            <w:r w:rsidR="007E4917" w:rsidRPr="007D5F2D">
              <w:rPr>
                <w:rFonts w:ascii="Times New Roman" w:eastAsia="Times New Roman" w:hAnsi="Times New Roman"/>
                <w:color w:val="000000" w:themeColor="text1"/>
                <w:sz w:val="24"/>
                <w:szCs w:val="24"/>
                <w:lang w:eastAsia="lv-LV"/>
              </w:rPr>
              <w:t>līdz gada beigām</w:t>
            </w:r>
            <w:r w:rsidRPr="007D5F2D">
              <w:rPr>
                <w:rFonts w:ascii="Times New Roman" w:eastAsia="Times New Roman" w:hAnsi="Times New Roman"/>
                <w:color w:val="000000" w:themeColor="text1"/>
                <w:sz w:val="24"/>
                <w:szCs w:val="24"/>
                <w:lang w:eastAsia="lv-LV"/>
              </w:rPr>
              <w:t xml:space="preserve"> stacionārā esošo Covid-19 pacientu skaits slimnīcās </w:t>
            </w:r>
            <w:r w:rsidR="00BA4C0C" w:rsidRPr="007D5F2D">
              <w:rPr>
                <w:rFonts w:ascii="Times New Roman" w:eastAsia="Times New Roman" w:hAnsi="Times New Roman"/>
                <w:color w:val="000000" w:themeColor="text1"/>
                <w:sz w:val="24"/>
                <w:szCs w:val="24"/>
                <w:lang w:eastAsia="lv-LV"/>
              </w:rPr>
              <w:t>pārsniegs</w:t>
            </w:r>
            <w:r w:rsidRPr="007D5F2D">
              <w:rPr>
                <w:rFonts w:ascii="Times New Roman" w:eastAsia="Times New Roman" w:hAnsi="Times New Roman"/>
                <w:color w:val="000000" w:themeColor="text1"/>
                <w:sz w:val="24"/>
                <w:szCs w:val="24"/>
                <w:lang w:eastAsia="lv-LV"/>
              </w:rPr>
              <w:t xml:space="preserve"> rādītāju 1000. </w:t>
            </w:r>
          </w:p>
          <w:p w14:paraId="7C7EE15A" w14:textId="35A80FC1" w:rsidR="000B4DD0"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Eiropas slimību profilakses un kontroles centrs (turpmāk - ECDC)</w:t>
            </w:r>
            <w:r w:rsidR="007F5BE0" w:rsidRPr="007D5F2D">
              <w:rPr>
                <w:rFonts w:ascii="Times New Roman" w:eastAsia="Times New Roman" w:hAnsi="Times New Roman"/>
                <w:color w:val="000000" w:themeColor="text1"/>
                <w:sz w:val="24"/>
                <w:szCs w:val="24"/>
                <w:lang w:eastAsia="lv-LV"/>
              </w:rPr>
              <w:t>,</w:t>
            </w:r>
            <w:r w:rsidRPr="007D5F2D">
              <w:rPr>
                <w:rFonts w:ascii="Times New Roman" w:eastAsia="Times New Roman" w:hAnsi="Times New Roman"/>
                <w:color w:val="000000" w:themeColor="text1"/>
                <w:sz w:val="24"/>
                <w:szCs w:val="24"/>
                <w:lang w:eastAsia="lv-LV"/>
              </w:rPr>
              <w:t xml:space="preserve"> aprakstot Covid-19 izplatības riskus Eiropas Savienības, Eiropas ekonomikās zonas valstīs un Apvienotajā Karalistē norāda uz riskiem pastiprinātai cilvēku mobilitātei un pulcēšanās aktivitātei Ziemassvētku un gada nogales svinību laikā. ECDC norāda uz lielāku infekcijas pārnešanas risku, kas saistīts ar cilvēku pulcēšanos mazāk vēdinātās telpās zemākas āra temperatūras dēļ. Svētku svinēšana ir saistīta ar ēšanu un dzeršanu tiešā citu personu tuvumā, nelietojot mutes un deguna aizsegu</w:t>
            </w:r>
            <w:r w:rsidR="007F5BE0" w:rsidRPr="007D5F2D">
              <w:rPr>
                <w:rFonts w:ascii="Times New Roman" w:eastAsia="Times New Roman" w:hAnsi="Times New Roman"/>
                <w:color w:val="000000" w:themeColor="text1"/>
                <w:sz w:val="24"/>
                <w:szCs w:val="24"/>
                <w:lang w:eastAsia="lv-LV"/>
              </w:rPr>
              <w:t>,</w:t>
            </w:r>
            <w:r w:rsidRPr="007D5F2D">
              <w:rPr>
                <w:rFonts w:ascii="Times New Roman" w:eastAsia="Times New Roman" w:hAnsi="Times New Roman"/>
                <w:color w:val="000000" w:themeColor="text1"/>
                <w:sz w:val="24"/>
                <w:szCs w:val="24"/>
                <w:lang w:eastAsia="lv-LV"/>
              </w:rPr>
              <w:t xml:space="preserve"> un svinību laikā mazinās uzmanība piesardzības pasākumiem un</w:t>
            </w:r>
            <w:proofErr w:type="gramStart"/>
            <w:r w:rsidRPr="007D5F2D">
              <w:rPr>
                <w:rFonts w:ascii="Times New Roman" w:eastAsia="Times New Roman" w:hAnsi="Times New Roman"/>
                <w:color w:val="000000" w:themeColor="text1"/>
                <w:sz w:val="24"/>
                <w:szCs w:val="24"/>
                <w:lang w:eastAsia="lv-LV"/>
              </w:rPr>
              <w:t xml:space="preserve">  </w:t>
            </w:r>
            <w:proofErr w:type="gramEnd"/>
            <w:r w:rsidRPr="007D5F2D">
              <w:rPr>
                <w:rFonts w:ascii="Times New Roman" w:eastAsia="Times New Roman" w:hAnsi="Times New Roman"/>
                <w:color w:val="000000" w:themeColor="text1"/>
                <w:sz w:val="24"/>
                <w:szCs w:val="24"/>
                <w:lang w:eastAsia="lv-LV"/>
              </w:rPr>
              <w:t>cilvēki pieļauj vairāk riskantu situāciju, ko vēl pastiprina alkohola lietošana. Svinību laikā pastāv lielāka varbūtība, ka ģimenes svinību laikā cilvēki, kas ir no augstākas riska grupas saistībā ar Covid-19 izraisītiem veselības traucējumiem, nonāk kontaktā ar jaunāka vecuma cilvēkiem (bērniem, mazbērniem), kas pieder augstākai riska grupai no infekcijas pārnešanas aspekta.</w:t>
            </w:r>
          </w:p>
          <w:p w14:paraId="0B711ECE" w14:textId="77777777" w:rsidR="00934F3D" w:rsidRPr="007D5F2D" w:rsidRDefault="00934F3D" w:rsidP="000B4DD0">
            <w:pPr>
              <w:rPr>
                <w:rFonts w:ascii="Times New Roman" w:eastAsia="Times New Roman" w:hAnsi="Times New Roman"/>
                <w:sz w:val="24"/>
                <w:szCs w:val="24"/>
                <w:lang w:eastAsia="lv-LV"/>
              </w:rPr>
            </w:pPr>
          </w:p>
          <w:p w14:paraId="2A9833AE" w14:textId="77777777" w:rsidR="00934F3D"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lastRenderedPageBreak/>
              <w:t>Tāpat arī</w:t>
            </w:r>
            <w:proofErr w:type="gramStart"/>
            <w:r w:rsidRPr="007D5F2D">
              <w:rPr>
                <w:rFonts w:ascii="Times New Roman" w:eastAsia="Times New Roman" w:hAnsi="Times New Roman"/>
                <w:color w:val="000000" w:themeColor="text1"/>
                <w:sz w:val="24"/>
                <w:szCs w:val="24"/>
                <w:lang w:eastAsia="lv-LV"/>
              </w:rPr>
              <w:t xml:space="preserve">  </w:t>
            </w:r>
            <w:proofErr w:type="gramEnd"/>
            <w:r w:rsidRPr="007D5F2D">
              <w:rPr>
                <w:rFonts w:ascii="Times New Roman" w:eastAsia="Times New Roman" w:hAnsi="Times New Roman"/>
                <w:color w:val="000000" w:themeColor="text1"/>
                <w:sz w:val="24"/>
                <w:szCs w:val="24"/>
                <w:lang w:eastAsia="lv-LV"/>
              </w:rPr>
              <w:t>ECDC norāda uz riskiem, pastiprinātai cilvēku mobilitātei, tādējādi vairāk izmantojot sabiedrisko transportu, lai pārvietotos pilsētas robežās, no viena valsts reģiona uz citu reģionu vai arī dotos tālākos ceļojumos, piemēram uz slēpošanas kūrortiem. Tādējādi jāņem vērā arī šie papildus Covid-19 izplatības riski, kas saistīti ar ceļošanu.</w:t>
            </w:r>
          </w:p>
          <w:p w14:paraId="2C0368F6" w14:textId="1717014C" w:rsidR="00934F3D"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Vadoties no minētajiem apsvērumiem </w:t>
            </w:r>
            <w:bookmarkStart w:id="1" w:name="_Hlk58847762"/>
            <w:r w:rsidRPr="007D5F2D">
              <w:rPr>
                <w:rFonts w:ascii="Times New Roman" w:eastAsia="Times New Roman" w:hAnsi="Times New Roman"/>
                <w:color w:val="000000" w:themeColor="text1"/>
                <w:sz w:val="24"/>
                <w:szCs w:val="24"/>
                <w:lang w:eastAsia="lv-LV"/>
              </w:rPr>
              <w:t>ECDC norāda uz to, ka jābūt gataviem straujākam Covid-19 saslimstība</w:t>
            </w:r>
            <w:r w:rsidR="0006410F" w:rsidRPr="007D5F2D">
              <w:rPr>
                <w:rFonts w:ascii="Times New Roman" w:eastAsia="Times New Roman" w:hAnsi="Times New Roman"/>
                <w:color w:val="000000" w:themeColor="text1"/>
                <w:sz w:val="24"/>
                <w:szCs w:val="24"/>
                <w:lang w:eastAsia="lv-LV"/>
              </w:rPr>
              <w:t>s</w:t>
            </w:r>
            <w:r w:rsidRPr="007D5F2D">
              <w:rPr>
                <w:rFonts w:ascii="Times New Roman" w:eastAsia="Times New Roman" w:hAnsi="Times New Roman"/>
                <w:color w:val="000000" w:themeColor="text1"/>
                <w:sz w:val="24"/>
                <w:szCs w:val="24"/>
                <w:lang w:eastAsia="lv-LV"/>
              </w:rPr>
              <w:t xml:space="preserve"> pieaugumam pēc svētku periodā</w:t>
            </w:r>
            <w:proofErr w:type="gramStart"/>
            <w:r w:rsidRPr="007D5F2D">
              <w:rPr>
                <w:rFonts w:ascii="Times New Roman" w:eastAsia="Times New Roman" w:hAnsi="Times New Roman"/>
                <w:color w:val="000000" w:themeColor="text1"/>
                <w:sz w:val="24"/>
                <w:szCs w:val="24"/>
                <w:lang w:eastAsia="lv-LV"/>
              </w:rPr>
              <w:t xml:space="preserve"> .</w:t>
            </w:r>
            <w:proofErr w:type="gramEnd"/>
          </w:p>
          <w:p w14:paraId="19DE7B8A" w14:textId="77777777" w:rsidR="00934F3D" w:rsidRPr="007D5F2D" w:rsidRDefault="00934F3D" w:rsidP="007E4917">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Ņemot vērā minēto, </w:t>
            </w:r>
            <w:proofErr w:type="gramStart"/>
            <w:r w:rsidRPr="007D5F2D">
              <w:rPr>
                <w:rFonts w:ascii="Times New Roman" w:eastAsia="Times New Roman" w:hAnsi="Times New Roman"/>
                <w:color w:val="000000" w:themeColor="text1"/>
                <w:sz w:val="24"/>
                <w:szCs w:val="24"/>
                <w:lang w:eastAsia="lv-LV"/>
              </w:rPr>
              <w:t>lai mazinātu riskus nepārvaramam slogam veselības aprūpes</w:t>
            </w:r>
            <w:proofErr w:type="gramEnd"/>
            <w:r w:rsidRPr="007D5F2D">
              <w:rPr>
                <w:rFonts w:ascii="Times New Roman" w:eastAsia="Times New Roman" w:hAnsi="Times New Roman"/>
                <w:color w:val="000000" w:themeColor="text1"/>
                <w:sz w:val="24"/>
                <w:szCs w:val="24"/>
                <w:lang w:eastAsia="lv-LV"/>
              </w:rPr>
              <w:t xml:space="preserve"> sistēmai ir jāpanāk straujāka situācijas stabilizācija un saslimstības rādītāju mazināšanās.</w:t>
            </w:r>
          </w:p>
          <w:bookmarkEnd w:id="1"/>
          <w:p w14:paraId="45B11B6A" w14:textId="77777777" w:rsidR="001539E9" w:rsidRPr="007D5F2D" w:rsidRDefault="00934F3D" w:rsidP="00610531">
            <w:pPr>
              <w:autoSpaceDE w:val="0"/>
              <w:autoSpaceDN w:val="0"/>
              <w:adjustRightInd w:val="0"/>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Līdzšinējie pasākumi, ieviešot ārkārtējo situāciju, ir bijuši vērsti uz to, lai mazinātu cilvēku pulcēšanos, tomēr sabiedrības mobilitātes rādītāji liecina, ka cilvēki joprojām aktīvi pārvietojas no savām mājsaimniecībām uz tirdzniecības vietām, apskates vietām, kā arī turpina darba pienākumus klātienē, kā arī turpina izmantot sabiedrisko transportu. </w:t>
            </w:r>
          </w:p>
          <w:p w14:paraId="07360C44" w14:textId="3BE44C81" w:rsidR="00934F3D" w:rsidRPr="007D5F2D" w:rsidRDefault="001539E9" w:rsidP="00610531">
            <w:pPr>
              <w:autoSpaceDE w:val="0"/>
              <w:autoSpaceDN w:val="0"/>
              <w:adjustRightInd w:val="0"/>
              <w:spacing w:after="0" w:line="240" w:lineRule="auto"/>
              <w:jc w:val="both"/>
              <w:rPr>
                <w:rFonts w:ascii="Times New Roman" w:hAnsi="Times New Roman" w:cs="Times New Roman"/>
                <w:sz w:val="24"/>
                <w:szCs w:val="24"/>
              </w:rPr>
            </w:pPr>
            <w:r w:rsidRPr="007D5F2D">
              <w:rPr>
                <w:rFonts w:ascii="Times New Roman" w:eastAsia="Times New Roman" w:hAnsi="Times New Roman"/>
                <w:color w:val="000000" w:themeColor="text1"/>
                <w:sz w:val="24"/>
                <w:szCs w:val="24"/>
                <w:lang w:eastAsia="lv-LV"/>
              </w:rPr>
              <w:t xml:space="preserve">   </w:t>
            </w:r>
            <w:r w:rsidR="007E4917" w:rsidRPr="007D5F2D">
              <w:rPr>
                <w:rFonts w:ascii="Times New Roman" w:eastAsia="Times New Roman" w:hAnsi="Times New Roman"/>
                <w:color w:val="000000" w:themeColor="text1"/>
                <w:sz w:val="24"/>
                <w:szCs w:val="24"/>
                <w:lang w:eastAsia="lv-LV"/>
              </w:rPr>
              <w:t xml:space="preserve">Kā liecina </w:t>
            </w:r>
            <w:r w:rsidR="007E4917" w:rsidRPr="007D5F2D">
              <w:rPr>
                <w:rFonts w:ascii="Times New Roman" w:hAnsi="Times New Roman" w:cs="Times New Roman"/>
                <w:color w:val="0D0D0D"/>
                <w:sz w:val="24"/>
                <w:szCs w:val="24"/>
              </w:rPr>
              <w:t>L</w:t>
            </w:r>
            <w:r w:rsidRPr="007D5F2D">
              <w:rPr>
                <w:rFonts w:ascii="Times New Roman" w:hAnsi="Times New Roman" w:cs="Times New Roman"/>
                <w:color w:val="0D0D0D"/>
                <w:sz w:val="24"/>
                <w:szCs w:val="24"/>
              </w:rPr>
              <w:t>atvijas Universitātes</w:t>
            </w:r>
            <w:r w:rsidR="007E4917" w:rsidRPr="007D5F2D">
              <w:rPr>
                <w:rFonts w:ascii="Times New Roman" w:hAnsi="Times New Roman" w:cs="Times New Roman"/>
                <w:color w:val="0D0D0D"/>
                <w:sz w:val="24"/>
                <w:szCs w:val="24"/>
              </w:rPr>
              <w:t xml:space="preserve"> Biznesa, vadības un ekonomikas fakultātes dekān</w:t>
            </w:r>
            <w:r w:rsidRPr="007D5F2D">
              <w:rPr>
                <w:rFonts w:ascii="Times New Roman" w:hAnsi="Times New Roman" w:cs="Times New Roman"/>
                <w:color w:val="0D0D0D"/>
                <w:sz w:val="24"/>
                <w:szCs w:val="24"/>
              </w:rPr>
              <w:t>a</w:t>
            </w:r>
            <w:r w:rsidR="007E4917" w:rsidRPr="007D5F2D">
              <w:rPr>
                <w:rFonts w:ascii="Times New Roman" w:hAnsi="Times New Roman" w:cs="Times New Roman"/>
                <w:color w:val="0D0D0D"/>
                <w:sz w:val="24"/>
                <w:szCs w:val="24"/>
              </w:rPr>
              <w:t xml:space="preserve"> Gundara Bērziņa prezentētie dati par </w:t>
            </w:r>
            <w:r w:rsidR="007E4917" w:rsidRPr="007D5F2D">
              <w:rPr>
                <w:rFonts w:ascii="Times New Roman" w:hAnsi="Times New Roman" w:cs="Times New Roman"/>
                <w:sz w:val="24"/>
                <w:szCs w:val="24"/>
              </w:rPr>
              <w:t>iedzīvotāju uzvedības analīzi un C</w:t>
            </w:r>
            <w:r w:rsidRPr="007D5F2D">
              <w:rPr>
                <w:rFonts w:ascii="Times New Roman" w:hAnsi="Times New Roman" w:cs="Times New Roman"/>
                <w:sz w:val="24"/>
                <w:szCs w:val="24"/>
              </w:rPr>
              <w:t>ovid</w:t>
            </w:r>
            <w:r w:rsidR="007E4917" w:rsidRPr="007D5F2D">
              <w:rPr>
                <w:rFonts w:ascii="Times New Roman" w:hAnsi="Times New Roman" w:cs="Times New Roman"/>
                <w:sz w:val="24"/>
                <w:szCs w:val="24"/>
              </w:rPr>
              <w:t>-19 ārkārtas situācijas ierobežojumu efektivitātes novērtējumu, cilvēku aktivitāte Rīgas tirdzniecības centros</w:t>
            </w:r>
            <w:proofErr w:type="gramStart"/>
            <w:r w:rsidR="007E4917" w:rsidRPr="007D5F2D">
              <w:rPr>
                <w:rFonts w:ascii="Times New Roman" w:hAnsi="Times New Roman" w:cs="Times New Roman"/>
                <w:sz w:val="24"/>
                <w:szCs w:val="24"/>
              </w:rPr>
              <w:t xml:space="preserve">  </w:t>
            </w:r>
            <w:proofErr w:type="gramEnd"/>
            <w:r w:rsidR="007E4917" w:rsidRPr="007D5F2D">
              <w:rPr>
                <w:rFonts w:ascii="Times New Roman" w:hAnsi="Times New Roman" w:cs="Times New Roman"/>
                <w:sz w:val="24"/>
                <w:szCs w:val="24"/>
              </w:rPr>
              <w:t xml:space="preserve">šobrīd (ārkārtējās situācijas laikā) pat par 70-80% pārsniedz iedzīvotāju aktivitātes rādītājus, kas tika novēroti pirms Covid-19 krīzes. </w:t>
            </w:r>
            <w:r w:rsidR="00610531" w:rsidRPr="007D5F2D">
              <w:rPr>
                <w:rFonts w:ascii="Times New Roman" w:hAnsi="Times New Roman" w:cs="Times New Roman"/>
                <w:sz w:val="24"/>
                <w:szCs w:val="24"/>
              </w:rPr>
              <w:t xml:space="preserve"> </w:t>
            </w:r>
            <w:r w:rsidR="007E4917" w:rsidRPr="007D5F2D">
              <w:rPr>
                <w:rFonts w:ascii="Times New Roman" w:hAnsi="Times New Roman" w:cs="Times New Roman"/>
                <w:sz w:val="24"/>
                <w:szCs w:val="24"/>
              </w:rPr>
              <w:t xml:space="preserve">Iedzīvotāji aktīvi iepērkas darba dienās, savukārt brīvdienās (kad ir slēgti veikali, kas netirgo pārtiku un pirmās nepieciešamības preces) iepirkšanās intensitāte ir ievērojami zemāka. </w:t>
            </w:r>
            <w:r w:rsidR="00610531" w:rsidRPr="007D5F2D">
              <w:rPr>
                <w:rFonts w:ascii="Times New Roman" w:hAnsi="Times New Roman" w:cs="Times New Roman"/>
                <w:sz w:val="24"/>
                <w:szCs w:val="24"/>
              </w:rPr>
              <w:t>Latvijas iedzīvotāju mobilitātes datu analīze liecina, ka ieviešot līdzvērtīgus ierobežojumus kā pavasarī, neizdodas sasniegt līdzvērtīgu uzvedības maiņu. Tāpat mobilitātes datu analīze liecina, ka iedzīvotāji darba laikā arvien vairāk atrodas ekonomiskās aktivitātes centros, proti neizma</w:t>
            </w:r>
            <w:r w:rsidRPr="007D5F2D">
              <w:rPr>
                <w:rFonts w:ascii="Times New Roman" w:hAnsi="Times New Roman" w:cs="Times New Roman"/>
                <w:sz w:val="24"/>
                <w:szCs w:val="24"/>
              </w:rPr>
              <w:t>n</w:t>
            </w:r>
            <w:r w:rsidR="00610531" w:rsidRPr="007D5F2D">
              <w:rPr>
                <w:rFonts w:ascii="Times New Roman" w:hAnsi="Times New Roman" w:cs="Times New Roman"/>
                <w:sz w:val="24"/>
                <w:szCs w:val="24"/>
              </w:rPr>
              <w:t xml:space="preserve">to pietiekamā apjomā attālinātā darba iespējas. Savukārt brīvdienas joprojām aktīvi pavada novados ar izteiktu brīvdienu aktivitātes tendenci. Tas liecina, ka joprojām </w:t>
            </w:r>
            <w:r w:rsidR="00072BC9" w:rsidRPr="007D5F2D">
              <w:rPr>
                <w:rFonts w:ascii="Times New Roman" w:hAnsi="Times New Roman" w:cs="Times New Roman"/>
                <w:sz w:val="24"/>
                <w:szCs w:val="24"/>
              </w:rPr>
              <w:t xml:space="preserve">aktīvi tiek izmantots sabiedriskais transports, cilvēki pulcējas sabiedriskās vietās </w:t>
            </w:r>
            <w:proofErr w:type="spellStart"/>
            <w:r w:rsidR="00072BC9" w:rsidRPr="007D5F2D">
              <w:rPr>
                <w:rFonts w:ascii="Times New Roman" w:hAnsi="Times New Roman" w:cs="Times New Roman"/>
                <w:sz w:val="24"/>
                <w:szCs w:val="24"/>
              </w:rPr>
              <w:t>utml</w:t>
            </w:r>
            <w:proofErr w:type="spellEnd"/>
            <w:r w:rsidR="00072BC9" w:rsidRPr="007D5F2D">
              <w:rPr>
                <w:rFonts w:ascii="Times New Roman" w:hAnsi="Times New Roman" w:cs="Times New Roman"/>
                <w:sz w:val="24"/>
                <w:szCs w:val="24"/>
              </w:rPr>
              <w:t>.</w:t>
            </w:r>
          </w:p>
          <w:p w14:paraId="3F8149D8" w14:textId="413A925B" w:rsidR="00934F3D" w:rsidRPr="007D5F2D" w:rsidRDefault="001539E9"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w:t>
            </w:r>
            <w:proofErr w:type="gramStart"/>
            <w:r w:rsidR="00934F3D" w:rsidRPr="007D5F2D">
              <w:rPr>
                <w:rFonts w:ascii="Times New Roman" w:eastAsia="Times New Roman" w:hAnsi="Times New Roman"/>
                <w:color w:val="000000" w:themeColor="text1"/>
                <w:sz w:val="24"/>
                <w:szCs w:val="24"/>
                <w:lang w:eastAsia="lv-LV"/>
              </w:rPr>
              <w:t>Kā liecina citu</w:t>
            </w:r>
            <w:proofErr w:type="gramEnd"/>
            <w:r w:rsidR="00934F3D" w:rsidRPr="007D5F2D">
              <w:rPr>
                <w:rFonts w:ascii="Times New Roman" w:eastAsia="Times New Roman" w:hAnsi="Times New Roman"/>
                <w:color w:val="000000" w:themeColor="text1"/>
                <w:sz w:val="24"/>
                <w:szCs w:val="24"/>
                <w:lang w:eastAsia="lv-LV"/>
              </w:rPr>
              <w:t xml:space="preserve"> valstu pieredze (Beļģijas, Francijas, Īrijas, Austrija</w:t>
            </w:r>
            <w:r w:rsidRPr="007D5F2D">
              <w:rPr>
                <w:rFonts w:ascii="Times New Roman" w:eastAsia="Times New Roman" w:hAnsi="Times New Roman"/>
                <w:color w:val="000000" w:themeColor="text1"/>
                <w:sz w:val="24"/>
                <w:szCs w:val="24"/>
                <w:lang w:eastAsia="lv-LV"/>
              </w:rPr>
              <w:t>s</w:t>
            </w:r>
            <w:r w:rsidR="00934F3D" w:rsidRPr="007D5F2D">
              <w:rPr>
                <w:rFonts w:ascii="Times New Roman" w:eastAsia="Times New Roman" w:hAnsi="Times New Roman"/>
                <w:color w:val="000000" w:themeColor="text1"/>
                <w:sz w:val="24"/>
                <w:szCs w:val="24"/>
                <w:lang w:eastAsia="lv-LV"/>
              </w:rPr>
              <w:t>, Čehija</w:t>
            </w:r>
            <w:r w:rsidRPr="007D5F2D">
              <w:rPr>
                <w:rFonts w:ascii="Times New Roman" w:eastAsia="Times New Roman" w:hAnsi="Times New Roman"/>
                <w:color w:val="000000" w:themeColor="text1"/>
                <w:sz w:val="24"/>
                <w:szCs w:val="24"/>
                <w:lang w:eastAsia="lv-LV"/>
              </w:rPr>
              <w:t>s</w:t>
            </w:r>
            <w:r w:rsidR="00934F3D" w:rsidRPr="007D5F2D">
              <w:rPr>
                <w:rFonts w:ascii="Times New Roman" w:eastAsia="Times New Roman" w:hAnsi="Times New Roman"/>
                <w:color w:val="000000" w:themeColor="text1"/>
                <w:sz w:val="24"/>
                <w:szCs w:val="24"/>
                <w:lang w:eastAsia="lv-LV"/>
              </w:rPr>
              <w:t>, Grieķija</w:t>
            </w:r>
            <w:r w:rsidRPr="007D5F2D">
              <w:rPr>
                <w:rFonts w:ascii="Times New Roman" w:eastAsia="Times New Roman" w:hAnsi="Times New Roman"/>
                <w:color w:val="000000" w:themeColor="text1"/>
                <w:sz w:val="24"/>
                <w:szCs w:val="24"/>
                <w:lang w:eastAsia="lv-LV"/>
              </w:rPr>
              <w:t>s</w:t>
            </w:r>
            <w:r w:rsidR="00934F3D" w:rsidRPr="007D5F2D">
              <w:rPr>
                <w:rFonts w:ascii="Times New Roman" w:eastAsia="Times New Roman" w:hAnsi="Times New Roman"/>
                <w:color w:val="000000" w:themeColor="text1"/>
                <w:sz w:val="24"/>
                <w:szCs w:val="24"/>
                <w:lang w:eastAsia="lv-LV"/>
              </w:rPr>
              <w:t>, Itālija</w:t>
            </w:r>
            <w:r w:rsidRPr="007D5F2D">
              <w:rPr>
                <w:rFonts w:ascii="Times New Roman" w:eastAsia="Times New Roman" w:hAnsi="Times New Roman"/>
                <w:color w:val="000000" w:themeColor="text1"/>
                <w:sz w:val="24"/>
                <w:szCs w:val="24"/>
                <w:lang w:eastAsia="lv-LV"/>
              </w:rPr>
              <w:t>s</w:t>
            </w:r>
            <w:r w:rsidR="00934F3D" w:rsidRPr="007D5F2D">
              <w:rPr>
                <w:rFonts w:ascii="Times New Roman" w:eastAsia="Times New Roman" w:hAnsi="Times New Roman"/>
                <w:color w:val="000000" w:themeColor="text1"/>
                <w:sz w:val="24"/>
                <w:szCs w:val="24"/>
                <w:lang w:eastAsia="lv-LV"/>
              </w:rPr>
              <w:t>)</w:t>
            </w:r>
            <w:r w:rsidRPr="007D5F2D">
              <w:rPr>
                <w:rFonts w:ascii="Times New Roman" w:eastAsia="Times New Roman" w:hAnsi="Times New Roman"/>
                <w:color w:val="000000" w:themeColor="text1"/>
                <w:sz w:val="24"/>
                <w:szCs w:val="24"/>
                <w:lang w:eastAsia="lv-LV"/>
              </w:rPr>
              <w:t>,</w:t>
            </w:r>
            <w:r w:rsidR="00934F3D" w:rsidRPr="007D5F2D">
              <w:rPr>
                <w:rFonts w:ascii="Times New Roman" w:eastAsia="Times New Roman" w:hAnsi="Times New Roman"/>
                <w:color w:val="000000" w:themeColor="text1"/>
                <w:sz w:val="24"/>
                <w:szCs w:val="24"/>
                <w:lang w:eastAsia="lv-LV"/>
              </w:rPr>
              <w:t xml:space="preserve"> nosakot stingrus cilvēku pārvietošanās ierobežojumus, tai skaitā ierobežojot tirdzniecību, pasākumu norisi un ierobežojot cilvēku pārvietošanos nakts laikā vai starp valsts reģioniem, tiek panākta Covid-19 saslimstības strauja samazināšanās.</w:t>
            </w:r>
          </w:p>
          <w:p w14:paraId="5DFAC5B3" w14:textId="4792872E" w:rsidR="00934F3D" w:rsidRPr="007D5F2D" w:rsidRDefault="001539E9"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Ņemot vērā</w:t>
            </w:r>
            <w:r w:rsidR="00934F3D" w:rsidRPr="007D5F2D">
              <w:rPr>
                <w:rFonts w:ascii="Times New Roman" w:eastAsia="Times New Roman" w:hAnsi="Times New Roman"/>
                <w:color w:val="000000" w:themeColor="text1"/>
                <w:sz w:val="24"/>
                <w:szCs w:val="24"/>
                <w:lang w:eastAsia="lv-LV"/>
              </w:rPr>
              <w:t xml:space="preserve"> iepriekš minēt</w:t>
            </w:r>
            <w:r w:rsidRPr="007D5F2D">
              <w:rPr>
                <w:rFonts w:ascii="Times New Roman" w:eastAsia="Times New Roman" w:hAnsi="Times New Roman"/>
                <w:color w:val="000000" w:themeColor="text1"/>
                <w:sz w:val="24"/>
                <w:szCs w:val="24"/>
                <w:lang w:eastAsia="lv-LV"/>
              </w:rPr>
              <w:t>o</w:t>
            </w:r>
            <w:r w:rsidR="00934F3D" w:rsidRPr="007D5F2D">
              <w:rPr>
                <w:rFonts w:ascii="Times New Roman" w:eastAsia="Times New Roman" w:hAnsi="Times New Roman"/>
                <w:color w:val="000000" w:themeColor="text1"/>
                <w:sz w:val="24"/>
                <w:szCs w:val="24"/>
                <w:lang w:eastAsia="lv-LV"/>
              </w:rPr>
              <w:t xml:space="preserve">, tuvākajā laikā ir nepieciešams ieviest nosacījumus, lai vēl vairāk mazinātu cilvēku mobilitāti ārpus savas mājsaimniecības un īpaši mazinātu cilvēku pulcēšanos iekštelpās. </w:t>
            </w:r>
          </w:p>
          <w:p w14:paraId="787F42E2" w14:textId="2335BF38" w:rsidR="00934F3D" w:rsidRPr="007D5F2D" w:rsidRDefault="001539E9"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w:t>
            </w:r>
            <w:r w:rsidR="00934F3D" w:rsidRPr="007D5F2D">
              <w:rPr>
                <w:rFonts w:ascii="Times New Roman" w:eastAsia="Times New Roman" w:hAnsi="Times New Roman"/>
                <w:color w:val="000000" w:themeColor="text1"/>
                <w:sz w:val="24"/>
                <w:szCs w:val="24"/>
                <w:lang w:eastAsia="lv-LV"/>
              </w:rPr>
              <w:t xml:space="preserve">Tādēļ uz </w:t>
            </w:r>
            <w:r w:rsidR="00072BC9" w:rsidRPr="007D5F2D">
              <w:rPr>
                <w:rFonts w:ascii="Times New Roman" w:eastAsia="Times New Roman" w:hAnsi="Times New Roman"/>
                <w:color w:val="000000" w:themeColor="text1"/>
                <w:sz w:val="24"/>
                <w:szCs w:val="24"/>
                <w:lang w:eastAsia="lv-LV"/>
              </w:rPr>
              <w:t>trīs</w:t>
            </w:r>
            <w:r w:rsidR="00934F3D" w:rsidRPr="007D5F2D">
              <w:rPr>
                <w:rFonts w:ascii="Times New Roman" w:eastAsia="Times New Roman" w:hAnsi="Times New Roman"/>
                <w:color w:val="000000" w:themeColor="text1"/>
                <w:sz w:val="24"/>
                <w:szCs w:val="24"/>
                <w:lang w:eastAsia="lv-LV"/>
              </w:rPr>
              <w:t xml:space="preserve"> nedēļu periodu ir jānosaka papildus drošības un piesardzības pasākumi, </w:t>
            </w:r>
            <w:r w:rsidR="00361F4D" w:rsidRPr="007D5F2D">
              <w:rPr>
                <w:rFonts w:ascii="Times New Roman" w:eastAsia="Times New Roman" w:hAnsi="Times New Roman"/>
                <w:color w:val="000000" w:themeColor="text1"/>
                <w:sz w:val="24"/>
                <w:szCs w:val="24"/>
                <w:lang w:eastAsia="lv-LV"/>
              </w:rPr>
              <w:t xml:space="preserve">un jāveic grozījumi </w:t>
            </w:r>
            <w:r w:rsidR="00361F4D" w:rsidRPr="007D5F2D">
              <w:rPr>
                <w:rFonts w:ascii="Times New Roman" w:eastAsia="Times New Roman" w:hAnsi="Times New Roman" w:cs="Times New Roman"/>
                <w:bCs/>
                <w:iCs/>
                <w:color w:val="000000" w:themeColor="text1"/>
                <w:sz w:val="24"/>
                <w:szCs w:val="24"/>
                <w:lang w:eastAsia="lv-LV"/>
              </w:rPr>
              <w:t xml:space="preserve">Ministru kabineta 2020. gada </w:t>
            </w:r>
            <w:proofErr w:type="gramStart"/>
            <w:r w:rsidR="00361F4D" w:rsidRPr="007D5F2D">
              <w:rPr>
                <w:rFonts w:ascii="Times New Roman" w:eastAsia="Times New Roman" w:hAnsi="Times New Roman" w:cs="Times New Roman"/>
                <w:bCs/>
                <w:iCs/>
                <w:color w:val="000000" w:themeColor="text1"/>
                <w:sz w:val="24"/>
                <w:szCs w:val="24"/>
                <w:lang w:eastAsia="lv-LV"/>
              </w:rPr>
              <w:t>6.novembra</w:t>
            </w:r>
            <w:proofErr w:type="gramEnd"/>
            <w:r w:rsidR="00361F4D" w:rsidRPr="007D5F2D">
              <w:rPr>
                <w:rFonts w:ascii="Times New Roman" w:eastAsia="Times New Roman" w:hAnsi="Times New Roman" w:cs="Times New Roman"/>
                <w:bCs/>
                <w:iCs/>
                <w:color w:val="000000" w:themeColor="text1"/>
                <w:sz w:val="24"/>
                <w:szCs w:val="24"/>
                <w:lang w:eastAsia="lv-LV"/>
              </w:rPr>
              <w:t xml:space="preserve"> rīkojumā Nr.655 “Par ārkārtējās situācijas </w:t>
            </w:r>
            <w:proofErr w:type="spellStart"/>
            <w:r w:rsidR="00361F4D" w:rsidRPr="007D5F2D">
              <w:rPr>
                <w:rFonts w:ascii="Times New Roman" w:eastAsia="Times New Roman" w:hAnsi="Times New Roman" w:cs="Times New Roman"/>
                <w:bCs/>
                <w:iCs/>
                <w:color w:val="000000" w:themeColor="text1"/>
                <w:sz w:val="24"/>
                <w:szCs w:val="24"/>
                <w:lang w:eastAsia="lv-LV"/>
              </w:rPr>
              <w:t>izsludināšanu”(turpmāk</w:t>
            </w:r>
            <w:proofErr w:type="spellEnd"/>
            <w:r w:rsidR="00361F4D" w:rsidRPr="007D5F2D">
              <w:rPr>
                <w:rFonts w:ascii="Times New Roman" w:eastAsia="Times New Roman" w:hAnsi="Times New Roman" w:cs="Times New Roman"/>
                <w:bCs/>
                <w:iCs/>
                <w:color w:val="000000" w:themeColor="text1"/>
                <w:sz w:val="24"/>
                <w:szCs w:val="24"/>
                <w:lang w:eastAsia="lv-LV"/>
              </w:rPr>
              <w:t xml:space="preserve"> – Rīkojums), </w:t>
            </w:r>
            <w:r w:rsidR="00934F3D" w:rsidRPr="007D5F2D">
              <w:rPr>
                <w:rFonts w:ascii="Times New Roman" w:eastAsia="Times New Roman" w:hAnsi="Times New Roman"/>
                <w:color w:val="000000" w:themeColor="text1"/>
                <w:sz w:val="24"/>
                <w:szCs w:val="24"/>
                <w:lang w:eastAsia="lv-LV"/>
              </w:rPr>
              <w:t>kas paredz to, ka:</w:t>
            </w:r>
          </w:p>
          <w:p w14:paraId="4535D6A8" w14:textId="77777777" w:rsidR="00934F3D"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p>
          <w:p w14:paraId="3DA5A4C0" w14:textId="6CDBB3D2" w:rsidR="00E75872" w:rsidRPr="007D5F2D" w:rsidRDefault="00934F3D" w:rsidP="00B43B6B">
            <w:pPr>
              <w:spacing w:after="0" w:line="240" w:lineRule="auto"/>
              <w:jc w:val="both"/>
              <w:rPr>
                <w:rFonts w:ascii="Times New Roman" w:eastAsia="Times New Roman" w:hAnsi="Times New Roman"/>
                <w:sz w:val="24"/>
                <w:szCs w:val="24"/>
                <w:lang w:eastAsia="lv-LV"/>
              </w:rPr>
            </w:pPr>
            <w:proofErr w:type="gramStart"/>
            <w:r w:rsidRPr="007D5F2D">
              <w:rPr>
                <w:rFonts w:ascii="Times New Roman" w:eastAsia="Times New Roman" w:hAnsi="Times New Roman"/>
                <w:b/>
                <w:bCs/>
                <w:color w:val="000000" w:themeColor="text1"/>
                <w:sz w:val="24"/>
                <w:szCs w:val="24"/>
                <w:lang w:eastAsia="lv-LV"/>
              </w:rPr>
              <w:t>1.</w:t>
            </w:r>
            <w:r w:rsidRPr="007D5F2D">
              <w:rPr>
                <w:rFonts w:ascii="Times New Roman" w:eastAsia="Times New Roman" w:hAnsi="Times New Roman"/>
                <w:color w:val="000000" w:themeColor="text1"/>
                <w:sz w:val="24"/>
                <w:szCs w:val="24"/>
                <w:lang w:eastAsia="lv-LV"/>
              </w:rPr>
              <w:t>Papildus apturētajiem saimnieciskajiem pakalpojumiem (izklaidei, labsajūtas pakalpojumiem un tetovēšanas un pīrsinga pakalpojumiem)</w:t>
            </w:r>
            <w:proofErr w:type="gramEnd"/>
            <w:r w:rsidRPr="007D5F2D">
              <w:rPr>
                <w:rFonts w:ascii="Times New Roman" w:eastAsia="Times New Roman" w:hAnsi="Times New Roman"/>
                <w:color w:val="000000" w:themeColor="text1"/>
                <w:sz w:val="24"/>
                <w:szCs w:val="24"/>
                <w:lang w:eastAsia="lv-LV"/>
              </w:rPr>
              <w:t xml:space="preserve"> tiek ierobežoti arī citi pakalpojumi, kas nav vitāli svarīgi cilvēku ikdienas dzīvei</w:t>
            </w:r>
            <w:r w:rsidR="00072BC9" w:rsidRPr="007D5F2D">
              <w:rPr>
                <w:rFonts w:ascii="Times New Roman" w:eastAsia="Times New Roman" w:hAnsi="Times New Roman"/>
                <w:color w:val="000000" w:themeColor="text1"/>
                <w:sz w:val="24"/>
                <w:szCs w:val="24"/>
                <w:lang w:eastAsia="lv-LV"/>
              </w:rPr>
              <w:t>.</w:t>
            </w:r>
            <w:r w:rsidR="00E75872" w:rsidRPr="007D5F2D">
              <w:rPr>
                <w:rFonts w:ascii="Times New Roman" w:eastAsia="Times New Roman" w:hAnsi="Times New Roman"/>
                <w:color w:val="000000" w:themeColor="text1"/>
                <w:sz w:val="24"/>
                <w:szCs w:val="24"/>
                <w:lang w:eastAsia="lv-LV"/>
              </w:rPr>
              <w:t xml:space="preserve"> </w:t>
            </w:r>
            <w:r w:rsidR="00E75872" w:rsidRPr="007D5F2D">
              <w:rPr>
                <w:rFonts w:ascii="Times New Roman" w:eastAsia="Times New Roman" w:hAnsi="Times New Roman"/>
                <w:sz w:val="24"/>
                <w:szCs w:val="24"/>
                <w:lang w:eastAsia="lv-LV"/>
              </w:rPr>
              <w:t xml:space="preserve">Klātienes pakalpojumu sniegšanas ierobežošana samazinās personu kontaktēšanās intensitāti. Apzinot šobrīd </w:t>
            </w:r>
            <w:r w:rsidR="001D6369" w:rsidRPr="007D5F2D">
              <w:rPr>
                <w:rFonts w:ascii="Times New Roman" w:eastAsia="Times New Roman" w:hAnsi="Times New Roman"/>
                <w:sz w:val="24"/>
                <w:szCs w:val="24"/>
                <w:lang w:eastAsia="lv-LV"/>
              </w:rPr>
              <w:t xml:space="preserve">sabiedrības plašāk </w:t>
            </w:r>
            <w:r w:rsidR="00E75872" w:rsidRPr="007D5F2D">
              <w:rPr>
                <w:rFonts w:ascii="Times New Roman" w:eastAsia="Times New Roman" w:hAnsi="Times New Roman"/>
                <w:sz w:val="24"/>
                <w:szCs w:val="24"/>
                <w:lang w:eastAsia="lv-LV"/>
              </w:rPr>
              <w:t>izmantotos pakalpojumus un izvērtējot tos pēc šādiem kritērijiem – cilvēku savstarpējais kontakts pakalpojuma sniegšanas laikā (uzturēšanās uzgaidāmajā telpā un pakalpojuma sniegšanas laiks – ilgāk par 15 minūtēm), ir vai nav tiešs kontakts pakalpojuma sniegšanas laikā</w:t>
            </w:r>
            <w:r w:rsidR="001D6369" w:rsidRPr="007D5F2D">
              <w:rPr>
                <w:rFonts w:ascii="Times New Roman" w:eastAsia="Times New Roman" w:hAnsi="Times New Roman"/>
                <w:sz w:val="24"/>
                <w:szCs w:val="24"/>
                <w:lang w:eastAsia="lv-LV"/>
              </w:rPr>
              <w:t xml:space="preserve"> (tai skaitā</w:t>
            </w:r>
            <w:proofErr w:type="gramStart"/>
            <w:r w:rsidR="001D6369" w:rsidRPr="007D5F2D">
              <w:rPr>
                <w:rFonts w:ascii="Times New Roman" w:eastAsia="Times New Roman" w:hAnsi="Times New Roman"/>
                <w:sz w:val="24"/>
                <w:szCs w:val="24"/>
                <w:lang w:eastAsia="lv-LV"/>
              </w:rPr>
              <w:t xml:space="preserve"> vai ir</w:t>
            </w:r>
            <w:proofErr w:type="gramEnd"/>
            <w:r w:rsidR="001D6369" w:rsidRPr="007D5F2D">
              <w:rPr>
                <w:rFonts w:ascii="Times New Roman" w:eastAsia="Times New Roman" w:hAnsi="Times New Roman"/>
                <w:sz w:val="24"/>
                <w:szCs w:val="24"/>
                <w:lang w:eastAsia="lv-LV"/>
              </w:rPr>
              <w:t xml:space="preserve"> iespējams lietot sejas masku pakalpojuma sniegšanas laikā)</w:t>
            </w:r>
            <w:r w:rsidR="00E75872" w:rsidRPr="007D5F2D">
              <w:rPr>
                <w:rFonts w:ascii="Times New Roman" w:eastAsia="Times New Roman" w:hAnsi="Times New Roman"/>
                <w:sz w:val="24"/>
                <w:szCs w:val="24"/>
                <w:lang w:eastAsia="lv-LV"/>
              </w:rPr>
              <w:t>, kā arī pakalpojuma nozīmīgu</w:t>
            </w:r>
            <w:r w:rsidR="001D6369" w:rsidRPr="007D5F2D">
              <w:rPr>
                <w:rFonts w:ascii="Times New Roman" w:eastAsia="Times New Roman" w:hAnsi="Times New Roman"/>
                <w:sz w:val="24"/>
                <w:szCs w:val="24"/>
                <w:lang w:eastAsia="lv-LV"/>
              </w:rPr>
              <w:t>mu</w:t>
            </w:r>
            <w:r w:rsidR="00E75872" w:rsidRPr="007D5F2D">
              <w:rPr>
                <w:rFonts w:ascii="Times New Roman" w:eastAsia="Times New Roman" w:hAnsi="Times New Roman"/>
                <w:sz w:val="24"/>
                <w:szCs w:val="24"/>
                <w:lang w:eastAsia="lv-LV"/>
              </w:rPr>
              <w:t xml:space="preserve"> cilvēka ikdienas dzīvē un t</w:t>
            </w:r>
            <w:r w:rsidR="001D6369" w:rsidRPr="007D5F2D">
              <w:rPr>
                <w:rFonts w:ascii="Times New Roman" w:eastAsia="Times New Roman" w:hAnsi="Times New Roman"/>
                <w:sz w:val="24"/>
                <w:szCs w:val="24"/>
                <w:lang w:eastAsia="lv-LV"/>
              </w:rPr>
              <w:t>o</w:t>
            </w:r>
            <w:r w:rsidR="00E75872" w:rsidRPr="007D5F2D">
              <w:rPr>
                <w:rFonts w:ascii="Times New Roman" w:eastAsia="Times New Roman" w:hAnsi="Times New Roman"/>
                <w:sz w:val="24"/>
                <w:szCs w:val="24"/>
                <w:lang w:eastAsia="lv-LV"/>
              </w:rPr>
              <w:t xml:space="preserve"> vai cilvēks 3 nedēļu laikā va</w:t>
            </w:r>
            <w:r w:rsidR="001D6369" w:rsidRPr="007D5F2D">
              <w:rPr>
                <w:rFonts w:ascii="Times New Roman" w:eastAsia="Times New Roman" w:hAnsi="Times New Roman"/>
                <w:sz w:val="24"/>
                <w:szCs w:val="24"/>
                <w:lang w:eastAsia="lv-LV"/>
              </w:rPr>
              <w:t>r</w:t>
            </w:r>
            <w:r w:rsidR="00E75872" w:rsidRPr="007D5F2D">
              <w:rPr>
                <w:rFonts w:ascii="Times New Roman" w:eastAsia="Times New Roman" w:hAnsi="Times New Roman"/>
                <w:sz w:val="24"/>
                <w:szCs w:val="24"/>
                <w:lang w:eastAsia="lv-LV"/>
              </w:rPr>
              <w:t xml:space="preserve"> iztikt bez konkrētā pakalpojuma, tika secināts, ka papildus jau noteiktajiem ierobežojumiem saimnieciskā pakalpojuma sniedzējiem (pīrsinga, tetovēšanas, izklaides, SPA un labsajūta</w:t>
            </w:r>
            <w:r w:rsidR="008B3B95" w:rsidRPr="007D5F2D">
              <w:rPr>
                <w:rFonts w:ascii="Times New Roman" w:eastAsia="Times New Roman" w:hAnsi="Times New Roman"/>
                <w:sz w:val="24"/>
                <w:szCs w:val="24"/>
                <w:lang w:eastAsia="lv-LV"/>
              </w:rPr>
              <w:t>s pakalpojumiem)</w:t>
            </w:r>
            <w:r w:rsidR="00E75872" w:rsidRPr="007D5F2D">
              <w:rPr>
                <w:rFonts w:ascii="Times New Roman" w:eastAsia="Times New Roman" w:hAnsi="Times New Roman"/>
                <w:sz w:val="24"/>
                <w:szCs w:val="24"/>
                <w:lang w:eastAsia="lv-LV"/>
              </w:rPr>
              <w:t xml:space="preserve">, sabiedrības kontaktēšanās intensitātes mazināšanai </w:t>
            </w:r>
            <w:r w:rsidR="008B3B95" w:rsidRPr="007D5F2D">
              <w:rPr>
                <w:rFonts w:ascii="Times New Roman" w:eastAsia="Times New Roman" w:hAnsi="Times New Roman"/>
                <w:sz w:val="24"/>
                <w:szCs w:val="24"/>
                <w:lang w:eastAsia="lv-LV"/>
              </w:rPr>
              <w:t xml:space="preserve">uz 3 nedēļām ir jāaptur </w:t>
            </w:r>
            <w:r w:rsidR="00E75872" w:rsidRPr="007D5F2D">
              <w:rPr>
                <w:rFonts w:ascii="Times New Roman" w:eastAsia="Times New Roman" w:hAnsi="Times New Roman"/>
                <w:sz w:val="24"/>
                <w:szCs w:val="24"/>
                <w:lang w:eastAsia="lv-LV"/>
              </w:rPr>
              <w:t>skaistumkopš</w:t>
            </w:r>
            <w:r w:rsidR="008B3B95" w:rsidRPr="007D5F2D">
              <w:rPr>
                <w:rFonts w:ascii="Times New Roman" w:eastAsia="Times New Roman" w:hAnsi="Times New Roman"/>
                <w:sz w:val="24"/>
                <w:szCs w:val="24"/>
                <w:lang w:eastAsia="lv-LV"/>
              </w:rPr>
              <w:t>a</w:t>
            </w:r>
            <w:r w:rsidR="00E75872" w:rsidRPr="007D5F2D">
              <w:rPr>
                <w:rFonts w:ascii="Times New Roman" w:eastAsia="Times New Roman" w:hAnsi="Times New Roman"/>
                <w:sz w:val="24"/>
                <w:szCs w:val="24"/>
                <w:lang w:eastAsia="lv-LV"/>
              </w:rPr>
              <w:t>nas pakalp</w:t>
            </w:r>
            <w:r w:rsidR="008B3B95" w:rsidRPr="007D5F2D">
              <w:rPr>
                <w:rFonts w:ascii="Times New Roman" w:eastAsia="Times New Roman" w:hAnsi="Times New Roman"/>
                <w:sz w:val="24"/>
                <w:szCs w:val="24"/>
                <w:lang w:eastAsia="lv-LV"/>
              </w:rPr>
              <w:t>o</w:t>
            </w:r>
            <w:r w:rsidR="00E75872" w:rsidRPr="007D5F2D">
              <w:rPr>
                <w:rFonts w:ascii="Times New Roman" w:eastAsia="Times New Roman" w:hAnsi="Times New Roman"/>
                <w:sz w:val="24"/>
                <w:szCs w:val="24"/>
                <w:lang w:eastAsia="lv-LV"/>
              </w:rPr>
              <w:t>jum</w:t>
            </w:r>
            <w:r w:rsidR="008B3B95" w:rsidRPr="007D5F2D">
              <w:rPr>
                <w:rFonts w:ascii="Times New Roman" w:eastAsia="Times New Roman" w:hAnsi="Times New Roman"/>
                <w:sz w:val="24"/>
                <w:szCs w:val="24"/>
                <w:lang w:eastAsia="lv-LV"/>
              </w:rPr>
              <w:t>i, foto pakalpojumi (izņemot foto dokumentiem) un sporta nomas pakalpojumi iekštelpās.</w:t>
            </w:r>
          </w:p>
          <w:p w14:paraId="477500A9" w14:textId="5179830F" w:rsidR="00B43B6B" w:rsidRPr="007D5F2D" w:rsidRDefault="00072BC9" w:rsidP="00B43B6B">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Kā liecina Slim</w:t>
            </w:r>
            <w:r w:rsidR="008D2AE4" w:rsidRPr="007D5F2D">
              <w:rPr>
                <w:rFonts w:ascii="Times New Roman" w:eastAsia="Times New Roman" w:hAnsi="Times New Roman"/>
                <w:color w:val="000000" w:themeColor="text1"/>
                <w:sz w:val="24"/>
                <w:szCs w:val="24"/>
                <w:lang w:eastAsia="lv-LV"/>
              </w:rPr>
              <w:t>ī</w:t>
            </w:r>
            <w:r w:rsidRPr="007D5F2D">
              <w:rPr>
                <w:rFonts w:ascii="Times New Roman" w:eastAsia="Times New Roman" w:hAnsi="Times New Roman"/>
                <w:color w:val="000000" w:themeColor="text1"/>
                <w:sz w:val="24"/>
                <w:szCs w:val="24"/>
                <w:lang w:eastAsia="lv-LV"/>
              </w:rPr>
              <w:t xml:space="preserve">bu profilakses </w:t>
            </w:r>
            <w:r w:rsidR="008D2AE4" w:rsidRPr="007D5F2D">
              <w:rPr>
                <w:rFonts w:ascii="Times New Roman" w:eastAsia="Times New Roman" w:hAnsi="Times New Roman"/>
                <w:color w:val="000000" w:themeColor="text1"/>
                <w:sz w:val="24"/>
                <w:szCs w:val="24"/>
                <w:lang w:eastAsia="lv-LV"/>
              </w:rPr>
              <w:t>un kontroles centra</w:t>
            </w:r>
            <w:r w:rsidR="00E903B6" w:rsidRPr="007D5F2D">
              <w:rPr>
                <w:rFonts w:ascii="Times New Roman" w:eastAsia="Times New Roman" w:hAnsi="Times New Roman"/>
                <w:color w:val="000000" w:themeColor="text1"/>
                <w:sz w:val="24"/>
                <w:szCs w:val="24"/>
                <w:lang w:eastAsia="lv-LV"/>
              </w:rPr>
              <w:t xml:space="preserve"> (SPKC)</w:t>
            </w:r>
            <w:r w:rsidR="008D2AE4" w:rsidRPr="007D5F2D">
              <w:rPr>
                <w:rFonts w:ascii="Times New Roman" w:eastAsia="Times New Roman" w:hAnsi="Times New Roman"/>
                <w:color w:val="000000" w:themeColor="text1"/>
                <w:sz w:val="24"/>
                <w:szCs w:val="24"/>
                <w:lang w:eastAsia="lv-LV"/>
              </w:rPr>
              <w:t xml:space="preserve"> veiktā Covid-19 saslimstības rādītāju analīze, laika posmā no 4</w:t>
            </w:r>
            <w:r w:rsidR="00E903B6" w:rsidRPr="007D5F2D">
              <w:rPr>
                <w:rFonts w:ascii="Times New Roman" w:eastAsia="Times New Roman" w:hAnsi="Times New Roman"/>
                <w:color w:val="000000" w:themeColor="text1"/>
                <w:sz w:val="24"/>
                <w:szCs w:val="24"/>
                <w:lang w:eastAsia="lv-LV"/>
              </w:rPr>
              <w:t>5</w:t>
            </w:r>
            <w:r w:rsidR="008D2AE4" w:rsidRPr="007D5F2D">
              <w:rPr>
                <w:rFonts w:ascii="Times New Roman" w:eastAsia="Times New Roman" w:hAnsi="Times New Roman"/>
                <w:color w:val="000000" w:themeColor="text1"/>
                <w:sz w:val="24"/>
                <w:szCs w:val="24"/>
                <w:lang w:eastAsia="lv-LV"/>
              </w:rPr>
              <w:t>.nedēļas (</w:t>
            </w:r>
            <w:r w:rsidR="00E903B6" w:rsidRPr="007D5F2D">
              <w:rPr>
                <w:rFonts w:ascii="Times New Roman" w:eastAsia="Times New Roman" w:hAnsi="Times New Roman"/>
                <w:color w:val="000000" w:themeColor="text1"/>
                <w:sz w:val="24"/>
                <w:szCs w:val="24"/>
                <w:lang w:eastAsia="lv-LV"/>
              </w:rPr>
              <w:t>novembra sākums</w:t>
            </w:r>
            <w:r w:rsidR="008D2AE4" w:rsidRPr="007D5F2D">
              <w:rPr>
                <w:rFonts w:ascii="Times New Roman" w:eastAsia="Times New Roman" w:hAnsi="Times New Roman"/>
                <w:color w:val="000000" w:themeColor="text1"/>
                <w:sz w:val="24"/>
                <w:szCs w:val="24"/>
                <w:lang w:eastAsia="lv-LV"/>
              </w:rPr>
              <w:t xml:space="preserve">) </w:t>
            </w:r>
            <w:r w:rsidR="00E903B6" w:rsidRPr="007D5F2D">
              <w:rPr>
                <w:rFonts w:ascii="Times New Roman" w:eastAsia="Times New Roman" w:hAnsi="Times New Roman"/>
                <w:color w:val="000000" w:themeColor="text1"/>
                <w:sz w:val="24"/>
                <w:szCs w:val="24"/>
                <w:lang w:eastAsia="lv-LV"/>
              </w:rPr>
              <w:t>līdz 50.nedēļai skaistumkopšanas pakalpojumu sniedzēju vidū ir reģistrēti 82 saslimšanas gadījumi. Tas liecina, ka šie pakalpojumi ir saistīti ar augstu Covid-19 izplatības risku, jo infekcija no pakalpojuma sniedzēja var tikt pārnesta uz klientu. Šie pakalpojumi ir saistīti ar ilgstošu kontaktu starp pakalpojuma saņēmēju un sniedzēju</w:t>
            </w:r>
            <w:proofErr w:type="gramStart"/>
            <w:r w:rsidR="00E903B6" w:rsidRPr="007D5F2D">
              <w:rPr>
                <w:rFonts w:ascii="Times New Roman" w:eastAsia="Times New Roman" w:hAnsi="Times New Roman"/>
                <w:color w:val="000000" w:themeColor="text1"/>
                <w:sz w:val="24"/>
                <w:szCs w:val="24"/>
                <w:lang w:eastAsia="lv-LV"/>
              </w:rPr>
              <w:t xml:space="preserve"> un</w:t>
            </w:r>
            <w:proofErr w:type="gramEnd"/>
            <w:r w:rsidR="00E903B6" w:rsidRPr="007D5F2D">
              <w:rPr>
                <w:rFonts w:ascii="Times New Roman" w:eastAsia="Times New Roman" w:hAnsi="Times New Roman"/>
                <w:color w:val="000000" w:themeColor="text1"/>
                <w:sz w:val="24"/>
                <w:szCs w:val="24"/>
                <w:lang w:eastAsia="lv-LV"/>
              </w:rPr>
              <w:t xml:space="preserve"> pakalpojuma laikā ne vienmēr tiek liet</w:t>
            </w:r>
            <w:r w:rsidR="001539E9" w:rsidRPr="007D5F2D">
              <w:rPr>
                <w:rFonts w:ascii="Times New Roman" w:eastAsia="Times New Roman" w:hAnsi="Times New Roman"/>
                <w:color w:val="000000" w:themeColor="text1"/>
                <w:sz w:val="24"/>
                <w:szCs w:val="24"/>
                <w:lang w:eastAsia="lv-LV"/>
              </w:rPr>
              <w:t>oti</w:t>
            </w:r>
            <w:r w:rsidR="00E903B6" w:rsidRPr="007D5F2D">
              <w:rPr>
                <w:rFonts w:ascii="Times New Roman" w:eastAsia="Times New Roman" w:hAnsi="Times New Roman"/>
                <w:color w:val="000000" w:themeColor="text1"/>
                <w:sz w:val="24"/>
                <w:szCs w:val="24"/>
                <w:lang w:eastAsia="lv-LV"/>
              </w:rPr>
              <w:t xml:space="preserve"> mutes un deguna aizsegi. Tādēļ, apzinoties riskus, kas saistīti ar šo pakalpojumu sniegšanu, kā arī, lai mazinātu cilvēku mobilitāti, šo pakalpojumu sniegšana ir jāatceļ uz 3 nedēļu periodu.</w:t>
            </w:r>
            <w:r w:rsidR="00B43B6B" w:rsidRPr="007D5F2D">
              <w:rPr>
                <w:rFonts w:ascii="Times New Roman" w:eastAsia="Times New Roman" w:hAnsi="Times New Roman"/>
                <w:color w:val="000000" w:themeColor="text1"/>
                <w:sz w:val="24"/>
                <w:szCs w:val="24"/>
                <w:lang w:eastAsia="lv-LV"/>
              </w:rPr>
              <w:t xml:space="preserve"> Apturot uz laiku skaistumkopšanas pakalpojumus,  nepieciešams svītrot arī speciālos nosacījumus skaistumkopšanas pakalpojumu sniegšanai.</w:t>
            </w:r>
          </w:p>
          <w:p w14:paraId="28341FE0" w14:textId="42876EA3" w:rsidR="00E903B6" w:rsidRPr="007D5F2D" w:rsidRDefault="00934F3D"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w:t>
            </w:r>
            <w:r w:rsidR="00E903B6" w:rsidRPr="007D5F2D">
              <w:rPr>
                <w:rFonts w:ascii="Times New Roman" w:eastAsia="Times New Roman" w:hAnsi="Times New Roman"/>
                <w:color w:val="000000" w:themeColor="text1"/>
                <w:sz w:val="24"/>
                <w:szCs w:val="24"/>
                <w:lang w:eastAsia="lv-LV"/>
              </w:rPr>
              <w:t xml:space="preserve">Tāpat </w:t>
            </w:r>
            <w:r w:rsidRPr="007D5F2D">
              <w:rPr>
                <w:rFonts w:ascii="Times New Roman" w:eastAsia="Times New Roman" w:hAnsi="Times New Roman"/>
                <w:color w:val="000000" w:themeColor="text1"/>
                <w:sz w:val="24"/>
                <w:szCs w:val="24"/>
                <w:lang w:eastAsia="lv-LV"/>
              </w:rPr>
              <w:t>sporta inventāra noma iekštelpās ir saistīt</w:t>
            </w:r>
            <w:r w:rsidR="001539E9" w:rsidRPr="007D5F2D">
              <w:rPr>
                <w:rFonts w:ascii="Times New Roman" w:eastAsia="Times New Roman" w:hAnsi="Times New Roman"/>
                <w:color w:val="000000" w:themeColor="text1"/>
                <w:sz w:val="24"/>
                <w:szCs w:val="24"/>
                <w:lang w:eastAsia="lv-LV"/>
              </w:rPr>
              <w:t>a</w:t>
            </w:r>
            <w:r w:rsidRPr="007D5F2D">
              <w:rPr>
                <w:rFonts w:ascii="Times New Roman" w:eastAsia="Times New Roman" w:hAnsi="Times New Roman"/>
                <w:color w:val="000000" w:themeColor="text1"/>
                <w:sz w:val="24"/>
                <w:szCs w:val="24"/>
                <w:lang w:eastAsia="lv-LV"/>
              </w:rPr>
              <w:t xml:space="preserve"> ar cilvēku drūzmēšanos</w:t>
            </w:r>
            <w:r w:rsidR="00E903B6" w:rsidRPr="007D5F2D">
              <w:rPr>
                <w:rFonts w:ascii="Times New Roman" w:eastAsia="Times New Roman" w:hAnsi="Times New Roman"/>
                <w:color w:val="000000" w:themeColor="text1"/>
                <w:sz w:val="24"/>
                <w:szCs w:val="24"/>
                <w:lang w:eastAsia="lv-LV"/>
              </w:rPr>
              <w:t>. Inventāra izvēle un piemērīšana prasa ilgāku laiku</w:t>
            </w:r>
            <w:r w:rsidR="00B43B6B" w:rsidRPr="007D5F2D">
              <w:rPr>
                <w:rFonts w:ascii="Times New Roman" w:eastAsia="Times New Roman" w:hAnsi="Times New Roman"/>
                <w:color w:val="000000" w:themeColor="text1"/>
                <w:sz w:val="24"/>
                <w:szCs w:val="24"/>
                <w:lang w:eastAsia="lv-LV"/>
              </w:rPr>
              <w:t>, tādējādi iekštelpās</w:t>
            </w:r>
            <w:r w:rsidR="001539E9" w:rsidRPr="007D5F2D">
              <w:rPr>
                <w:rFonts w:ascii="Times New Roman" w:eastAsia="Times New Roman" w:hAnsi="Times New Roman"/>
                <w:color w:val="000000" w:themeColor="text1"/>
                <w:sz w:val="24"/>
                <w:szCs w:val="24"/>
                <w:lang w:eastAsia="lv-LV"/>
              </w:rPr>
              <w:t>,</w:t>
            </w:r>
            <w:r w:rsidR="00B43B6B" w:rsidRPr="007D5F2D">
              <w:rPr>
                <w:rFonts w:ascii="Times New Roman" w:eastAsia="Times New Roman" w:hAnsi="Times New Roman"/>
                <w:color w:val="000000" w:themeColor="text1"/>
                <w:sz w:val="24"/>
                <w:szCs w:val="24"/>
                <w:lang w:eastAsia="lv-LV"/>
              </w:rPr>
              <w:t xml:space="preserve"> cieši </w:t>
            </w:r>
            <w:proofErr w:type="spellStart"/>
            <w:r w:rsidR="00B43B6B" w:rsidRPr="007D5F2D">
              <w:rPr>
                <w:rFonts w:ascii="Times New Roman" w:eastAsia="Times New Roman" w:hAnsi="Times New Roman"/>
                <w:color w:val="000000" w:themeColor="text1"/>
                <w:sz w:val="24"/>
                <w:szCs w:val="24"/>
                <w:lang w:eastAsia="lv-LV"/>
              </w:rPr>
              <w:t>kontaktējotie</w:t>
            </w:r>
            <w:r w:rsidR="001539E9" w:rsidRPr="007D5F2D">
              <w:rPr>
                <w:rFonts w:ascii="Times New Roman" w:eastAsia="Times New Roman" w:hAnsi="Times New Roman"/>
                <w:color w:val="000000" w:themeColor="text1"/>
                <w:sz w:val="24"/>
                <w:szCs w:val="24"/>
                <w:lang w:eastAsia="lv-LV"/>
              </w:rPr>
              <w:t>,</w:t>
            </w:r>
            <w:r w:rsidR="00B43B6B" w:rsidRPr="007D5F2D">
              <w:rPr>
                <w:rFonts w:ascii="Times New Roman" w:eastAsia="Times New Roman" w:hAnsi="Times New Roman"/>
                <w:color w:val="000000" w:themeColor="text1"/>
                <w:sz w:val="24"/>
                <w:szCs w:val="24"/>
                <w:lang w:eastAsia="lv-LV"/>
              </w:rPr>
              <w:t>s</w:t>
            </w:r>
            <w:proofErr w:type="spellEnd"/>
            <w:r w:rsidR="00B43B6B" w:rsidRPr="007D5F2D">
              <w:rPr>
                <w:rFonts w:ascii="Times New Roman" w:eastAsia="Times New Roman" w:hAnsi="Times New Roman"/>
                <w:color w:val="000000" w:themeColor="text1"/>
                <w:sz w:val="24"/>
                <w:szCs w:val="24"/>
                <w:lang w:eastAsia="lv-LV"/>
              </w:rPr>
              <w:t xml:space="preserve"> cilvēki pavada ilgāk nekā 15 minūtes. Vadoties no minētā apsvēruma, šādu pakalpojumu sniegšana ir jāatceļ uz 3 nedēļu periodu.</w:t>
            </w:r>
          </w:p>
          <w:p w14:paraId="3D78BCEE" w14:textId="4F22E37E" w:rsidR="00934F3D" w:rsidRPr="007D5F2D" w:rsidRDefault="001539E9"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   </w:t>
            </w:r>
            <w:r w:rsidR="00B43B6B" w:rsidRPr="007D5F2D">
              <w:rPr>
                <w:rFonts w:ascii="Times New Roman" w:eastAsia="Times New Roman" w:hAnsi="Times New Roman"/>
                <w:color w:val="000000" w:themeColor="text1"/>
                <w:sz w:val="24"/>
                <w:szCs w:val="24"/>
                <w:lang w:eastAsia="lv-LV"/>
              </w:rPr>
              <w:t>F</w:t>
            </w:r>
            <w:r w:rsidR="00934F3D" w:rsidRPr="007D5F2D">
              <w:rPr>
                <w:rFonts w:ascii="Times New Roman" w:eastAsia="Times New Roman" w:hAnsi="Times New Roman"/>
                <w:color w:val="000000" w:themeColor="text1"/>
                <w:sz w:val="24"/>
                <w:szCs w:val="24"/>
                <w:lang w:eastAsia="lv-LV"/>
              </w:rPr>
              <w:t>otografēšan</w:t>
            </w:r>
            <w:r w:rsidR="00B43B6B" w:rsidRPr="007D5F2D">
              <w:rPr>
                <w:rFonts w:ascii="Times New Roman" w:eastAsia="Times New Roman" w:hAnsi="Times New Roman"/>
                <w:color w:val="000000" w:themeColor="text1"/>
                <w:sz w:val="24"/>
                <w:szCs w:val="24"/>
                <w:lang w:eastAsia="lv-LV"/>
              </w:rPr>
              <w:t>ās pēdējā laikā kļūst par pakalpojumu, ar ko tiek aizvietotas ierastās izklaides</w:t>
            </w:r>
            <w:r w:rsidR="00934F3D" w:rsidRPr="007D5F2D">
              <w:rPr>
                <w:rFonts w:ascii="Times New Roman" w:eastAsia="Times New Roman" w:hAnsi="Times New Roman"/>
                <w:color w:val="000000" w:themeColor="text1"/>
                <w:sz w:val="24"/>
                <w:szCs w:val="24"/>
                <w:lang w:eastAsia="lv-LV"/>
              </w:rPr>
              <w:t>.</w:t>
            </w:r>
            <w:r w:rsidR="00B43B6B" w:rsidRPr="007D5F2D">
              <w:rPr>
                <w:rFonts w:ascii="Times New Roman" w:eastAsia="Times New Roman" w:hAnsi="Times New Roman"/>
                <w:color w:val="000000" w:themeColor="text1"/>
                <w:sz w:val="24"/>
                <w:szCs w:val="24"/>
                <w:lang w:eastAsia="lv-LV"/>
              </w:rPr>
              <w:t xml:space="preserve"> Tomēr jāņem vērā, ka fotografēšanās laikā netiek lietotas sejas maskas un cilvēki fotografēšanās laikā nonāk ciešā kontaktā </w:t>
            </w:r>
            <w:proofErr w:type="gramStart"/>
            <w:r w:rsidR="00B43B6B" w:rsidRPr="007D5F2D">
              <w:rPr>
                <w:rFonts w:ascii="Times New Roman" w:eastAsia="Times New Roman" w:hAnsi="Times New Roman"/>
                <w:color w:val="000000" w:themeColor="text1"/>
                <w:sz w:val="24"/>
                <w:szCs w:val="24"/>
                <w:lang w:eastAsia="lv-LV"/>
              </w:rPr>
              <w:t>vairāk kā</w:t>
            </w:r>
            <w:proofErr w:type="gramEnd"/>
            <w:r w:rsidR="00B43B6B" w:rsidRPr="007D5F2D">
              <w:rPr>
                <w:rFonts w:ascii="Times New Roman" w:eastAsia="Times New Roman" w:hAnsi="Times New Roman"/>
                <w:color w:val="000000" w:themeColor="text1"/>
                <w:sz w:val="24"/>
                <w:szCs w:val="24"/>
                <w:lang w:eastAsia="lv-LV"/>
              </w:rPr>
              <w:t xml:space="preserve"> 15 minūtes. Apzinoties to, ka šis nav vitāli nepieciešams pakalpojums ikdienas vajadzībām, </w:t>
            </w:r>
            <w:proofErr w:type="gramStart"/>
            <w:r w:rsidR="00B43B6B" w:rsidRPr="007D5F2D">
              <w:rPr>
                <w:rFonts w:ascii="Times New Roman" w:eastAsia="Times New Roman" w:hAnsi="Times New Roman"/>
                <w:color w:val="000000" w:themeColor="text1"/>
                <w:sz w:val="24"/>
                <w:szCs w:val="24"/>
                <w:lang w:eastAsia="lv-LV"/>
              </w:rPr>
              <w:t>to</w:t>
            </w:r>
            <w:proofErr w:type="gramEnd"/>
            <w:r w:rsidR="00B43B6B" w:rsidRPr="007D5F2D">
              <w:rPr>
                <w:rFonts w:ascii="Times New Roman" w:eastAsia="Times New Roman" w:hAnsi="Times New Roman"/>
                <w:color w:val="000000" w:themeColor="text1"/>
                <w:sz w:val="24"/>
                <w:szCs w:val="24"/>
                <w:lang w:eastAsia="lv-LV"/>
              </w:rPr>
              <w:t xml:space="preserve"> būtu jāpatur uz 3 nedēļu laiku, lai mazinātu cilvēku mobilitātes aktivitātes. Izņēmums ir nepieciešamība pēc fotografēšanas dokumentiem.</w:t>
            </w:r>
          </w:p>
          <w:p w14:paraId="087E46D9" w14:textId="1089F727" w:rsidR="008B3B95" w:rsidRPr="007D5F2D" w:rsidRDefault="008B3B95"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Izvērtējot to vai sniegt konkrēto pakalpojumu vai nē, ir jāizvērtē riski, kas ir saistīti ar konkrētā pakalpojuma sniegšanu. </w:t>
            </w:r>
            <w:proofErr w:type="gramStart"/>
            <w:r w:rsidRPr="007D5F2D">
              <w:rPr>
                <w:rFonts w:ascii="Times New Roman" w:eastAsia="Times New Roman" w:hAnsi="Times New Roman"/>
                <w:color w:val="000000" w:themeColor="text1"/>
                <w:sz w:val="24"/>
                <w:szCs w:val="24"/>
                <w:lang w:eastAsia="lv-LV"/>
              </w:rPr>
              <w:t>Piemēram</w:t>
            </w:r>
            <w:proofErr w:type="gramEnd"/>
            <w:r w:rsidRPr="007D5F2D">
              <w:rPr>
                <w:rFonts w:ascii="Times New Roman" w:eastAsia="Times New Roman" w:hAnsi="Times New Roman"/>
                <w:color w:val="000000" w:themeColor="text1"/>
                <w:sz w:val="24"/>
                <w:szCs w:val="24"/>
                <w:lang w:eastAsia="lv-LV"/>
              </w:rPr>
              <w:t xml:space="preserve"> rīkojuma projekts paredz to, ka tiek saglabāts ierobežojums pirts pakalpojumu sniegšanai. Tomēr tiek saglabāta iespēja svētku laikā sniegt izmitināšanas pakalpojumus, tai skaitā viesnīcās un viesu namos. Ja sniedzot izmitināšanas pakalpojumu vienai mājsaimniecībai tiek izīrēts numurs ar saunu vai visu namiņš ar pirti un tamlīdzīgām ūdens procedūru iekārtām, tās mājsaimniecība sava izīrētā viesnīcas numura vai viesu namiņa ietvarā var lietot, paši nodrošinot saunas un </w:t>
            </w:r>
            <w:proofErr w:type="gramStart"/>
            <w:r w:rsidRPr="007D5F2D">
              <w:rPr>
                <w:rFonts w:ascii="Times New Roman" w:eastAsia="Times New Roman" w:hAnsi="Times New Roman"/>
                <w:color w:val="000000" w:themeColor="text1"/>
                <w:sz w:val="24"/>
                <w:szCs w:val="24"/>
                <w:lang w:eastAsia="lv-LV"/>
              </w:rPr>
              <w:t>pārējo iekārtu darbināšanu</w:t>
            </w:r>
            <w:proofErr w:type="gramEnd"/>
            <w:r w:rsidRPr="007D5F2D">
              <w:rPr>
                <w:rFonts w:ascii="Times New Roman" w:eastAsia="Times New Roman" w:hAnsi="Times New Roman"/>
                <w:color w:val="000000" w:themeColor="text1"/>
                <w:sz w:val="24"/>
                <w:szCs w:val="24"/>
                <w:lang w:eastAsia="lv-LV"/>
              </w:rPr>
              <w:t xml:space="preserve">. Tāpat ir iespējama pārvietojamo </w:t>
            </w:r>
            <w:proofErr w:type="spellStart"/>
            <w:r w:rsidRPr="007D5F2D">
              <w:rPr>
                <w:rFonts w:ascii="Times New Roman" w:eastAsia="Times New Roman" w:hAnsi="Times New Roman"/>
                <w:color w:val="000000" w:themeColor="text1"/>
                <w:sz w:val="24"/>
                <w:szCs w:val="24"/>
                <w:lang w:eastAsia="lv-LV"/>
              </w:rPr>
              <w:t>piršu</w:t>
            </w:r>
            <w:proofErr w:type="spellEnd"/>
            <w:r w:rsidRPr="007D5F2D">
              <w:rPr>
                <w:rFonts w:ascii="Times New Roman" w:eastAsia="Times New Roman" w:hAnsi="Times New Roman"/>
                <w:color w:val="000000" w:themeColor="text1"/>
                <w:sz w:val="24"/>
                <w:szCs w:val="24"/>
                <w:lang w:eastAsia="lv-LV"/>
              </w:rPr>
              <w:t xml:space="preserve">, kublu un tamlīdzīgu iekārtu noma. Šāda ar pirtīm saistītu pakalpojumu sniegšana neveicina </w:t>
            </w:r>
            <w:proofErr w:type="gramStart"/>
            <w:r w:rsidR="00E6683F" w:rsidRPr="007D5F2D">
              <w:rPr>
                <w:rFonts w:ascii="Times New Roman" w:eastAsia="Times New Roman" w:hAnsi="Times New Roman"/>
                <w:color w:val="000000" w:themeColor="text1"/>
                <w:sz w:val="24"/>
                <w:szCs w:val="24"/>
                <w:lang w:eastAsia="lv-LV"/>
              </w:rPr>
              <w:t>papildus cilvēku kontaktēšanos</w:t>
            </w:r>
            <w:proofErr w:type="gramEnd"/>
            <w:r w:rsidR="00E6683F" w:rsidRPr="007D5F2D">
              <w:rPr>
                <w:rFonts w:ascii="Times New Roman" w:eastAsia="Times New Roman" w:hAnsi="Times New Roman"/>
                <w:color w:val="000000" w:themeColor="text1"/>
                <w:sz w:val="24"/>
                <w:szCs w:val="24"/>
                <w:lang w:eastAsia="lv-LV"/>
              </w:rPr>
              <w:t xml:space="preserve"> pakalpojuma sniegšanas laikā.</w:t>
            </w:r>
          </w:p>
          <w:p w14:paraId="17DB46DF" w14:textId="3DD0A349" w:rsidR="001F1F0F" w:rsidRPr="007D5F2D" w:rsidRDefault="001F1F0F"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 xml:space="preserve">2. </w:t>
            </w:r>
            <w:r w:rsidRPr="007D5F2D">
              <w:rPr>
                <w:rFonts w:ascii="Times New Roman" w:eastAsia="Times New Roman" w:hAnsi="Times New Roman"/>
                <w:color w:val="000000" w:themeColor="text1"/>
                <w:sz w:val="24"/>
                <w:szCs w:val="24"/>
                <w:lang w:eastAsia="lv-LV"/>
              </w:rPr>
              <w:t xml:space="preserve">Tā kā medības ar dzinējiem ir saistītas ar lielāka skaita mednieku piedalīšanos, kuru laikā notiek kopīgas aktivitātes, tai skaitā arī nomedīto dzīvnieku apstrāde, kuras laikā ir ciešas kontakts, rīkojuma projekts paredz uz 3 nedēļu periodu aizliegt medības ar dzīvniekiem, lai novērstu </w:t>
            </w:r>
            <w:proofErr w:type="gramStart"/>
            <w:r w:rsidRPr="007D5F2D">
              <w:rPr>
                <w:rFonts w:ascii="Times New Roman" w:eastAsia="Times New Roman" w:hAnsi="Times New Roman"/>
                <w:color w:val="000000" w:themeColor="text1"/>
                <w:sz w:val="24"/>
                <w:szCs w:val="24"/>
                <w:lang w:eastAsia="lv-LV"/>
              </w:rPr>
              <w:t xml:space="preserve">papildus </w:t>
            </w:r>
            <w:r w:rsidR="0064152E" w:rsidRPr="007D5F2D">
              <w:rPr>
                <w:rFonts w:ascii="Times New Roman" w:eastAsia="Times New Roman" w:hAnsi="Times New Roman"/>
                <w:color w:val="000000" w:themeColor="text1"/>
                <w:sz w:val="24"/>
                <w:szCs w:val="24"/>
                <w:lang w:eastAsia="lv-LV"/>
              </w:rPr>
              <w:t>cilvēku kontaktēšanos</w:t>
            </w:r>
            <w:proofErr w:type="gramEnd"/>
            <w:r w:rsidR="0064152E" w:rsidRPr="007D5F2D">
              <w:rPr>
                <w:rFonts w:ascii="Times New Roman" w:eastAsia="Times New Roman" w:hAnsi="Times New Roman"/>
                <w:color w:val="000000" w:themeColor="text1"/>
                <w:sz w:val="24"/>
                <w:szCs w:val="24"/>
                <w:lang w:eastAsia="lv-LV"/>
              </w:rPr>
              <w:t xml:space="preserve"> medību laikā.</w:t>
            </w:r>
          </w:p>
          <w:p w14:paraId="5738EA8D" w14:textId="2A71861E" w:rsidR="00934F3D" w:rsidRPr="007D5F2D" w:rsidRDefault="0064152E"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3</w:t>
            </w:r>
            <w:r w:rsidR="00361F4D"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b/>
                <w:bCs/>
                <w:color w:val="000000" w:themeColor="text1"/>
                <w:sz w:val="24"/>
                <w:szCs w:val="24"/>
                <w:lang w:eastAsia="lv-LV"/>
              </w:rPr>
              <w:t xml:space="preserve"> </w:t>
            </w:r>
            <w:r w:rsidR="00934F3D" w:rsidRPr="007D5F2D">
              <w:rPr>
                <w:rFonts w:ascii="Times New Roman" w:eastAsia="Times New Roman" w:hAnsi="Times New Roman"/>
                <w:color w:val="000000" w:themeColor="text1"/>
                <w:sz w:val="24"/>
                <w:szCs w:val="24"/>
                <w:lang w:eastAsia="lv-LV"/>
              </w:rPr>
              <w:t xml:space="preserve">Tāpat arī tiek paredzēts, ka tiek apturēta jebkāda </w:t>
            </w:r>
            <w:proofErr w:type="spellStart"/>
            <w:r w:rsidR="00934F3D" w:rsidRPr="007D5F2D">
              <w:rPr>
                <w:rFonts w:ascii="Times New Roman" w:eastAsia="Times New Roman" w:hAnsi="Times New Roman"/>
                <w:color w:val="000000" w:themeColor="text1"/>
                <w:sz w:val="24"/>
                <w:szCs w:val="24"/>
                <w:lang w:eastAsia="lv-LV"/>
              </w:rPr>
              <w:t>kultūrvietu</w:t>
            </w:r>
            <w:proofErr w:type="spellEnd"/>
            <w:r w:rsidR="00934F3D" w:rsidRPr="007D5F2D">
              <w:rPr>
                <w:rFonts w:ascii="Times New Roman" w:eastAsia="Times New Roman" w:hAnsi="Times New Roman"/>
                <w:color w:val="000000" w:themeColor="text1"/>
                <w:sz w:val="24"/>
                <w:szCs w:val="24"/>
                <w:lang w:eastAsia="lv-LV"/>
              </w:rPr>
              <w:t xml:space="preserve"> darbība iekštelpās, </w:t>
            </w:r>
            <w:r w:rsidR="00E9102C" w:rsidRPr="007D5F2D">
              <w:rPr>
                <w:rFonts w:ascii="Times New Roman" w:eastAsia="Times New Roman" w:hAnsi="Times New Roman"/>
                <w:color w:val="000000" w:themeColor="text1"/>
                <w:sz w:val="24"/>
                <w:szCs w:val="24"/>
                <w:lang w:eastAsia="lv-LV"/>
              </w:rPr>
              <w:t xml:space="preserve">t.sk. bibliotēkās, </w:t>
            </w:r>
            <w:r w:rsidR="00934F3D" w:rsidRPr="007D5F2D">
              <w:rPr>
                <w:rFonts w:ascii="Times New Roman" w:eastAsia="Times New Roman" w:hAnsi="Times New Roman"/>
                <w:color w:val="000000" w:themeColor="text1"/>
                <w:sz w:val="24"/>
                <w:szCs w:val="24"/>
                <w:lang w:eastAsia="lv-LV"/>
              </w:rPr>
              <w:t>tādējādi saglabājot muzeju brīvdabas teritoriju darbību, kas tiek organizēta analogi brīvdabas taku darbībai, nodrošinot vienvirziena kustību, novēršot cilvēku plūsmu sastapšanos un tiek nodrošināt distancēšanās 2 m.</w:t>
            </w:r>
          </w:p>
          <w:p w14:paraId="3D8B1676" w14:textId="18AB3ACC" w:rsidR="00DF492E" w:rsidRPr="007D5F2D" w:rsidRDefault="00DF492E"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Tādējādi precizējam</w:t>
            </w:r>
            <w:r w:rsidR="001539E9" w:rsidRPr="007D5F2D">
              <w:rPr>
                <w:rFonts w:ascii="Times New Roman" w:eastAsia="Times New Roman" w:hAnsi="Times New Roman"/>
                <w:color w:val="000000" w:themeColor="text1"/>
                <w:sz w:val="24"/>
                <w:szCs w:val="24"/>
                <w:lang w:eastAsia="lv-LV"/>
              </w:rPr>
              <w:t>i</w:t>
            </w:r>
            <w:r w:rsidRPr="007D5F2D">
              <w:rPr>
                <w:rFonts w:ascii="Times New Roman" w:eastAsia="Times New Roman" w:hAnsi="Times New Roman"/>
                <w:color w:val="000000" w:themeColor="text1"/>
                <w:sz w:val="24"/>
                <w:szCs w:val="24"/>
                <w:lang w:eastAsia="lv-LV"/>
              </w:rPr>
              <w:t xml:space="preserve"> Rīkojuma 5.5., 5.5.</w:t>
            </w:r>
            <w:r w:rsidRPr="007D5F2D">
              <w:rPr>
                <w:rFonts w:ascii="Times New Roman" w:eastAsia="Times New Roman" w:hAnsi="Times New Roman"/>
                <w:color w:val="000000" w:themeColor="text1"/>
                <w:sz w:val="24"/>
                <w:szCs w:val="24"/>
                <w:vertAlign w:val="superscript"/>
                <w:lang w:eastAsia="lv-LV"/>
              </w:rPr>
              <w:t>1</w:t>
            </w:r>
            <w:r w:rsidRPr="007D5F2D">
              <w:rPr>
                <w:rFonts w:ascii="Times New Roman" w:eastAsia="Times New Roman" w:hAnsi="Times New Roman"/>
                <w:color w:val="000000" w:themeColor="text1"/>
                <w:sz w:val="24"/>
                <w:szCs w:val="24"/>
                <w:lang w:eastAsia="lv-LV"/>
              </w:rPr>
              <w:t xml:space="preserve">, </w:t>
            </w:r>
            <w:proofErr w:type="gramStart"/>
            <w:r w:rsidRPr="007D5F2D">
              <w:rPr>
                <w:rFonts w:ascii="Times New Roman" w:eastAsia="Times New Roman" w:hAnsi="Times New Roman"/>
                <w:color w:val="000000" w:themeColor="text1"/>
                <w:sz w:val="24"/>
                <w:szCs w:val="24"/>
                <w:lang w:eastAsia="lv-LV"/>
              </w:rPr>
              <w:t>5.10. un 5.11.apakšpunkti</w:t>
            </w:r>
            <w:proofErr w:type="gramEnd"/>
            <w:r w:rsidRPr="007D5F2D">
              <w:rPr>
                <w:rFonts w:ascii="Times New Roman" w:eastAsia="Times New Roman" w:hAnsi="Times New Roman"/>
                <w:color w:val="000000" w:themeColor="text1"/>
                <w:sz w:val="24"/>
                <w:szCs w:val="24"/>
                <w:lang w:eastAsia="lv-LV"/>
              </w:rPr>
              <w:t>.</w:t>
            </w:r>
          </w:p>
          <w:p w14:paraId="1BE994A5" w14:textId="20E9AE95" w:rsidR="00361F4D" w:rsidRPr="007D5F2D" w:rsidRDefault="0064152E" w:rsidP="00934F3D">
            <w:pPr>
              <w:spacing w:after="0" w:line="240" w:lineRule="auto"/>
              <w:jc w:val="both"/>
              <w:rPr>
                <w:rFonts w:ascii="Times New Roman" w:eastAsia="Times New Roman" w:hAnsi="Times New Roman"/>
                <w:color w:val="000000" w:themeColor="text1"/>
                <w:sz w:val="24"/>
                <w:szCs w:val="24"/>
                <w:lang w:eastAsia="lv-LV"/>
              </w:rPr>
            </w:pPr>
            <w:proofErr w:type="gramStart"/>
            <w:r w:rsidRPr="007D5F2D">
              <w:rPr>
                <w:rFonts w:ascii="Times New Roman" w:eastAsia="Times New Roman" w:hAnsi="Times New Roman"/>
                <w:b/>
                <w:bCs/>
                <w:color w:val="000000" w:themeColor="text1"/>
                <w:sz w:val="24"/>
                <w:szCs w:val="24"/>
                <w:lang w:eastAsia="lv-LV"/>
              </w:rPr>
              <w:t>4</w:t>
            </w:r>
            <w:r w:rsidR="00361F4D" w:rsidRPr="007D5F2D">
              <w:rPr>
                <w:rFonts w:ascii="Times New Roman" w:eastAsia="Times New Roman" w:hAnsi="Times New Roman"/>
                <w:b/>
                <w:bCs/>
                <w:color w:val="000000" w:themeColor="text1"/>
                <w:sz w:val="24"/>
                <w:szCs w:val="24"/>
                <w:lang w:eastAsia="lv-LV"/>
              </w:rPr>
              <w:t>.</w:t>
            </w:r>
            <w:r w:rsidR="00361F4D" w:rsidRPr="007D5F2D">
              <w:rPr>
                <w:rFonts w:ascii="Times New Roman" w:eastAsia="Times New Roman" w:hAnsi="Times New Roman"/>
                <w:color w:val="000000" w:themeColor="text1"/>
                <w:sz w:val="24"/>
                <w:szCs w:val="24"/>
                <w:lang w:eastAsia="lv-LV"/>
              </w:rPr>
              <w:t> Papildus minētajiem pasākumiem</w:t>
            </w:r>
            <w:proofErr w:type="gramEnd"/>
            <w:r w:rsidR="001539E9" w:rsidRPr="007D5F2D">
              <w:rPr>
                <w:rFonts w:ascii="Times New Roman" w:eastAsia="Times New Roman" w:hAnsi="Times New Roman"/>
                <w:color w:val="000000" w:themeColor="text1"/>
                <w:sz w:val="24"/>
                <w:szCs w:val="24"/>
                <w:lang w:eastAsia="lv-LV"/>
              </w:rPr>
              <w:t>,</w:t>
            </w:r>
            <w:r w:rsidR="00361F4D" w:rsidRPr="007D5F2D">
              <w:rPr>
                <w:rFonts w:ascii="Times New Roman" w:eastAsia="Times New Roman" w:hAnsi="Times New Roman"/>
                <w:color w:val="000000" w:themeColor="text1"/>
                <w:sz w:val="24"/>
                <w:szCs w:val="24"/>
                <w:lang w:eastAsia="lv-LV"/>
              </w:rPr>
              <w:t xml:space="preserve"> Covid-19 izplatības ierobežo</w:t>
            </w:r>
            <w:r w:rsidR="001539E9" w:rsidRPr="007D5F2D">
              <w:rPr>
                <w:rFonts w:ascii="Times New Roman" w:eastAsia="Times New Roman" w:hAnsi="Times New Roman"/>
                <w:color w:val="000000" w:themeColor="text1"/>
                <w:sz w:val="24"/>
                <w:szCs w:val="24"/>
                <w:lang w:eastAsia="lv-LV"/>
              </w:rPr>
              <w:t>šanai</w:t>
            </w:r>
            <w:r w:rsidR="00361F4D" w:rsidRPr="007D5F2D">
              <w:rPr>
                <w:rFonts w:ascii="Times New Roman" w:eastAsia="Times New Roman" w:hAnsi="Times New Roman"/>
                <w:color w:val="000000" w:themeColor="text1"/>
                <w:sz w:val="24"/>
                <w:szCs w:val="24"/>
                <w:lang w:eastAsia="lv-LV"/>
              </w:rPr>
              <w:t xml:space="preserve"> rīkojuma projekts arī paredz precizējumu Rīkojuma 5.6. apakšpunktā, lai dotu iespēju nodrošināt darbinieku ēdināšanu uz vietas ražošanas uzņēmumiem, kur nav iespējama darbinieku drošā ēdināšana ārpus ēdināšanas vietas. Tas, piemēram, varētu attiekties uz pārtikas ražošanas uzņēmumiem, kur ir jāievēro īpašas higiēnas prasības, tādēļ šajos uzņēmumos darbiniekiem ēdināšanai tiek ierīkotas speciālas ēdināšanas vietas. Paredzot izņēmumu šādiem uzņēmumiem, tiek noteikts, ka vieta, </w:t>
            </w:r>
            <w:proofErr w:type="gramStart"/>
            <w:r w:rsidR="00361F4D" w:rsidRPr="007D5F2D">
              <w:rPr>
                <w:rFonts w:ascii="Times New Roman" w:eastAsia="Times New Roman" w:hAnsi="Times New Roman"/>
                <w:color w:val="000000" w:themeColor="text1"/>
                <w:sz w:val="24"/>
                <w:szCs w:val="24"/>
                <w:lang w:eastAsia="lv-LV"/>
              </w:rPr>
              <w:t>kur tiek organizēta darbinieku ēdināšana</w:t>
            </w:r>
            <w:proofErr w:type="gramEnd"/>
            <w:r w:rsidR="00361F4D" w:rsidRPr="007D5F2D">
              <w:rPr>
                <w:rFonts w:ascii="Times New Roman" w:eastAsia="Times New Roman" w:hAnsi="Times New Roman"/>
                <w:color w:val="000000" w:themeColor="text1"/>
                <w:sz w:val="24"/>
                <w:szCs w:val="24"/>
                <w:lang w:eastAsia="lv-LV"/>
              </w:rPr>
              <w:t xml:space="preserve"> nav pieejama trešajām personām, darbinieku ēdināšana tiek organizēta tā, lai novērstu darbinieku dažādu grupu savstarpēju sastapšanos, kā arī tiek nodrošināts, ka pie viena galdiņa ēšanas laikā atrodas viens darbinieks un starp galdiņiem ir divu metru distance.</w:t>
            </w:r>
          </w:p>
          <w:p w14:paraId="34D2A829" w14:textId="5DDC1B2C" w:rsidR="001F1F0F" w:rsidRPr="007D5F2D" w:rsidRDefault="0064152E" w:rsidP="00CB19D0">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5</w:t>
            </w:r>
            <w:r w:rsidR="00846A00" w:rsidRPr="007D5F2D">
              <w:rPr>
                <w:rFonts w:ascii="Times New Roman" w:eastAsia="Times New Roman" w:hAnsi="Times New Roman"/>
                <w:b/>
                <w:bCs/>
                <w:color w:val="000000" w:themeColor="text1"/>
                <w:sz w:val="24"/>
                <w:szCs w:val="24"/>
                <w:lang w:eastAsia="lv-LV"/>
              </w:rPr>
              <w:t xml:space="preserve">. </w:t>
            </w:r>
            <w:r w:rsidR="00846A00" w:rsidRPr="007D5F2D">
              <w:rPr>
                <w:rFonts w:ascii="Times New Roman" w:eastAsia="Times New Roman" w:hAnsi="Times New Roman"/>
                <w:color w:val="000000" w:themeColor="text1"/>
                <w:sz w:val="24"/>
                <w:szCs w:val="24"/>
                <w:lang w:eastAsia="lv-LV"/>
              </w:rPr>
              <w:t>Kā liecina Latvijas iedzīvotāju mobilitātes datu analīze, cilvēki joprojām lielā skaitā uzturas tirdzniecības centros. Tas nozīmē, ka iekštelpās kontaktējoties ar lielu skaitu citu cilvēku, starp kuriem varētu būt cilvēki, kas inficēti ar Covid-19, ilgstoši uzturas ģimenes, cilvēki no riska grupām un cilvēki, kas infekciju vēlāk var izplatīt savos darba kolektīvos.</w:t>
            </w:r>
            <w:r w:rsidR="004E5FAB" w:rsidRPr="007D5F2D">
              <w:rPr>
                <w:rFonts w:ascii="Times New Roman" w:eastAsia="Times New Roman" w:hAnsi="Times New Roman"/>
                <w:color w:val="000000" w:themeColor="text1"/>
                <w:sz w:val="24"/>
                <w:szCs w:val="24"/>
                <w:lang w:eastAsia="lv-LV"/>
              </w:rPr>
              <w:t xml:space="preserve"> </w:t>
            </w:r>
            <w:r w:rsidR="00B617C2" w:rsidRPr="007D5F2D">
              <w:rPr>
                <w:rFonts w:ascii="Times New Roman" w:eastAsia="Times New Roman" w:hAnsi="Times New Roman"/>
                <w:color w:val="000000" w:themeColor="text1"/>
                <w:sz w:val="24"/>
                <w:szCs w:val="24"/>
                <w:lang w:eastAsia="lv-LV"/>
              </w:rPr>
              <w:t>Saskaņā ar SPKC datiem kopš 47. nedēļas divkārtīgi ir palielinājusies tirdzniecībā nodarbināto personu (pārdevēju un kasieru) saslimstība ar Covid-19, no 50 gadījumiem uz 92-100 gadījumiem pēdējās nedēļās.</w:t>
            </w:r>
            <w:r w:rsidR="00142CD1" w:rsidRPr="007D5F2D">
              <w:rPr>
                <w:rFonts w:ascii="Times New Roman" w:eastAsia="Times New Roman" w:hAnsi="Times New Roman"/>
                <w:color w:val="000000" w:themeColor="text1"/>
                <w:sz w:val="24"/>
                <w:szCs w:val="24"/>
                <w:lang w:eastAsia="lv-LV"/>
              </w:rPr>
              <w:t xml:space="preserve"> Tas liecina, ka Covid-19 izplatība tirdzniecības vietās ir pieaugusi.</w:t>
            </w:r>
            <w:r w:rsidR="00B617C2" w:rsidRPr="007D5F2D">
              <w:rPr>
                <w:rFonts w:ascii="Times New Roman" w:eastAsia="Times New Roman" w:hAnsi="Times New Roman"/>
                <w:color w:val="000000" w:themeColor="text1"/>
                <w:sz w:val="24"/>
                <w:szCs w:val="24"/>
                <w:lang w:eastAsia="lv-LV"/>
              </w:rPr>
              <w:t xml:space="preserve">  </w:t>
            </w:r>
          </w:p>
          <w:p w14:paraId="30B484DD" w14:textId="1B0DFB5C" w:rsidR="00CB19D0" w:rsidRPr="007D5F2D" w:rsidRDefault="004E5FAB" w:rsidP="00CB19D0">
            <w:pPr>
              <w:spacing w:after="0" w:line="240" w:lineRule="auto"/>
              <w:jc w:val="both"/>
              <w:rPr>
                <w:rFonts w:ascii="Times New Roman" w:eastAsiaTheme="minorEastAsia" w:hAnsi="Times New Roman" w:cs="Times New Roman"/>
                <w:sz w:val="24"/>
                <w:szCs w:val="24"/>
                <w:lang w:eastAsia="lv-LV"/>
              </w:rPr>
            </w:pPr>
            <w:r w:rsidRPr="007D5F2D">
              <w:rPr>
                <w:rFonts w:ascii="Times New Roman" w:eastAsia="Times New Roman" w:hAnsi="Times New Roman"/>
                <w:color w:val="000000" w:themeColor="text1"/>
                <w:sz w:val="24"/>
                <w:szCs w:val="24"/>
                <w:lang w:eastAsia="lv-LV"/>
              </w:rPr>
              <w:t>Kā liecina citu valstu pieredze, mazinot tirdzniecības vietu darbību, nodrošinot tikai pirmās nepieciešamības preču un pārtikas tirdzniecību, iespējam</w:t>
            </w:r>
            <w:r w:rsidR="00851336" w:rsidRPr="007D5F2D">
              <w:rPr>
                <w:rFonts w:ascii="Times New Roman" w:eastAsia="Times New Roman" w:hAnsi="Times New Roman"/>
                <w:color w:val="000000" w:themeColor="text1"/>
                <w:sz w:val="24"/>
                <w:szCs w:val="24"/>
                <w:lang w:eastAsia="lv-LV"/>
              </w:rPr>
              <w:t>s</w:t>
            </w:r>
            <w:r w:rsidRPr="007D5F2D">
              <w:rPr>
                <w:rFonts w:ascii="Times New Roman" w:eastAsia="Times New Roman" w:hAnsi="Times New Roman"/>
                <w:color w:val="000000" w:themeColor="text1"/>
                <w:sz w:val="24"/>
                <w:szCs w:val="24"/>
                <w:lang w:eastAsia="lv-LV"/>
              </w:rPr>
              <w:t xml:space="preserve"> panākt </w:t>
            </w:r>
            <w:r w:rsidR="00851336" w:rsidRPr="007D5F2D">
              <w:rPr>
                <w:rFonts w:ascii="Times New Roman" w:eastAsia="Times New Roman" w:hAnsi="Times New Roman"/>
                <w:color w:val="000000" w:themeColor="text1"/>
                <w:sz w:val="24"/>
                <w:szCs w:val="24"/>
                <w:lang w:eastAsia="lv-LV"/>
              </w:rPr>
              <w:t xml:space="preserve">labus rezultātus Covid-19 izplatības mazināšanā. Arī Latvijas iedzīvotāju mobilitātes datu analīze liecina to, ka laikā, </w:t>
            </w:r>
            <w:proofErr w:type="gramStart"/>
            <w:r w:rsidR="00851336" w:rsidRPr="007D5F2D">
              <w:rPr>
                <w:rFonts w:ascii="Times New Roman" w:eastAsia="Times New Roman" w:hAnsi="Times New Roman"/>
                <w:color w:val="000000" w:themeColor="text1"/>
                <w:sz w:val="24"/>
                <w:szCs w:val="24"/>
                <w:lang w:eastAsia="lv-LV"/>
              </w:rPr>
              <w:t>kad ir pieejama tikai pirmās nepieciešamības preču un pārtikas tirdzniecība, cilvēku apmeklējumi tirdzniecības vietās</w:t>
            </w:r>
            <w:proofErr w:type="gramEnd"/>
            <w:r w:rsidR="00851336" w:rsidRPr="007D5F2D">
              <w:rPr>
                <w:rFonts w:ascii="Times New Roman" w:eastAsia="Times New Roman" w:hAnsi="Times New Roman"/>
                <w:color w:val="000000" w:themeColor="text1"/>
                <w:sz w:val="24"/>
                <w:szCs w:val="24"/>
                <w:lang w:eastAsia="lv-LV"/>
              </w:rPr>
              <w:t xml:space="preserve"> ievērojami samazinās.</w:t>
            </w:r>
            <w:r w:rsidR="00B617C2" w:rsidRPr="007D5F2D">
              <w:rPr>
                <w:rFonts w:ascii="Times New Roman" w:eastAsia="Times New Roman" w:hAnsi="Times New Roman"/>
                <w:color w:val="000000" w:themeColor="text1"/>
                <w:sz w:val="24"/>
                <w:szCs w:val="24"/>
                <w:lang w:eastAsia="lv-LV"/>
              </w:rPr>
              <w:t xml:space="preserve"> </w:t>
            </w:r>
            <w:r w:rsidR="00851336" w:rsidRPr="007D5F2D">
              <w:rPr>
                <w:rFonts w:ascii="Times New Roman" w:eastAsia="Times New Roman" w:hAnsi="Times New Roman"/>
                <w:color w:val="000000" w:themeColor="text1"/>
                <w:sz w:val="24"/>
                <w:szCs w:val="24"/>
                <w:lang w:eastAsia="lv-LV"/>
              </w:rPr>
              <w:t xml:space="preserve"> Tieši svētku laiks ir veikalu aktīvāko apmeklējumu laiks. Tādēļ </w:t>
            </w:r>
            <w:r w:rsidR="00A24E36" w:rsidRPr="007D5F2D">
              <w:rPr>
                <w:rFonts w:ascii="Times New Roman" w:eastAsia="Times New Roman" w:hAnsi="Times New Roman"/>
                <w:color w:val="000000" w:themeColor="text1"/>
                <w:sz w:val="24"/>
                <w:szCs w:val="24"/>
                <w:lang w:eastAsia="lv-LV"/>
              </w:rPr>
              <w:t>ir nepieciešams mazināt</w:t>
            </w:r>
            <w:r w:rsidR="00851336" w:rsidRPr="007D5F2D">
              <w:rPr>
                <w:rFonts w:ascii="Times New Roman" w:eastAsia="Times New Roman" w:hAnsi="Times New Roman"/>
                <w:color w:val="000000" w:themeColor="text1"/>
                <w:sz w:val="24"/>
                <w:szCs w:val="24"/>
                <w:lang w:eastAsia="lv-LV"/>
              </w:rPr>
              <w:t xml:space="preserve"> </w:t>
            </w:r>
            <w:r w:rsidR="00A20F6F" w:rsidRPr="007D5F2D">
              <w:rPr>
                <w:rFonts w:ascii="Times New Roman" w:eastAsia="Times New Roman" w:hAnsi="Times New Roman"/>
                <w:color w:val="000000" w:themeColor="text1"/>
                <w:sz w:val="24"/>
                <w:szCs w:val="24"/>
                <w:lang w:eastAsia="lv-LV"/>
              </w:rPr>
              <w:t>tirdzniecības pakalpojumu sniegšanu klātienē</w:t>
            </w:r>
            <w:r w:rsidR="00851336" w:rsidRPr="007D5F2D">
              <w:rPr>
                <w:rFonts w:ascii="Times New Roman" w:eastAsia="Times New Roman" w:hAnsi="Times New Roman"/>
                <w:color w:val="000000" w:themeColor="text1"/>
                <w:sz w:val="24"/>
                <w:szCs w:val="24"/>
                <w:lang w:eastAsia="lv-LV"/>
              </w:rPr>
              <w:t xml:space="preserve"> uz </w:t>
            </w:r>
            <w:r w:rsidR="006D3731" w:rsidRPr="007D5F2D">
              <w:rPr>
                <w:rFonts w:ascii="Times New Roman" w:eastAsia="Times New Roman" w:hAnsi="Times New Roman"/>
                <w:color w:val="000000" w:themeColor="text1"/>
                <w:sz w:val="24"/>
                <w:szCs w:val="24"/>
                <w:lang w:eastAsia="lv-LV"/>
              </w:rPr>
              <w:t>svētku laiku</w:t>
            </w:r>
            <w:r w:rsidR="00851336" w:rsidRPr="007D5F2D">
              <w:rPr>
                <w:rFonts w:ascii="Times New Roman" w:eastAsia="Times New Roman" w:hAnsi="Times New Roman"/>
                <w:color w:val="000000" w:themeColor="text1"/>
                <w:sz w:val="24"/>
                <w:szCs w:val="24"/>
                <w:lang w:eastAsia="lv-LV"/>
              </w:rPr>
              <w:t xml:space="preserve">, saglabājot tikai pirmās nepieciešamības preču </w:t>
            </w:r>
            <w:r w:rsidR="00A24E36" w:rsidRPr="007D5F2D">
              <w:rPr>
                <w:rFonts w:ascii="Times New Roman" w:eastAsia="Times New Roman" w:hAnsi="Times New Roman"/>
                <w:color w:val="000000" w:themeColor="text1"/>
                <w:sz w:val="24"/>
                <w:szCs w:val="24"/>
                <w:lang w:eastAsia="lv-LV"/>
              </w:rPr>
              <w:t>(higiēnas preču, nepieciešamāko saimniecības preču</w:t>
            </w:r>
            <w:r w:rsidR="00AA1793" w:rsidRPr="007D5F2D">
              <w:rPr>
                <w:rFonts w:ascii="Times New Roman" w:eastAsia="Times New Roman" w:hAnsi="Times New Roman"/>
                <w:color w:val="000000" w:themeColor="text1"/>
                <w:sz w:val="24"/>
                <w:szCs w:val="24"/>
                <w:lang w:eastAsia="lv-LV"/>
              </w:rPr>
              <w:t xml:space="preserve"> (informācija par šīm preču kategorijām pievienota </w:t>
            </w:r>
            <w:r w:rsidR="006C7A8F" w:rsidRPr="007D5F2D">
              <w:rPr>
                <w:rFonts w:ascii="Times New Roman" w:eastAsia="Times New Roman" w:hAnsi="Times New Roman"/>
                <w:color w:val="000000" w:themeColor="text1"/>
                <w:sz w:val="24"/>
                <w:szCs w:val="24"/>
                <w:lang w:eastAsia="lv-LV"/>
              </w:rPr>
              <w:t xml:space="preserve">anotācijas 1. un 2. </w:t>
            </w:r>
            <w:r w:rsidR="00AA1793" w:rsidRPr="007D5F2D">
              <w:rPr>
                <w:rFonts w:ascii="Times New Roman" w:eastAsia="Times New Roman" w:hAnsi="Times New Roman"/>
                <w:color w:val="000000" w:themeColor="text1"/>
                <w:sz w:val="24"/>
                <w:szCs w:val="24"/>
                <w:lang w:eastAsia="lv-LV"/>
              </w:rPr>
              <w:t>pielikumā)</w:t>
            </w:r>
            <w:r w:rsidR="00A24E36" w:rsidRPr="007D5F2D">
              <w:rPr>
                <w:rFonts w:ascii="Times New Roman" w:eastAsia="Times New Roman" w:hAnsi="Times New Roman"/>
                <w:color w:val="000000" w:themeColor="text1"/>
                <w:sz w:val="24"/>
                <w:szCs w:val="24"/>
                <w:lang w:eastAsia="lv-LV"/>
              </w:rPr>
              <w:t xml:space="preserve">, dzīvnieku barības, preses, sabiedriskā transporta biļešu, kā arī individuālo aizsardzības līdzekļu) un </w:t>
            </w:r>
            <w:r w:rsidR="00851336" w:rsidRPr="007D5F2D">
              <w:rPr>
                <w:rFonts w:ascii="Times New Roman" w:eastAsia="Times New Roman" w:hAnsi="Times New Roman"/>
                <w:color w:val="000000" w:themeColor="text1"/>
                <w:sz w:val="24"/>
                <w:szCs w:val="24"/>
                <w:lang w:eastAsia="lv-LV"/>
              </w:rPr>
              <w:t>pārtikas tirdzniecību,</w:t>
            </w:r>
            <w:r w:rsidR="00A24E36" w:rsidRPr="007D5F2D">
              <w:rPr>
                <w:rFonts w:ascii="Times New Roman" w:eastAsia="Times New Roman" w:hAnsi="Times New Roman"/>
                <w:color w:val="000000" w:themeColor="text1"/>
                <w:sz w:val="24"/>
                <w:szCs w:val="24"/>
                <w:lang w:eastAsia="lv-LV"/>
              </w:rPr>
              <w:t xml:space="preserve"> kā arī nodrošinot </w:t>
            </w:r>
            <w:r w:rsidR="00CB19D0" w:rsidRPr="007D5F2D">
              <w:rPr>
                <w:rFonts w:ascii="Times New Roman" w:eastAsia="Times New Roman" w:hAnsi="Times New Roman" w:cs="Times New Roman"/>
                <w:sz w:val="24"/>
                <w:szCs w:val="24"/>
                <w:lang w:eastAsia="lv-LV"/>
              </w:rPr>
              <w:t xml:space="preserve">iespēju tirgot pašu ražotu lauksaimniecības produkciju, tas ir likumīgu zemes lietotāju pašu audzēta, iegūta un ražota lauksaimniecības produkcija, kā arī no pašu ražotās lauksaimniecības produkcijas iegūtie pārstrādes produkti, kā arī tiek atļauts tirgot arī ziedus un </w:t>
            </w:r>
            <w:r w:rsidR="00FB08D1" w:rsidRPr="007D5F2D">
              <w:rPr>
                <w:rFonts w:ascii="Times New Roman" w:eastAsia="Times New Roman" w:hAnsi="Times New Roman" w:cs="Times New Roman"/>
                <w:sz w:val="24"/>
                <w:szCs w:val="24"/>
                <w:lang w:eastAsia="lv-LV"/>
              </w:rPr>
              <w:t>Z</w:t>
            </w:r>
            <w:r w:rsidR="00CB19D0" w:rsidRPr="007D5F2D">
              <w:rPr>
                <w:rFonts w:ascii="Times New Roman" w:eastAsia="Times New Roman" w:hAnsi="Times New Roman" w:cs="Times New Roman"/>
                <w:sz w:val="24"/>
                <w:szCs w:val="24"/>
                <w:lang w:eastAsia="lv-LV"/>
              </w:rPr>
              <w:t>iemassvētku eglītes.</w:t>
            </w:r>
            <w:r w:rsidR="00FB08D1" w:rsidRPr="007D5F2D">
              <w:rPr>
                <w:rFonts w:ascii="Times New Roman" w:eastAsia="Times New Roman" w:hAnsi="Times New Roman" w:cs="Times New Roman"/>
                <w:sz w:val="24"/>
                <w:szCs w:val="24"/>
                <w:lang w:eastAsia="lv-LV"/>
              </w:rPr>
              <w:t xml:space="preserve"> </w:t>
            </w:r>
          </w:p>
          <w:p w14:paraId="0ED67082" w14:textId="7E7D2A85" w:rsidR="0064152E" w:rsidRPr="007D5F2D" w:rsidRDefault="00A20F6F" w:rsidP="00E1792B">
            <w:pPr>
              <w:spacing w:after="0" w:line="240" w:lineRule="auto"/>
              <w:jc w:val="both"/>
              <w:rPr>
                <w:rFonts w:ascii="Times New Roman" w:eastAsia="Times New Roman" w:hAnsi="Times New Roman" w:cs="Times New Roman"/>
                <w:sz w:val="24"/>
                <w:szCs w:val="24"/>
                <w:lang w:eastAsia="lv-LV"/>
              </w:rPr>
            </w:pPr>
            <w:r w:rsidRPr="007D5F2D">
              <w:rPr>
                <w:rFonts w:ascii="Times New Roman" w:eastAsia="Times New Roman" w:hAnsi="Times New Roman" w:cs="Times New Roman"/>
                <w:sz w:val="24"/>
                <w:szCs w:val="24"/>
                <w:lang w:eastAsia="lv-LV"/>
              </w:rPr>
              <w:t xml:space="preserve">Paredzēts, ka no </w:t>
            </w:r>
            <w:r w:rsidR="007D5F2D" w:rsidRPr="007D5F2D">
              <w:rPr>
                <w:rFonts w:ascii="Times New Roman" w:eastAsia="Times New Roman" w:hAnsi="Times New Roman" w:cs="Times New Roman"/>
                <w:sz w:val="24"/>
                <w:szCs w:val="24"/>
                <w:lang w:eastAsia="lv-LV"/>
              </w:rPr>
              <w:t>19</w:t>
            </w:r>
            <w:r w:rsidRPr="007D5F2D">
              <w:rPr>
                <w:rFonts w:ascii="Times New Roman" w:eastAsia="Times New Roman" w:hAnsi="Times New Roman" w:cs="Times New Roman"/>
                <w:sz w:val="24"/>
                <w:szCs w:val="24"/>
                <w:lang w:eastAsia="lv-LV"/>
              </w:rPr>
              <w:t xml:space="preserve">.12.20. līdz </w:t>
            </w:r>
            <w:r w:rsidR="007D5F2D" w:rsidRPr="007D5F2D">
              <w:rPr>
                <w:rFonts w:ascii="Times New Roman" w:eastAsia="Times New Roman" w:hAnsi="Times New Roman" w:cs="Times New Roman"/>
                <w:sz w:val="24"/>
                <w:szCs w:val="24"/>
                <w:lang w:eastAsia="lv-LV"/>
              </w:rPr>
              <w:t>11</w:t>
            </w:r>
            <w:r w:rsidRPr="007D5F2D">
              <w:rPr>
                <w:rFonts w:ascii="Times New Roman" w:eastAsia="Times New Roman" w:hAnsi="Times New Roman" w:cs="Times New Roman"/>
                <w:sz w:val="24"/>
                <w:szCs w:val="24"/>
                <w:lang w:eastAsia="lv-LV"/>
              </w:rPr>
              <w:t xml:space="preserve">.01.20. nedarbosies veikali klātienes tirdzniecībai, neatkarīgi no to platības vai tirdzniecības vietu skaita, izņemot 5.7. apakšpunktā minētās tirdzniecības vietas. </w:t>
            </w:r>
            <w:r w:rsidR="00E1792B" w:rsidRPr="007D5F2D">
              <w:rPr>
                <w:rFonts w:ascii="Times New Roman" w:eastAsia="Times New Roman" w:hAnsi="Times New Roman" w:cs="Times New Roman"/>
                <w:sz w:val="24"/>
                <w:szCs w:val="24"/>
                <w:lang w:eastAsia="lv-LV"/>
              </w:rPr>
              <w:t>Šā rīkojuma 5.7. apakšpunktā noteiktie ierobežojumi nav attiecināmi uz preču tirdzniecību, izmantojot distances saziņas līdzekļus, kā arī preču izsniegšanu pie tirdzniecības vietas vai tajā, ja preces iegādātas, izmantojot distances saziņas līdzekļus.</w:t>
            </w:r>
            <w:r w:rsidR="00CB19D0" w:rsidRPr="007D5F2D">
              <w:rPr>
                <w:rFonts w:ascii="Times New Roman" w:eastAsia="Times New Roman" w:hAnsi="Times New Roman" w:cs="Times New Roman"/>
                <w:sz w:val="24"/>
                <w:szCs w:val="24"/>
                <w:lang w:eastAsia="lv-LV"/>
              </w:rPr>
              <w:t xml:space="preserve"> </w:t>
            </w:r>
          </w:p>
          <w:p w14:paraId="449BBA92" w14:textId="7AF3E004" w:rsidR="00E1792B" w:rsidRPr="007D5F2D" w:rsidRDefault="00CB19D0" w:rsidP="00E1792B">
            <w:pPr>
              <w:spacing w:after="0" w:line="240" w:lineRule="auto"/>
              <w:jc w:val="both"/>
              <w:rPr>
                <w:rFonts w:ascii="Times New Roman" w:hAnsi="Times New Roman" w:cs="Times New Roman"/>
                <w:sz w:val="24"/>
                <w:szCs w:val="24"/>
                <w:shd w:val="clear" w:color="auto" w:fill="FFFFFF"/>
              </w:rPr>
            </w:pPr>
            <w:r w:rsidRPr="007D5F2D">
              <w:rPr>
                <w:rFonts w:ascii="Times New Roman" w:eastAsia="Times New Roman" w:hAnsi="Times New Roman" w:cs="Times New Roman"/>
                <w:sz w:val="24"/>
                <w:szCs w:val="24"/>
                <w:lang w:eastAsia="lv-LV"/>
              </w:rPr>
              <w:t>Minētie</w:t>
            </w:r>
            <w:r w:rsidRPr="007D5F2D">
              <w:rPr>
                <w:rFonts w:ascii="Times New Roman" w:hAnsi="Times New Roman" w:cs="Times New Roman"/>
                <w:sz w:val="24"/>
                <w:szCs w:val="24"/>
                <w:shd w:val="clear" w:color="auto" w:fill="FFFFFF"/>
              </w:rPr>
              <w:t xml:space="preserve"> ierobežojumi ir attiecināmi uz mazumtirdzniecības vietām. Vienlaikus ierobežojumi netiek noteikti  vairumtirdzniecībai</w:t>
            </w:r>
            <w:r w:rsidR="00FB08D1" w:rsidRPr="007D5F2D">
              <w:rPr>
                <w:rFonts w:ascii="Times New Roman" w:hAnsi="Times New Roman" w:cs="Times New Roman"/>
                <w:sz w:val="24"/>
                <w:szCs w:val="24"/>
                <w:shd w:val="clear" w:color="auto" w:fill="FFFFFF"/>
              </w:rPr>
              <w:t>, kas tiek veikta</w:t>
            </w:r>
            <w:r w:rsidRPr="007D5F2D">
              <w:rPr>
                <w:rFonts w:ascii="Times New Roman" w:hAnsi="Times New Roman" w:cs="Times New Roman"/>
                <w:sz w:val="24"/>
                <w:szCs w:val="24"/>
                <w:shd w:val="clear" w:color="auto" w:fill="FFFFFF"/>
              </w:rPr>
              <w:t xml:space="preserve"> vairumtirdzniecības vietās (bāzēs).</w:t>
            </w:r>
          </w:p>
          <w:p w14:paraId="67DBFA1C" w14:textId="661C7D12" w:rsidR="0064152E" w:rsidRPr="007D5F2D" w:rsidRDefault="0064152E" w:rsidP="0064152E">
            <w:pPr>
              <w:spacing w:after="0" w:line="240" w:lineRule="auto"/>
              <w:jc w:val="both"/>
              <w:rPr>
                <w:rFonts w:ascii="Times New Roman" w:eastAsia="Times New Roman" w:hAnsi="Times New Roman" w:cs="Times New Roman"/>
                <w:sz w:val="24"/>
                <w:szCs w:val="24"/>
                <w:lang w:eastAsia="lv-LV"/>
              </w:rPr>
            </w:pPr>
            <w:r w:rsidRPr="007D5F2D">
              <w:rPr>
                <w:rFonts w:ascii="Times New Roman" w:eastAsia="Times New Roman" w:hAnsi="Times New Roman" w:cs="Times New Roman"/>
                <w:sz w:val="24"/>
                <w:szCs w:val="24"/>
                <w:lang w:eastAsia="lv-LV"/>
              </w:rPr>
              <w:t>Tiek arī noteikti papildus drošības pasākumi tirdzniecības vietās, nosakot pienākumu nodrošināt ne mazāk kā 15m</w:t>
            </w:r>
            <w:r w:rsidRPr="007D5F2D">
              <w:rPr>
                <w:rFonts w:ascii="Times New Roman" w:eastAsia="Times New Roman" w:hAnsi="Times New Roman" w:cs="Times New Roman"/>
                <w:sz w:val="24"/>
                <w:szCs w:val="24"/>
                <w:vertAlign w:val="superscript"/>
                <w:lang w:eastAsia="lv-LV"/>
              </w:rPr>
              <w:t xml:space="preserve">2 </w:t>
            </w:r>
            <w:r w:rsidRPr="007D5F2D">
              <w:rPr>
                <w:rFonts w:ascii="Times New Roman" w:eastAsia="Times New Roman" w:hAnsi="Times New Roman" w:cs="Times New Roman"/>
                <w:sz w:val="24"/>
                <w:szCs w:val="24"/>
                <w:lang w:eastAsia="lv-LV"/>
              </w:rPr>
              <w:t xml:space="preserve">no </w:t>
            </w:r>
            <w:r w:rsidRPr="007D5F2D">
              <w:rPr>
                <w:rFonts w:ascii="Times New Roman" w:hAnsi="Times New Roman" w:cs="Times New Roman"/>
                <w:sz w:val="24"/>
                <w:szCs w:val="24"/>
              </w:rPr>
              <w:t xml:space="preserve">publiski pieejamās telpu platības (neņemot vērā platību, ko aizņem tirdzniecības un tehnoloģiskās iekārtas). Tas atbilst 20% no tirdzniecības vietas kapacitātes noslogojuma. Tāpat arī tiek noteikts, ka apmeklētāju skaita regulēšanai tiek izmantoti ratiņi, groziņi vai iepirkšanās somas un to skaits kopā nedrīkst pārsniegt maksimāli atļauto apmeklētāju skaitu tirdzniecības vietā un </w:t>
            </w:r>
            <w:proofErr w:type="gramStart"/>
            <w:r w:rsidRPr="007D5F2D">
              <w:rPr>
                <w:rFonts w:ascii="Times New Roman" w:hAnsi="Times New Roman" w:cs="Times New Roman"/>
                <w:sz w:val="24"/>
                <w:szCs w:val="24"/>
              </w:rPr>
              <w:t>vienlaicīgi ir</w:t>
            </w:r>
            <w:proofErr w:type="gramEnd"/>
            <w:r w:rsidRPr="007D5F2D">
              <w:rPr>
                <w:rFonts w:ascii="Times New Roman" w:hAnsi="Times New Roman" w:cs="Times New Roman"/>
                <w:sz w:val="24"/>
                <w:szCs w:val="24"/>
              </w:rPr>
              <w:t xml:space="preserve"> jānodrošina, ka tirdzniecības vietā neatrodas pircēji bez ratiņiem, groziņa vai iepirkšanās somas.</w:t>
            </w:r>
          </w:p>
          <w:p w14:paraId="0F591735" w14:textId="32D232D1" w:rsidR="0064152E" w:rsidRPr="007D5F2D" w:rsidRDefault="0064152E" w:rsidP="00E1792B">
            <w:pPr>
              <w:spacing w:after="0" w:line="240" w:lineRule="auto"/>
              <w:jc w:val="both"/>
              <w:rPr>
                <w:rFonts w:ascii="Times New Roman" w:eastAsia="Times New Roman" w:hAnsi="Times New Roman" w:cs="Times New Roman"/>
                <w:sz w:val="24"/>
                <w:szCs w:val="24"/>
                <w:lang w:eastAsia="lv-LV"/>
              </w:rPr>
            </w:pPr>
            <w:proofErr w:type="gramStart"/>
            <w:r w:rsidRPr="007D5F2D">
              <w:rPr>
                <w:rFonts w:ascii="Times New Roman" w:eastAsia="Times New Roman" w:hAnsi="Times New Roman" w:cs="Times New Roman"/>
                <w:sz w:val="24"/>
                <w:szCs w:val="24"/>
                <w:lang w:eastAsia="lv-LV"/>
              </w:rPr>
              <w:t>Papildus drošības</w:t>
            </w:r>
            <w:proofErr w:type="gramEnd"/>
            <w:r w:rsidRPr="007D5F2D">
              <w:rPr>
                <w:rFonts w:ascii="Times New Roman" w:eastAsia="Times New Roman" w:hAnsi="Times New Roman" w:cs="Times New Roman"/>
                <w:sz w:val="24"/>
                <w:szCs w:val="24"/>
                <w:lang w:eastAsia="lv-LV"/>
              </w:rPr>
              <w:t xml:space="preserve"> </w:t>
            </w:r>
            <w:r w:rsidR="00FB08D1" w:rsidRPr="007D5F2D">
              <w:rPr>
                <w:rFonts w:ascii="Times New Roman" w:eastAsia="Times New Roman" w:hAnsi="Times New Roman" w:cs="Times New Roman"/>
                <w:sz w:val="24"/>
                <w:szCs w:val="24"/>
                <w:lang w:eastAsia="lv-LV"/>
              </w:rPr>
              <w:t xml:space="preserve">nolūkos </w:t>
            </w:r>
            <w:r w:rsidRPr="007D5F2D">
              <w:rPr>
                <w:rFonts w:ascii="Times New Roman" w:eastAsia="Times New Roman" w:hAnsi="Times New Roman" w:cs="Times New Roman"/>
                <w:sz w:val="24"/>
                <w:szCs w:val="24"/>
                <w:lang w:eastAsia="lv-LV"/>
              </w:rPr>
              <w:t>arī tiek noteikts, ka tirdzniecības centros t</w:t>
            </w:r>
            <w:r w:rsidR="00FB08D1" w:rsidRPr="007D5F2D">
              <w:rPr>
                <w:rFonts w:ascii="Times New Roman" w:eastAsia="Times New Roman" w:hAnsi="Times New Roman" w:cs="Times New Roman"/>
                <w:sz w:val="24"/>
                <w:szCs w:val="24"/>
                <w:lang w:eastAsia="lv-LV"/>
              </w:rPr>
              <w:t>i</w:t>
            </w:r>
            <w:r w:rsidRPr="007D5F2D">
              <w:rPr>
                <w:rFonts w:ascii="Times New Roman" w:eastAsia="Times New Roman" w:hAnsi="Times New Roman" w:cs="Times New Roman"/>
                <w:sz w:val="24"/>
                <w:szCs w:val="24"/>
                <w:lang w:eastAsia="lv-LV"/>
              </w:rPr>
              <w:t>ek kontrolēta apmeklētāju plūsma un skaits, summējot katrā tirdzniecības centra tirdzniecības vietā maksimāli pieļaujamo apmeklētāju skaitu.</w:t>
            </w:r>
          </w:p>
          <w:p w14:paraId="0F92E6E0" w14:textId="754A2AAC" w:rsidR="0064152E" w:rsidRPr="007D5F2D" w:rsidRDefault="0064152E" w:rsidP="00E1792B">
            <w:pPr>
              <w:spacing w:after="0" w:line="240" w:lineRule="auto"/>
              <w:jc w:val="both"/>
              <w:rPr>
                <w:rFonts w:ascii="Times New Roman" w:eastAsia="Times New Roman" w:hAnsi="Times New Roman" w:cs="Times New Roman"/>
                <w:sz w:val="24"/>
                <w:szCs w:val="24"/>
                <w:lang w:eastAsia="lv-LV"/>
              </w:rPr>
            </w:pPr>
            <w:r w:rsidRPr="007D5F2D">
              <w:rPr>
                <w:rFonts w:ascii="Times New Roman" w:eastAsia="Times New Roman" w:hAnsi="Times New Roman" w:cs="Times New Roman"/>
                <w:sz w:val="24"/>
                <w:szCs w:val="24"/>
                <w:lang w:eastAsia="lv-LV"/>
              </w:rPr>
              <w:t xml:space="preserve">Tāpat tiek noteikts, ka no </w:t>
            </w:r>
            <w:r w:rsidR="007D5F2D" w:rsidRPr="007D5F2D">
              <w:rPr>
                <w:rFonts w:ascii="Times New Roman" w:eastAsia="Times New Roman" w:hAnsi="Times New Roman" w:cs="Times New Roman"/>
                <w:sz w:val="24"/>
                <w:szCs w:val="24"/>
                <w:lang w:eastAsia="lv-LV"/>
              </w:rPr>
              <w:t>19</w:t>
            </w:r>
            <w:r w:rsidRPr="007D5F2D">
              <w:rPr>
                <w:rFonts w:ascii="Times New Roman" w:eastAsia="Times New Roman" w:hAnsi="Times New Roman" w:cs="Times New Roman"/>
                <w:sz w:val="24"/>
                <w:szCs w:val="24"/>
                <w:lang w:eastAsia="lv-LV"/>
              </w:rPr>
              <w:t xml:space="preserve">.12.20. līdz </w:t>
            </w:r>
            <w:r w:rsidR="007D5F2D" w:rsidRPr="007D5F2D">
              <w:rPr>
                <w:rFonts w:ascii="Times New Roman" w:eastAsia="Times New Roman" w:hAnsi="Times New Roman" w:cs="Times New Roman"/>
                <w:sz w:val="24"/>
                <w:szCs w:val="24"/>
                <w:lang w:eastAsia="lv-LV"/>
              </w:rPr>
              <w:t>11</w:t>
            </w:r>
            <w:r w:rsidRPr="007D5F2D">
              <w:rPr>
                <w:rFonts w:ascii="Times New Roman" w:eastAsia="Times New Roman" w:hAnsi="Times New Roman" w:cs="Times New Roman"/>
                <w:sz w:val="24"/>
                <w:szCs w:val="24"/>
                <w:lang w:eastAsia="lv-LV"/>
              </w:rPr>
              <w:t xml:space="preserve">.01.2020. tirdzniecības </w:t>
            </w:r>
            <w:r w:rsidR="005A0756" w:rsidRPr="007D5F2D">
              <w:rPr>
                <w:rFonts w:ascii="Times New Roman" w:eastAsia="Times New Roman" w:hAnsi="Times New Roman" w:cs="Times New Roman"/>
                <w:sz w:val="24"/>
                <w:szCs w:val="24"/>
                <w:lang w:eastAsia="lv-LV"/>
              </w:rPr>
              <w:t xml:space="preserve">pakalpojuma sniegšanas vietā pircēji tiek </w:t>
            </w:r>
            <w:r w:rsidRPr="007D5F2D">
              <w:rPr>
                <w:rFonts w:ascii="Times New Roman" w:eastAsia="Times New Roman" w:hAnsi="Times New Roman" w:cs="Times New Roman"/>
                <w:sz w:val="24"/>
                <w:szCs w:val="24"/>
                <w:lang w:eastAsia="lv-LV"/>
              </w:rPr>
              <w:t>ielaist</w:t>
            </w:r>
            <w:r w:rsidR="005A0756" w:rsidRPr="007D5F2D">
              <w:rPr>
                <w:rFonts w:ascii="Times New Roman" w:eastAsia="Times New Roman" w:hAnsi="Times New Roman" w:cs="Times New Roman"/>
                <w:sz w:val="24"/>
                <w:szCs w:val="24"/>
                <w:lang w:eastAsia="lv-LV"/>
              </w:rPr>
              <w:t>i</w:t>
            </w:r>
            <w:r w:rsidRPr="007D5F2D">
              <w:rPr>
                <w:rFonts w:ascii="Times New Roman" w:eastAsia="Times New Roman" w:hAnsi="Times New Roman" w:cs="Times New Roman"/>
                <w:sz w:val="24"/>
                <w:szCs w:val="24"/>
                <w:lang w:eastAsia="lv-LV"/>
              </w:rPr>
              <w:t xml:space="preserve"> tikai </w:t>
            </w:r>
            <w:r w:rsidR="005A0756" w:rsidRPr="007D5F2D">
              <w:rPr>
                <w:rFonts w:ascii="Times New Roman" w:eastAsia="Times New Roman" w:hAnsi="Times New Roman" w:cs="Times New Roman"/>
                <w:sz w:val="24"/>
                <w:szCs w:val="24"/>
                <w:lang w:eastAsia="lv-LV"/>
              </w:rPr>
              <w:t>pa viena</w:t>
            </w:r>
            <w:r w:rsidR="00AA1793" w:rsidRPr="007D5F2D">
              <w:rPr>
                <w:rFonts w:ascii="Times New Roman" w:eastAsia="Times New Roman" w:hAnsi="Times New Roman" w:cs="Times New Roman"/>
                <w:sz w:val="24"/>
                <w:szCs w:val="24"/>
                <w:lang w:eastAsia="lv-LV"/>
              </w:rPr>
              <w:t>m</w:t>
            </w:r>
            <w:r w:rsidR="005A0756" w:rsidRPr="007D5F2D">
              <w:rPr>
                <w:rFonts w:ascii="Times New Roman" w:eastAsia="Times New Roman" w:hAnsi="Times New Roman" w:cs="Times New Roman"/>
                <w:sz w:val="24"/>
                <w:szCs w:val="24"/>
                <w:lang w:eastAsia="lv-LV"/>
              </w:rPr>
              <w:t>. Tas nozīmē, ka netiek pieļauts, ka vienlaicīgi vairāki mājsaimniecības locekļi dodas uz veikalu iepirkties</w:t>
            </w:r>
            <w:r w:rsidR="00122C83" w:rsidRPr="007D5F2D">
              <w:rPr>
                <w:rFonts w:ascii="Times New Roman" w:eastAsia="Times New Roman" w:hAnsi="Times New Roman" w:cs="Times New Roman"/>
                <w:sz w:val="24"/>
                <w:szCs w:val="24"/>
                <w:lang w:eastAsia="lv-LV"/>
              </w:rPr>
              <w:t>,</w:t>
            </w:r>
            <w:r w:rsidR="005A0756" w:rsidRPr="007D5F2D">
              <w:rPr>
                <w:rFonts w:ascii="Times New Roman" w:eastAsia="Times New Roman" w:hAnsi="Times New Roman" w:cs="Times New Roman"/>
                <w:sz w:val="24"/>
                <w:szCs w:val="24"/>
                <w:lang w:eastAsia="lv-LV"/>
              </w:rPr>
              <w:t xml:space="preserve"> tādējādi radot </w:t>
            </w:r>
            <w:proofErr w:type="gramStart"/>
            <w:r w:rsidR="005A0756" w:rsidRPr="007D5F2D">
              <w:rPr>
                <w:rFonts w:ascii="Times New Roman" w:eastAsia="Times New Roman" w:hAnsi="Times New Roman" w:cs="Times New Roman"/>
                <w:sz w:val="24"/>
                <w:szCs w:val="24"/>
                <w:lang w:eastAsia="lv-LV"/>
              </w:rPr>
              <w:t>papildus cilvēku drūzmēšanos</w:t>
            </w:r>
            <w:proofErr w:type="gramEnd"/>
            <w:r w:rsidR="005A0756" w:rsidRPr="007D5F2D">
              <w:rPr>
                <w:rFonts w:ascii="Times New Roman" w:eastAsia="Times New Roman" w:hAnsi="Times New Roman" w:cs="Times New Roman"/>
                <w:sz w:val="24"/>
                <w:szCs w:val="24"/>
                <w:lang w:eastAsia="lv-LV"/>
              </w:rPr>
              <w:t xml:space="preserve"> tirdzniecības vietā. Laikā, kad ierobežots cilvēku skaits var atrasties tirdzniecības vietā, ir svarīgi, lai veikalu apmeklētu </w:t>
            </w:r>
            <w:r w:rsidR="00FB08D1" w:rsidRPr="007D5F2D">
              <w:rPr>
                <w:rFonts w:ascii="Times New Roman" w:eastAsia="Times New Roman" w:hAnsi="Times New Roman" w:cs="Times New Roman"/>
                <w:sz w:val="24"/>
                <w:szCs w:val="24"/>
                <w:lang w:eastAsia="lv-LV"/>
              </w:rPr>
              <w:t xml:space="preserve">viens </w:t>
            </w:r>
            <w:r w:rsidR="005A0756" w:rsidRPr="007D5F2D">
              <w:rPr>
                <w:rFonts w:ascii="Times New Roman" w:eastAsia="Times New Roman" w:hAnsi="Times New Roman" w:cs="Times New Roman"/>
                <w:sz w:val="24"/>
                <w:szCs w:val="24"/>
                <w:lang w:eastAsia="lv-LV"/>
              </w:rPr>
              <w:t xml:space="preserve">mājsaimniecības pārstāvis. Izņēmuma gadījumos ir </w:t>
            </w:r>
            <w:proofErr w:type="gramStart"/>
            <w:r w:rsidR="005A0756" w:rsidRPr="007D5F2D">
              <w:rPr>
                <w:rFonts w:ascii="Times New Roman" w:eastAsia="Times New Roman" w:hAnsi="Times New Roman" w:cs="Times New Roman"/>
                <w:sz w:val="24"/>
                <w:szCs w:val="24"/>
                <w:lang w:eastAsia="lv-LV"/>
              </w:rPr>
              <w:t>pieļaujam</w:t>
            </w:r>
            <w:r w:rsidR="00122C83" w:rsidRPr="007D5F2D">
              <w:rPr>
                <w:rFonts w:ascii="Times New Roman" w:eastAsia="Times New Roman" w:hAnsi="Times New Roman" w:cs="Times New Roman"/>
                <w:sz w:val="24"/>
                <w:szCs w:val="24"/>
                <w:lang w:eastAsia="lv-LV"/>
              </w:rPr>
              <w:t>a</w:t>
            </w:r>
            <w:r w:rsidR="005A0756" w:rsidRPr="007D5F2D">
              <w:rPr>
                <w:rFonts w:ascii="Times New Roman" w:eastAsia="Times New Roman" w:hAnsi="Times New Roman" w:cs="Times New Roman"/>
                <w:sz w:val="24"/>
                <w:szCs w:val="24"/>
                <w:lang w:eastAsia="lv-LV"/>
              </w:rPr>
              <w:t xml:space="preserve"> situācijas</w:t>
            </w:r>
            <w:proofErr w:type="gramEnd"/>
            <w:r w:rsidR="005A0756" w:rsidRPr="007D5F2D">
              <w:rPr>
                <w:rFonts w:ascii="Times New Roman" w:eastAsia="Times New Roman" w:hAnsi="Times New Roman" w:cs="Times New Roman"/>
                <w:sz w:val="24"/>
                <w:szCs w:val="24"/>
                <w:lang w:eastAsia="lv-LV"/>
              </w:rPr>
              <w:t>, kad kādam no vecākiem nav iespējams pieskatīt bērnu līdz 12 gadu vecumam, tad viens pieaugušais var doties ar vienu vai vairākiem bērniem līdz 12 gadu vecumam kopīgi uz veikalu iepirkties.</w:t>
            </w:r>
          </w:p>
          <w:p w14:paraId="544C35E9" w14:textId="66E6E4CE" w:rsidR="00846A00" w:rsidRPr="007D5F2D" w:rsidRDefault="00A24E36"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Šādā veidā</w:t>
            </w:r>
            <w:r w:rsidR="00851336" w:rsidRPr="007D5F2D">
              <w:rPr>
                <w:rFonts w:ascii="Times New Roman" w:eastAsia="Times New Roman" w:hAnsi="Times New Roman"/>
                <w:color w:val="000000" w:themeColor="text1"/>
                <w:sz w:val="24"/>
                <w:szCs w:val="24"/>
                <w:lang w:eastAsia="lv-LV"/>
              </w:rPr>
              <w:t xml:space="preserve"> ir iespējams samazināt </w:t>
            </w:r>
            <w:r w:rsidR="001539E9" w:rsidRPr="007D5F2D">
              <w:rPr>
                <w:rFonts w:ascii="Times New Roman" w:eastAsia="Times New Roman" w:hAnsi="Times New Roman"/>
                <w:color w:val="000000" w:themeColor="text1"/>
                <w:sz w:val="24"/>
                <w:szCs w:val="24"/>
                <w:lang w:eastAsia="lv-LV"/>
              </w:rPr>
              <w:t>augsto</w:t>
            </w:r>
            <w:r w:rsidR="00851336" w:rsidRPr="007D5F2D">
              <w:rPr>
                <w:rFonts w:ascii="Times New Roman" w:eastAsia="Times New Roman" w:hAnsi="Times New Roman"/>
                <w:color w:val="000000" w:themeColor="text1"/>
                <w:sz w:val="24"/>
                <w:szCs w:val="24"/>
                <w:lang w:eastAsia="lv-LV"/>
              </w:rPr>
              <w:t xml:space="preserve"> iedzīvotāju mobilitāti</w:t>
            </w:r>
            <w:proofErr w:type="gramStart"/>
            <w:r w:rsidR="00851336" w:rsidRPr="007D5F2D">
              <w:rPr>
                <w:rFonts w:ascii="Times New Roman" w:eastAsia="Times New Roman" w:hAnsi="Times New Roman"/>
                <w:color w:val="000000" w:themeColor="text1"/>
                <w:sz w:val="24"/>
                <w:szCs w:val="24"/>
                <w:lang w:eastAsia="lv-LV"/>
              </w:rPr>
              <w:t xml:space="preserve"> drūzmējoties iekštelpās</w:t>
            </w:r>
            <w:r w:rsidRPr="007D5F2D">
              <w:rPr>
                <w:rFonts w:ascii="Times New Roman" w:eastAsia="Times New Roman" w:hAnsi="Times New Roman"/>
                <w:color w:val="000000" w:themeColor="text1"/>
                <w:sz w:val="24"/>
                <w:szCs w:val="24"/>
                <w:lang w:eastAsia="lv-LV"/>
              </w:rPr>
              <w:t>, kā sekas ir straujāka Covid-19 izplatība.</w:t>
            </w:r>
            <w:proofErr w:type="gramEnd"/>
            <w:r w:rsidR="006D3731" w:rsidRPr="007D5F2D">
              <w:rPr>
                <w:rFonts w:ascii="Times New Roman" w:eastAsia="Times New Roman" w:hAnsi="Times New Roman"/>
                <w:color w:val="000000" w:themeColor="text1"/>
                <w:sz w:val="24"/>
                <w:szCs w:val="24"/>
                <w:lang w:eastAsia="lv-LV"/>
              </w:rPr>
              <w:t xml:space="preserve"> Pēc svētku periodā no </w:t>
            </w:r>
            <w:proofErr w:type="gramStart"/>
            <w:r w:rsidR="006D3731" w:rsidRPr="007D5F2D">
              <w:rPr>
                <w:rFonts w:ascii="Times New Roman" w:eastAsia="Times New Roman" w:hAnsi="Times New Roman"/>
                <w:color w:val="000000" w:themeColor="text1"/>
                <w:sz w:val="24"/>
                <w:szCs w:val="24"/>
                <w:lang w:eastAsia="lv-LV"/>
              </w:rPr>
              <w:t>2021.gada</w:t>
            </w:r>
            <w:proofErr w:type="gramEnd"/>
            <w:r w:rsidR="006D3731" w:rsidRPr="007D5F2D">
              <w:rPr>
                <w:rFonts w:ascii="Times New Roman" w:eastAsia="Times New Roman" w:hAnsi="Times New Roman"/>
                <w:color w:val="000000" w:themeColor="text1"/>
                <w:sz w:val="24"/>
                <w:szCs w:val="24"/>
                <w:lang w:eastAsia="lv-LV"/>
              </w:rPr>
              <w:t xml:space="preserve"> 4. janvāra tie paredzēts pamazām atjaunot tirdzniecības vietu darbību, nosakot pienākumu </w:t>
            </w:r>
            <w:r w:rsidR="0064152E" w:rsidRPr="007D5F2D">
              <w:rPr>
                <w:rFonts w:ascii="Times New Roman" w:eastAsia="Times New Roman" w:hAnsi="Times New Roman"/>
                <w:color w:val="000000" w:themeColor="text1"/>
                <w:sz w:val="24"/>
                <w:szCs w:val="24"/>
                <w:lang w:eastAsia="lv-LV"/>
              </w:rPr>
              <w:t xml:space="preserve">tirdzniecības vietās </w:t>
            </w:r>
            <w:r w:rsidR="00AA1793" w:rsidRPr="007D5F2D">
              <w:rPr>
                <w:rFonts w:ascii="Times New Roman" w:eastAsia="Times New Roman" w:hAnsi="Times New Roman"/>
                <w:color w:val="000000" w:themeColor="text1"/>
                <w:sz w:val="24"/>
                <w:szCs w:val="24"/>
                <w:lang w:eastAsia="lv-LV"/>
              </w:rPr>
              <w:t>ievērot stingrus distancēšanās noteikumus.</w:t>
            </w:r>
          </w:p>
          <w:p w14:paraId="574E5F7D" w14:textId="77777777" w:rsidR="007D5F2D" w:rsidRPr="007D5F2D" w:rsidRDefault="007D5F2D" w:rsidP="007D5F2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Apturēta ir arī gadatirgu darbība, savukārt ielu tirdzniecība ir iespējama.</w:t>
            </w:r>
          </w:p>
          <w:p w14:paraId="6AF8475E" w14:textId="32E5C6C9" w:rsidR="00934F3D" w:rsidRPr="007D5F2D" w:rsidRDefault="001004DF"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6</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w:t>
            </w:r>
            <w:proofErr w:type="gramStart"/>
            <w:r w:rsidR="00934F3D" w:rsidRPr="007D5F2D">
              <w:rPr>
                <w:rFonts w:ascii="Times New Roman" w:eastAsia="Times New Roman" w:hAnsi="Times New Roman"/>
                <w:color w:val="000000" w:themeColor="text1"/>
                <w:sz w:val="24"/>
                <w:szCs w:val="24"/>
                <w:lang w:eastAsia="lv-LV"/>
              </w:rPr>
              <w:t>Lai mazinātu cilvēku mobilitāti tiek</w:t>
            </w:r>
            <w:proofErr w:type="gramEnd"/>
            <w:r w:rsidR="00934F3D" w:rsidRPr="007D5F2D">
              <w:rPr>
                <w:rFonts w:ascii="Times New Roman" w:eastAsia="Times New Roman" w:hAnsi="Times New Roman"/>
                <w:color w:val="000000" w:themeColor="text1"/>
                <w:sz w:val="24"/>
                <w:szCs w:val="24"/>
                <w:lang w:eastAsia="lv-LV"/>
              </w:rPr>
              <w:t xml:space="preserve"> arī atcelta iespēja organizēt jebkādus izglītības pasākumus, tai skaitā interešu izglītību, profesionālo izglītību un pieaugušo neformālo izglītību individuāli klātienē. Izglītības process notiek tikai attālināti. </w:t>
            </w:r>
            <w:r w:rsidR="007D5F2D" w:rsidRPr="007D5F2D">
              <w:rPr>
                <w:rFonts w:ascii="Times New Roman" w:eastAsia="Times New Roman" w:hAnsi="Times New Roman"/>
                <w:color w:val="000000" w:themeColor="text1"/>
                <w:sz w:val="24"/>
                <w:szCs w:val="24"/>
                <w:lang w:eastAsia="lv-LV"/>
              </w:rPr>
              <w:t>Tai skaitā arī svētdienas skolu darbība notiks attālināti.</w:t>
            </w:r>
          </w:p>
          <w:p w14:paraId="51D6E1A6" w14:textId="65ADF7A5" w:rsidR="00934F3D" w:rsidRPr="007D5F2D" w:rsidRDefault="00B43B6B"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N</w:t>
            </w:r>
            <w:r w:rsidR="00934F3D" w:rsidRPr="007D5F2D">
              <w:rPr>
                <w:rFonts w:ascii="Times New Roman" w:eastAsia="Times New Roman" w:hAnsi="Times New Roman"/>
                <w:color w:val="000000" w:themeColor="text1"/>
                <w:sz w:val="24"/>
                <w:szCs w:val="24"/>
                <w:lang w:eastAsia="lv-LV"/>
              </w:rPr>
              <w:t>o 18.12.20</w:t>
            </w:r>
            <w:r w:rsidR="00361F4D" w:rsidRPr="007D5F2D">
              <w:rPr>
                <w:rFonts w:ascii="Times New Roman" w:eastAsia="Times New Roman" w:hAnsi="Times New Roman"/>
                <w:color w:val="000000" w:themeColor="text1"/>
                <w:sz w:val="24"/>
                <w:szCs w:val="24"/>
                <w:lang w:eastAsia="lv-LV"/>
              </w:rPr>
              <w:t>20.</w:t>
            </w:r>
            <w:r w:rsidR="00934F3D" w:rsidRPr="007D5F2D">
              <w:rPr>
                <w:rFonts w:ascii="Times New Roman" w:eastAsia="Times New Roman" w:hAnsi="Times New Roman"/>
                <w:color w:val="000000" w:themeColor="text1"/>
                <w:sz w:val="24"/>
                <w:szCs w:val="24"/>
                <w:lang w:eastAsia="lv-LV"/>
              </w:rPr>
              <w:t xml:space="preserve"> sākas vispārējās izglītības iestāžu brīvlaiks, </w:t>
            </w:r>
            <w:r w:rsidRPr="007D5F2D">
              <w:rPr>
                <w:rFonts w:ascii="Times New Roman" w:eastAsia="Times New Roman" w:hAnsi="Times New Roman"/>
                <w:color w:val="000000" w:themeColor="text1"/>
                <w:sz w:val="24"/>
                <w:szCs w:val="24"/>
                <w:lang w:eastAsia="lv-LV"/>
              </w:rPr>
              <w:t>kura laikā notiks sagatavošanās otrajam mācību semestrim. Neskatoties uz to, ka ārkārtējās situācijas laikā vispārējās izglītības procesa apguvē bija iesaistīti tikai pirmo līdz ceturto klašu bērni, bērnu nogādāšanā uz skolu bija iesaistīti arī</w:t>
            </w:r>
            <w:proofErr w:type="gramStart"/>
            <w:r w:rsidRPr="007D5F2D">
              <w:rPr>
                <w:rFonts w:ascii="Times New Roman" w:eastAsia="Times New Roman" w:hAnsi="Times New Roman"/>
                <w:color w:val="000000" w:themeColor="text1"/>
                <w:sz w:val="24"/>
                <w:szCs w:val="24"/>
                <w:lang w:eastAsia="lv-LV"/>
              </w:rPr>
              <w:t xml:space="preserve">  </w:t>
            </w:r>
            <w:proofErr w:type="gramEnd"/>
            <w:r w:rsidRPr="007D5F2D">
              <w:rPr>
                <w:rFonts w:ascii="Times New Roman" w:eastAsia="Times New Roman" w:hAnsi="Times New Roman"/>
                <w:color w:val="000000" w:themeColor="text1"/>
                <w:sz w:val="24"/>
                <w:szCs w:val="24"/>
                <w:lang w:eastAsia="lv-LV"/>
              </w:rPr>
              <w:t xml:space="preserve">vecāki, kas ir papildus cilvēku mobilitātes faktors, kā arī papildus </w:t>
            </w:r>
            <w:r w:rsidR="001539E9" w:rsidRPr="007D5F2D">
              <w:rPr>
                <w:rFonts w:ascii="Times New Roman" w:eastAsia="Times New Roman" w:hAnsi="Times New Roman"/>
                <w:color w:val="000000" w:themeColor="text1"/>
                <w:sz w:val="24"/>
                <w:szCs w:val="24"/>
                <w:lang w:eastAsia="lv-LV"/>
              </w:rPr>
              <w:t>riska faktori no</w:t>
            </w:r>
            <w:r w:rsidRPr="007D5F2D">
              <w:rPr>
                <w:rFonts w:ascii="Times New Roman" w:eastAsia="Times New Roman" w:hAnsi="Times New Roman"/>
                <w:color w:val="000000" w:themeColor="text1"/>
                <w:sz w:val="24"/>
                <w:szCs w:val="24"/>
                <w:lang w:eastAsia="lv-LV"/>
              </w:rPr>
              <w:t xml:space="preserve"> sabiedrisk</w:t>
            </w:r>
            <w:r w:rsidR="001539E9" w:rsidRPr="007D5F2D">
              <w:rPr>
                <w:rFonts w:ascii="Times New Roman" w:eastAsia="Times New Roman" w:hAnsi="Times New Roman"/>
                <w:color w:val="000000" w:themeColor="text1"/>
                <w:sz w:val="24"/>
                <w:szCs w:val="24"/>
                <w:lang w:eastAsia="lv-LV"/>
              </w:rPr>
              <w:t>ā</w:t>
            </w:r>
            <w:r w:rsidRPr="007D5F2D">
              <w:rPr>
                <w:rFonts w:ascii="Times New Roman" w:eastAsia="Times New Roman" w:hAnsi="Times New Roman"/>
                <w:color w:val="000000" w:themeColor="text1"/>
                <w:sz w:val="24"/>
                <w:szCs w:val="24"/>
                <w:lang w:eastAsia="lv-LV"/>
              </w:rPr>
              <w:t xml:space="preserve"> transporta</w:t>
            </w:r>
            <w:r w:rsidR="001539E9" w:rsidRPr="007D5F2D">
              <w:rPr>
                <w:rFonts w:ascii="Times New Roman" w:eastAsia="Times New Roman" w:hAnsi="Times New Roman"/>
                <w:color w:val="000000" w:themeColor="text1"/>
                <w:sz w:val="24"/>
                <w:szCs w:val="24"/>
                <w:lang w:eastAsia="lv-LV"/>
              </w:rPr>
              <w:t xml:space="preserve"> izmantošanas</w:t>
            </w:r>
            <w:r w:rsidRPr="007D5F2D">
              <w:rPr>
                <w:rFonts w:ascii="Times New Roman" w:eastAsia="Times New Roman" w:hAnsi="Times New Roman"/>
                <w:color w:val="000000" w:themeColor="text1"/>
                <w:sz w:val="24"/>
                <w:szCs w:val="24"/>
                <w:lang w:eastAsia="lv-LV"/>
              </w:rPr>
              <w:t xml:space="preserve">. Papildus jāņem vērā, ka daļa bērnu </w:t>
            </w:r>
            <w:r w:rsidR="00846A00" w:rsidRPr="007D5F2D">
              <w:rPr>
                <w:rFonts w:ascii="Times New Roman" w:eastAsia="Times New Roman" w:hAnsi="Times New Roman"/>
                <w:color w:val="000000" w:themeColor="text1"/>
                <w:sz w:val="24"/>
                <w:szCs w:val="24"/>
                <w:lang w:eastAsia="lv-LV"/>
              </w:rPr>
              <w:t xml:space="preserve">dzīvo </w:t>
            </w:r>
            <w:proofErr w:type="gramStart"/>
            <w:r w:rsidR="00846A00" w:rsidRPr="007D5F2D">
              <w:rPr>
                <w:rFonts w:ascii="Times New Roman" w:eastAsia="Times New Roman" w:hAnsi="Times New Roman"/>
                <w:color w:val="000000" w:themeColor="text1"/>
                <w:sz w:val="24"/>
                <w:szCs w:val="24"/>
                <w:lang w:eastAsia="lv-LV"/>
              </w:rPr>
              <w:t>citā administratīvajā teritorijā</w:t>
            </w:r>
            <w:proofErr w:type="gramEnd"/>
            <w:r w:rsidR="00846A00" w:rsidRPr="007D5F2D">
              <w:rPr>
                <w:rFonts w:ascii="Times New Roman" w:eastAsia="Times New Roman" w:hAnsi="Times New Roman"/>
                <w:color w:val="000000" w:themeColor="text1"/>
                <w:sz w:val="24"/>
                <w:szCs w:val="24"/>
                <w:lang w:eastAsia="lv-LV"/>
              </w:rPr>
              <w:t xml:space="preserve"> un uz izglītības iestādi dodas uz citu administratīvo teritoriju.</w:t>
            </w:r>
            <w:r w:rsidRPr="007D5F2D">
              <w:rPr>
                <w:rFonts w:ascii="Times New Roman" w:eastAsia="Times New Roman" w:hAnsi="Times New Roman"/>
                <w:color w:val="000000" w:themeColor="text1"/>
                <w:sz w:val="24"/>
                <w:szCs w:val="24"/>
                <w:lang w:eastAsia="lv-LV"/>
              </w:rPr>
              <w:t xml:space="preserve"> Tādēļ, lai maksimāli </w:t>
            </w:r>
            <w:r w:rsidR="00846A00" w:rsidRPr="007D5F2D">
              <w:rPr>
                <w:rFonts w:ascii="Times New Roman" w:eastAsia="Times New Roman" w:hAnsi="Times New Roman"/>
                <w:color w:val="000000" w:themeColor="text1"/>
                <w:sz w:val="24"/>
                <w:szCs w:val="24"/>
                <w:lang w:eastAsia="lv-LV"/>
              </w:rPr>
              <w:t>mazinātu</w:t>
            </w:r>
            <w:r w:rsidRPr="007D5F2D">
              <w:rPr>
                <w:rFonts w:ascii="Times New Roman" w:eastAsia="Times New Roman" w:hAnsi="Times New Roman"/>
                <w:color w:val="000000" w:themeColor="text1"/>
                <w:sz w:val="24"/>
                <w:szCs w:val="24"/>
                <w:lang w:eastAsia="lv-LV"/>
              </w:rPr>
              <w:t xml:space="preserve"> cilvēku </w:t>
            </w:r>
            <w:r w:rsidR="00846A00" w:rsidRPr="007D5F2D">
              <w:rPr>
                <w:rFonts w:ascii="Times New Roman" w:eastAsia="Times New Roman" w:hAnsi="Times New Roman"/>
                <w:color w:val="000000" w:themeColor="text1"/>
                <w:sz w:val="24"/>
                <w:szCs w:val="24"/>
                <w:lang w:eastAsia="lv-LV"/>
              </w:rPr>
              <w:t>pārvietošanos un uzturēšanos ārpus savas ģimenes, tiek paredzēts pagarināt</w:t>
            </w:r>
            <w:r w:rsidR="001004DF" w:rsidRPr="007D5F2D">
              <w:rPr>
                <w:rFonts w:ascii="Times New Roman" w:eastAsia="Times New Roman" w:hAnsi="Times New Roman"/>
                <w:color w:val="000000" w:themeColor="text1"/>
                <w:sz w:val="24"/>
                <w:szCs w:val="24"/>
                <w:lang w:eastAsia="lv-LV"/>
              </w:rPr>
              <w:t xml:space="preserve"> pirmo līdz sesto klašu</w:t>
            </w:r>
            <w:r w:rsidR="00846A00" w:rsidRPr="007D5F2D">
              <w:rPr>
                <w:rFonts w:ascii="Times New Roman" w:eastAsia="Times New Roman" w:hAnsi="Times New Roman"/>
                <w:color w:val="000000" w:themeColor="text1"/>
                <w:sz w:val="24"/>
                <w:szCs w:val="24"/>
                <w:lang w:eastAsia="lv-LV"/>
              </w:rPr>
              <w:t xml:space="preserve"> mācību brīvlaiku līdz </w:t>
            </w:r>
            <w:proofErr w:type="gramStart"/>
            <w:r w:rsidR="00846A00" w:rsidRPr="007D5F2D">
              <w:rPr>
                <w:rFonts w:ascii="Times New Roman" w:eastAsia="Times New Roman" w:hAnsi="Times New Roman"/>
                <w:color w:val="000000" w:themeColor="text1"/>
                <w:sz w:val="24"/>
                <w:szCs w:val="24"/>
                <w:lang w:eastAsia="lv-LV"/>
              </w:rPr>
              <w:t>8.janvārim</w:t>
            </w:r>
            <w:proofErr w:type="gramEnd"/>
            <w:r w:rsidR="00846A00" w:rsidRPr="007D5F2D">
              <w:rPr>
                <w:rFonts w:ascii="Times New Roman" w:eastAsia="Times New Roman" w:hAnsi="Times New Roman"/>
                <w:color w:val="000000" w:themeColor="text1"/>
                <w:sz w:val="24"/>
                <w:szCs w:val="24"/>
                <w:lang w:eastAsia="lv-LV"/>
              </w:rPr>
              <w:t>, kas sakrīt ar papildus stingrāko ierobežojumu laiku.</w:t>
            </w:r>
            <w:r w:rsidR="00CE6506" w:rsidRPr="007D5F2D">
              <w:rPr>
                <w:rFonts w:ascii="Times New Roman" w:eastAsia="Times New Roman" w:hAnsi="Times New Roman"/>
                <w:color w:val="000000" w:themeColor="text1"/>
                <w:sz w:val="24"/>
                <w:szCs w:val="24"/>
                <w:lang w:eastAsia="lv-LV"/>
              </w:rPr>
              <w:t xml:space="preserve"> Pārējie skolēnu no </w:t>
            </w:r>
            <w:proofErr w:type="gramStart"/>
            <w:r w:rsidR="00CE6506" w:rsidRPr="007D5F2D">
              <w:rPr>
                <w:rFonts w:ascii="Times New Roman" w:eastAsia="Times New Roman" w:hAnsi="Times New Roman"/>
                <w:color w:val="000000" w:themeColor="text1"/>
                <w:sz w:val="24"/>
                <w:szCs w:val="24"/>
                <w:lang w:eastAsia="lv-LV"/>
              </w:rPr>
              <w:t>4.janvāra</w:t>
            </w:r>
            <w:proofErr w:type="gramEnd"/>
            <w:r w:rsidR="00CE6506" w:rsidRPr="007D5F2D">
              <w:rPr>
                <w:rFonts w:ascii="Times New Roman" w:eastAsia="Times New Roman" w:hAnsi="Times New Roman"/>
                <w:color w:val="000000" w:themeColor="text1"/>
                <w:sz w:val="24"/>
                <w:szCs w:val="24"/>
                <w:lang w:eastAsia="lv-LV"/>
              </w:rPr>
              <w:t xml:space="preserve"> atsāks mācības attālināti.</w:t>
            </w:r>
          </w:p>
          <w:p w14:paraId="3B9B8AED" w14:textId="19DA1D3A" w:rsidR="00DF492E" w:rsidRPr="007D5F2D" w:rsidRDefault="00CE6506" w:rsidP="00DF492E">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7</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xml:space="preserve"> Lai nodrošinātu, ka ne tikai reģionos, bet visā Latvijas teritorijā ārstniecības pakalpojumu sniegšanā var turpināt darbu – klīnisko praksi, rezidenti, nepieciešams attiecīgs grozījums Rīkojum</w:t>
            </w:r>
            <w:r w:rsidR="001539E9" w:rsidRPr="007D5F2D">
              <w:rPr>
                <w:rFonts w:ascii="Times New Roman" w:eastAsia="Times New Roman" w:hAnsi="Times New Roman"/>
                <w:color w:val="000000" w:themeColor="text1"/>
                <w:sz w:val="24"/>
                <w:szCs w:val="24"/>
                <w:lang w:eastAsia="lv-LV"/>
              </w:rPr>
              <w:t>a</w:t>
            </w:r>
            <w:r w:rsidR="00DF492E" w:rsidRPr="007D5F2D">
              <w:rPr>
                <w:rFonts w:ascii="Times New Roman" w:eastAsia="Times New Roman" w:hAnsi="Times New Roman"/>
                <w:color w:val="000000" w:themeColor="text1"/>
                <w:sz w:val="24"/>
                <w:szCs w:val="24"/>
                <w:lang w:eastAsia="lv-LV"/>
              </w:rPr>
              <w:t xml:space="preserve"> 5.13.2.4. apakšpunktā.</w:t>
            </w:r>
          </w:p>
          <w:p w14:paraId="592D75F8" w14:textId="17C48A60" w:rsidR="00934F3D" w:rsidRPr="007D5F2D" w:rsidRDefault="00CE6506"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8</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w:t>
            </w:r>
            <w:r w:rsidR="00934F3D" w:rsidRPr="007D5F2D">
              <w:rPr>
                <w:rFonts w:ascii="Times New Roman" w:eastAsia="Times New Roman" w:hAnsi="Times New Roman"/>
                <w:color w:val="000000" w:themeColor="text1"/>
                <w:sz w:val="24"/>
                <w:szCs w:val="24"/>
                <w:lang w:eastAsia="lv-LV"/>
              </w:rPr>
              <w:t>Analoģiski</w:t>
            </w:r>
            <w:r w:rsidR="00DF492E" w:rsidRPr="007D5F2D">
              <w:rPr>
                <w:rFonts w:ascii="Times New Roman" w:eastAsia="Times New Roman" w:hAnsi="Times New Roman"/>
                <w:color w:val="000000" w:themeColor="text1"/>
                <w:sz w:val="24"/>
                <w:szCs w:val="24"/>
                <w:lang w:eastAsia="lv-LV"/>
              </w:rPr>
              <w:t xml:space="preserve"> ar prasībām interešu, profesionālajai un pieaugušo neformālajai izglītībai, l</w:t>
            </w:r>
            <w:r w:rsidR="00934F3D" w:rsidRPr="007D5F2D">
              <w:rPr>
                <w:rFonts w:ascii="Times New Roman" w:eastAsia="Times New Roman" w:hAnsi="Times New Roman"/>
                <w:color w:val="000000" w:themeColor="text1"/>
                <w:sz w:val="24"/>
                <w:szCs w:val="24"/>
                <w:lang w:eastAsia="lv-LV"/>
              </w:rPr>
              <w:t>ai mazinātu cilvēku mobilitāti un novērstu dažādu cilvēku uzturēšanos iekštelpās, tiek noteikts, ka amatiermākslas kolektīvu mēģinājumi notiek tikai attālināti.</w:t>
            </w:r>
          </w:p>
          <w:p w14:paraId="40139D0F" w14:textId="34E009EB" w:rsidR="00934F3D" w:rsidRPr="007D5F2D" w:rsidRDefault="00CE6506" w:rsidP="00934F3D">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9</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xml:space="preserve"> </w:t>
            </w:r>
            <w:r w:rsidR="00934F3D" w:rsidRPr="007D5F2D">
              <w:rPr>
                <w:rFonts w:ascii="Times New Roman" w:eastAsia="Times New Roman" w:hAnsi="Times New Roman"/>
                <w:color w:val="000000" w:themeColor="text1"/>
                <w:sz w:val="24"/>
                <w:szCs w:val="24"/>
                <w:lang w:eastAsia="lv-LV"/>
              </w:rPr>
              <w:t>Lai mazinātu Covid-19 izplatības riskus</w:t>
            </w:r>
            <w:r w:rsidR="00DF492E" w:rsidRPr="007D5F2D">
              <w:rPr>
                <w:rFonts w:ascii="Times New Roman" w:eastAsia="Times New Roman" w:hAnsi="Times New Roman"/>
                <w:color w:val="000000" w:themeColor="text1"/>
                <w:sz w:val="24"/>
                <w:szCs w:val="24"/>
                <w:lang w:eastAsia="lv-LV"/>
              </w:rPr>
              <w:t>,</w:t>
            </w:r>
            <w:r w:rsidR="00934F3D" w:rsidRPr="007D5F2D">
              <w:rPr>
                <w:rFonts w:ascii="Times New Roman" w:eastAsia="Times New Roman" w:hAnsi="Times New Roman"/>
                <w:color w:val="000000" w:themeColor="text1"/>
                <w:sz w:val="24"/>
                <w:szCs w:val="24"/>
                <w:lang w:eastAsia="lv-LV"/>
              </w:rPr>
              <w:t xml:space="preserve"> sportojot iekštelpās</w:t>
            </w:r>
            <w:r w:rsidR="00DF492E" w:rsidRPr="007D5F2D">
              <w:rPr>
                <w:rFonts w:ascii="Times New Roman" w:eastAsia="Times New Roman" w:hAnsi="Times New Roman"/>
                <w:color w:val="000000" w:themeColor="text1"/>
                <w:sz w:val="24"/>
                <w:szCs w:val="24"/>
                <w:lang w:eastAsia="lv-LV"/>
              </w:rPr>
              <w:t>,</w:t>
            </w:r>
            <w:r w:rsidR="00934F3D" w:rsidRPr="007D5F2D">
              <w:rPr>
                <w:rFonts w:ascii="Times New Roman" w:eastAsia="Times New Roman" w:hAnsi="Times New Roman"/>
                <w:color w:val="000000" w:themeColor="text1"/>
                <w:sz w:val="24"/>
                <w:szCs w:val="24"/>
                <w:lang w:eastAsia="lv-LV"/>
              </w:rPr>
              <w:t xml:space="preserve"> tiek noteikts, ka sporta aktivitātes notiek tikai brīvā dabā, izņemot Latvijas pieaugušo izlases, Latvijas Olimpiskās vienības un Latvijas </w:t>
            </w:r>
            <w:proofErr w:type="spellStart"/>
            <w:r w:rsidR="00934F3D" w:rsidRPr="007D5F2D">
              <w:rPr>
                <w:rFonts w:ascii="Times New Roman" w:eastAsia="Times New Roman" w:hAnsi="Times New Roman"/>
                <w:color w:val="000000" w:themeColor="text1"/>
                <w:sz w:val="24"/>
                <w:szCs w:val="24"/>
                <w:lang w:eastAsia="lv-LV"/>
              </w:rPr>
              <w:t>Paralimpiskās</w:t>
            </w:r>
            <w:proofErr w:type="spellEnd"/>
            <w:r w:rsidR="00934F3D" w:rsidRPr="007D5F2D">
              <w:rPr>
                <w:rFonts w:ascii="Times New Roman" w:eastAsia="Times New Roman" w:hAnsi="Times New Roman"/>
                <w:color w:val="000000" w:themeColor="text1"/>
                <w:sz w:val="24"/>
                <w:szCs w:val="24"/>
                <w:lang w:eastAsia="lv-LV"/>
              </w:rPr>
              <w:t xml:space="preserve"> vienības sportistu, kā arī komandu sporta spēļu starptautisko un augstāko līgu komandu pilngadīgu profesionālu sportistu treniņi.</w:t>
            </w:r>
          </w:p>
          <w:p w14:paraId="7522DE57" w14:textId="64349B5A" w:rsidR="001D6369" w:rsidRPr="007D5F2D" w:rsidRDefault="00CE6506" w:rsidP="001D6369">
            <w:pPr>
              <w:spacing w:after="0" w:line="240" w:lineRule="auto"/>
              <w:jc w:val="both"/>
              <w:rPr>
                <w:rFonts w:ascii="Times New Roman" w:eastAsiaTheme="minorEastAsia" w:hAnsi="Times New Roman" w:cs="Times New Roman"/>
                <w:sz w:val="24"/>
                <w:szCs w:val="24"/>
              </w:rPr>
            </w:pPr>
            <w:r w:rsidRPr="007D5F2D">
              <w:rPr>
                <w:rFonts w:ascii="Times New Roman" w:eastAsia="Times New Roman" w:hAnsi="Times New Roman"/>
                <w:b/>
                <w:bCs/>
                <w:color w:val="000000" w:themeColor="text1"/>
                <w:sz w:val="24"/>
                <w:szCs w:val="24"/>
                <w:lang w:eastAsia="lv-LV"/>
              </w:rPr>
              <w:t>10</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xml:space="preserve"> </w:t>
            </w:r>
            <w:r w:rsidR="00934F3D" w:rsidRPr="007D5F2D">
              <w:rPr>
                <w:rFonts w:ascii="Times New Roman" w:eastAsia="Times New Roman" w:hAnsi="Times New Roman"/>
                <w:color w:val="000000" w:themeColor="text1"/>
                <w:sz w:val="24"/>
                <w:szCs w:val="24"/>
                <w:lang w:eastAsia="lv-LV"/>
              </w:rPr>
              <w:t>Tā kā joprojām tiek novērota Covid-19 izplatība darba kolektīvos, tiek noteikts, ka, ja darba specifika to pieļauj, darbs ir jāveic attālināti. Šis pasākums ir noteikts, lai mazinātu sabiedriskā transporta izmantošanu un darbinieku pulcēšanos darba vietās.</w:t>
            </w:r>
            <w:r w:rsidR="001D6369" w:rsidRPr="007D5F2D">
              <w:rPr>
                <w:rFonts w:ascii="Times New Roman" w:eastAsia="Times New Roman" w:hAnsi="Times New Roman"/>
                <w:color w:val="000000" w:themeColor="text1"/>
                <w:sz w:val="24"/>
                <w:szCs w:val="24"/>
                <w:lang w:eastAsia="lv-LV"/>
              </w:rPr>
              <w:t xml:space="preserve"> </w:t>
            </w:r>
            <w:r w:rsidR="001D6369" w:rsidRPr="007D5F2D">
              <w:rPr>
                <w:rFonts w:ascii="Times New Roman" w:eastAsia="Times New Roman" w:hAnsi="Times New Roman"/>
                <w:sz w:val="24"/>
                <w:szCs w:val="24"/>
                <w:lang w:eastAsia="lv-LV"/>
              </w:rPr>
              <w:t>Darba vietās turpmāk drīkstēs atrasties tikai tie darbinieki, kuri</w:t>
            </w:r>
            <w:r w:rsidR="001D6369" w:rsidRPr="007D5F2D">
              <w:rPr>
                <w:rFonts w:ascii="Times New Roman" w:eastAsia="Times New Roman" w:hAnsi="Times New Roman"/>
                <w:sz w:val="24"/>
                <w:szCs w:val="24"/>
              </w:rPr>
              <w:t xml:space="preserve"> nodrošina darbu nepārtrauktību un nevar to veikt attālināti savā dzīves vietā. Katrs darba devējs izvērtē darbinieku iespējas strādāt attālināti, atbilstoši darba vietas un darāmā darba specifikai. Šādi darbinieki ir, piemēram, pārdevējas, šoferi, krāvēji, ražošanas un citu iekārtu apkalpojošais personāls, policisti, ugunsdzēsēji, apsardzes darbinieki, radio un televīzijas raidījumu diktori un operatori, uzraudzības un kontroles amatpersonas, ārstniecības personas u.c.</w:t>
            </w:r>
            <w:r w:rsidR="007612BD" w:rsidRPr="007D5F2D">
              <w:rPr>
                <w:rFonts w:ascii="Times New Roman" w:eastAsia="Times New Roman" w:hAnsi="Times New Roman"/>
                <w:sz w:val="24"/>
                <w:szCs w:val="24"/>
              </w:rPr>
              <w:t xml:space="preserve"> Tāpat arī atrodoties darba vietā būs atļauta </w:t>
            </w:r>
            <w:r w:rsidR="007612BD" w:rsidRPr="007D5F2D">
              <w:rPr>
                <w:rFonts w:ascii="Times New Roman" w:hAnsi="Times New Roman" w:cs="Times New Roman"/>
                <w:noProof/>
                <w:sz w:val="24"/>
                <w:szCs w:val="24"/>
              </w:rPr>
              <w:t>kultūras un izklaides norišu fiksēšana - ieraksta veikšana vai tiešraides translācija un ar šīs norises sagatavošanu nepieciešamais darba process.</w:t>
            </w:r>
          </w:p>
          <w:p w14:paraId="1C2E9052" w14:textId="665786BB" w:rsidR="007F5BE0" w:rsidRPr="007D5F2D" w:rsidRDefault="009A2C89" w:rsidP="007F5BE0">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1</w:t>
            </w:r>
            <w:r w:rsidR="00CE6506" w:rsidRPr="007D5F2D">
              <w:rPr>
                <w:rFonts w:ascii="Times New Roman" w:eastAsia="Times New Roman" w:hAnsi="Times New Roman"/>
                <w:b/>
                <w:bCs/>
                <w:color w:val="000000" w:themeColor="text1"/>
                <w:sz w:val="24"/>
                <w:szCs w:val="24"/>
                <w:lang w:eastAsia="lv-LV"/>
              </w:rPr>
              <w:t>1</w:t>
            </w:r>
            <w:r w:rsidR="007F5BE0" w:rsidRPr="007D5F2D">
              <w:rPr>
                <w:rFonts w:ascii="Times New Roman" w:eastAsia="Times New Roman" w:hAnsi="Times New Roman"/>
                <w:b/>
                <w:bCs/>
                <w:color w:val="000000" w:themeColor="text1"/>
                <w:sz w:val="24"/>
                <w:szCs w:val="24"/>
                <w:lang w:eastAsia="lv-LV"/>
              </w:rPr>
              <w:t>.</w:t>
            </w:r>
            <w:r w:rsidR="007F5BE0" w:rsidRPr="007D5F2D">
              <w:rPr>
                <w:rFonts w:ascii="Times New Roman" w:eastAsia="Times New Roman" w:hAnsi="Times New Roman"/>
                <w:color w:val="000000" w:themeColor="text1"/>
                <w:sz w:val="24"/>
                <w:szCs w:val="24"/>
                <w:lang w:eastAsia="lv-LV"/>
              </w:rPr>
              <w:t xml:space="preserve"> Tāpat arī rīkojuma projekts paredz precizēt rīkojuma 5.43</w:t>
            </w:r>
            <w:r w:rsidR="00122C83" w:rsidRPr="007D5F2D">
              <w:rPr>
                <w:rFonts w:ascii="Times New Roman" w:eastAsia="Times New Roman" w:hAnsi="Times New Roman"/>
                <w:color w:val="000000" w:themeColor="text1"/>
                <w:sz w:val="24"/>
                <w:szCs w:val="24"/>
                <w:lang w:eastAsia="lv-LV"/>
              </w:rPr>
              <w:t>.</w:t>
            </w:r>
            <w:r w:rsidR="007F5BE0" w:rsidRPr="007D5F2D">
              <w:rPr>
                <w:rFonts w:ascii="Times New Roman" w:eastAsia="Times New Roman" w:hAnsi="Times New Roman"/>
                <w:color w:val="000000" w:themeColor="text1"/>
                <w:sz w:val="24"/>
                <w:szCs w:val="24"/>
                <w:lang w:eastAsia="lv-LV"/>
              </w:rPr>
              <w:t xml:space="preserve"> </w:t>
            </w:r>
            <w:r w:rsidR="00122C83" w:rsidRPr="007D5F2D">
              <w:rPr>
                <w:rFonts w:ascii="Times New Roman" w:eastAsia="Times New Roman" w:hAnsi="Times New Roman"/>
                <w:color w:val="000000" w:themeColor="text1"/>
                <w:sz w:val="24"/>
                <w:szCs w:val="24"/>
                <w:lang w:eastAsia="lv-LV"/>
              </w:rPr>
              <w:t>apakš</w:t>
            </w:r>
            <w:r w:rsidR="007F5BE0" w:rsidRPr="007D5F2D">
              <w:rPr>
                <w:rFonts w:ascii="Times New Roman" w:eastAsia="Times New Roman" w:hAnsi="Times New Roman"/>
                <w:color w:val="000000" w:themeColor="text1"/>
                <w:sz w:val="24"/>
                <w:szCs w:val="24"/>
                <w:lang w:eastAsia="lv-LV"/>
              </w:rPr>
              <w:t>punktu</w:t>
            </w:r>
            <w:r w:rsidR="00122C83" w:rsidRPr="007D5F2D">
              <w:rPr>
                <w:rFonts w:ascii="Times New Roman" w:eastAsia="Times New Roman" w:hAnsi="Times New Roman"/>
                <w:color w:val="000000" w:themeColor="text1"/>
                <w:sz w:val="24"/>
                <w:szCs w:val="24"/>
                <w:lang w:eastAsia="lv-LV"/>
              </w:rPr>
              <w:t>,</w:t>
            </w:r>
            <w:r w:rsidR="007F5BE0" w:rsidRPr="007D5F2D">
              <w:rPr>
                <w:rFonts w:ascii="Times New Roman" w:eastAsia="Times New Roman" w:hAnsi="Times New Roman"/>
                <w:color w:val="000000" w:themeColor="text1"/>
                <w:sz w:val="24"/>
                <w:szCs w:val="24"/>
                <w:lang w:eastAsia="lv-LV"/>
              </w:rPr>
              <w:t xml:space="preserve"> svītrojot Rīkojuma 5.43.apakšpunkta ievaddaļā vārdus „sabiedriskajā transportā un”, jo minētais dublē Ministru kabineta </w:t>
            </w:r>
            <w:proofErr w:type="gramStart"/>
            <w:r w:rsidR="007F5BE0" w:rsidRPr="007D5F2D">
              <w:rPr>
                <w:rFonts w:ascii="Times New Roman" w:eastAsia="Times New Roman" w:hAnsi="Times New Roman"/>
                <w:color w:val="000000" w:themeColor="text1"/>
                <w:sz w:val="24"/>
                <w:szCs w:val="24"/>
                <w:lang w:eastAsia="lv-LV"/>
              </w:rPr>
              <w:t>2020.gada</w:t>
            </w:r>
            <w:proofErr w:type="gramEnd"/>
            <w:r w:rsidR="007F5BE0" w:rsidRPr="007D5F2D">
              <w:rPr>
                <w:rFonts w:ascii="Times New Roman" w:eastAsia="Times New Roman" w:hAnsi="Times New Roman"/>
                <w:color w:val="000000" w:themeColor="text1"/>
                <w:sz w:val="24"/>
                <w:szCs w:val="24"/>
                <w:lang w:eastAsia="lv-LV"/>
              </w:rPr>
              <w:t xml:space="preserve"> 9.jūnija noteikumu Nr.360 „Epidemioloģiskās drošības prasības Covid-19 izplatības ierobežošanai” 6.3.1</w:t>
            </w:r>
            <w:r w:rsidR="00122C83" w:rsidRPr="007D5F2D">
              <w:rPr>
                <w:rFonts w:ascii="Times New Roman" w:eastAsia="Times New Roman" w:hAnsi="Times New Roman"/>
                <w:color w:val="000000" w:themeColor="text1"/>
                <w:sz w:val="24"/>
                <w:szCs w:val="24"/>
                <w:lang w:eastAsia="lv-LV"/>
              </w:rPr>
              <w:t>.</w:t>
            </w:r>
            <w:r w:rsidR="007F5BE0" w:rsidRPr="007D5F2D">
              <w:rPr>
                <w:rFonts w:ascii="Times New Roman" w:eastAsia="Times New Roman" w:hAnsi="Times New Roman"/>
                <w:color w:val="000000" w:themeColor="text1"/>
                <w:sz w:val="24"/>
                <w:szCs w:val="24"/>
                <w:lang w:eastAsia="lv-LV"/>
              </w:rPr>
              <w:t xml:space="preserve"> apakšpunktā noteikto tiesisko regulējumu, kas nosaka, ka no 2020.gada 7.oktobra sabiedriskajā transportlīdzeklī, taksometrā vai vieglajā automobilī, ar kuru veic pasažieru komercpārvadājumus, transportlīdzekļa vadītāji, kuri nav atdalīti ar fizis</w:t>
            </w:r>
            <w:r w:rsidR="00122C83" w:rsidRPr="007D5F2D">
              <w:rPr>
                <w:rFonts w:ascii="Times New Roman" w:eastAsia="Times New Roman" w:hAnsi="Times New Roman"/>
                <w:color w:val="000000" w:themeColor="text1"/>
                <w:sz w:val="24"/>
                <w:szCs w:val="24"/>
                <w:lang w:eastAsia="lv-LV"/>
              </w:rPr>
              <w:t>k</w:t>
            </w:r>
            <w:r w:rsidR="007F5BE0" w:rsidRPr="007D5F2D">
              <w:rPr>
                <w:rFonts w:ascii="Times New Roman" w:eastAsia="Times New Roman" w:hAnsi="Times New Roman"/>
                <w:color w:val="000000" w:themeColor="text1"/>
                <w:sz w:val="24"/>
                <w:szCs w:val="24"/>
                <w:lang w:eastAsia="lv-LV"/>
              </w:rPr>
              <w:t>u barjeru no pasažieriem, kā arī pasažieri, lieto mutes un deguna aizsegus.</w:t>
            </w:r>
          </w:p>
          <w:p w14:paraId="23AD1759" w14:textId="2AF6A08D" w:rsidR="00A44D7F" w:rsidRPr="007D5F2D" w:rsidRDefault="007F5BE0" w:rsidP="007F5BE0">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1</w:t>
            </w:r>
            <w:r w:rsidR="00CE6506" w:rsidRPr="007D5F2D">
              <w:rPr>
                <w:rFonts w:ascii="Times New Roman" w:eastAsia="Times New Roman" w:hAnsi="Times New Roman"/>
                <w:b/>
                <w:bCs/>
                <w:color w:val="000000" w:themeColor="text1"/>
                <w:sz w:val="24"/>
                <w:szCs w:val="24"/>
                <w:lang w:eastAsia="lv-LV"/>
              </w:rPr>
              <w:t>2</w:t>
            </w:r>
            <w:r w:rsidR="00DF492E" w:rsidRPr="007D5F2D">
              <w:rPr>
                <w:rFonts w:ascii="Times New Roman" w:eastAsia="Times New Roman" w:hAnsi="Times New Roman"/>
                <w:b/>
                <w:bCs/>
                <w:color w:val="000000" w:themeColor="text1"/>
                <w:sz w:val="24"/>
                <w:szCs w:val="24"/>
                <w:lang w:eastAsia="lv-LV"/>
              </w:rPr>
              <w:t>.</w:t>
            </w:r>
            <w:r w:rsidR="00DF492E" w:rsidRPr="007D5F2D">
              <w:rPr>
                <w:rFonts w:ascii="Times New Roman" w:eastAsia="Times New Roman" w:hAnsi="Times New Roman"/>
                <w:color w:val="000000" w:themeColor="text1"/>
                <w:sz w:val="24"/>
                <w:szCs w:val="24"/>
                <w:lang w:eastAsia="lv-LV"/>
              </w:rPr>
              <w:t xml:space="preserve"> </w:t>
            </w:r>
            <w:r w:rsidR="00934F3D" w:rsidRPr="007D5F2D">
              <w:rPr>
                <w:rFonts w:ascii="Times New Roman" w:eastAsia="Times New Roman" w:hAnsi="Times New Roman"/>
                <w:color w:val="000000" w:themeColor="text1"/>
                <w:sz w:val="24"/>
                <w:szCs w:val="24"/>
                <w:lang w:eastAsia="lv-LV"/>
              </w:rPr>
              <w:t xml:space="preserve">Ņemot vērā, ka ne tikai profesionālo orķestru un koru, bet arī tādu profesionālās skatuves mākslas žanru kā teātris un balets darbs nav pilnvērtīgi nodrošināms, valkājot mutes un deguna aizsegus (masku valkāšana neļauj nodrošināt pilnvērtīgu elpošanu baleta māksliniekiem, savukārt teātra māksliniekiem masku valkāšana neļauj darba procesā strādāt pie tēla mīmikas), </w:t>
            </w:r>
            <w:r w:rsidRPr="007D5F2D">
              <w:rPr>
                <w:rFonts w:ascii="Times New Roman" w:eastAsia="Times New Roman" w:hAnsi="Times New Roman"/>
                <w:color w:val="000000" w:themeColor="text1"/>
                <w:sz w:val="24"/>
                <w:szCs w:val="24"/>
                <w:lang w:eastAsia="lv-LV"/>
              </w:rPr>
              <w:t xml:space="preserve">saskaņā ar Kultūras ministrijas priekšlikumu </w:t>
            </w:r>
            <w:r w:rsidR="00DF492E" w:rsidRPr="007D5F2D">
              <w:rPr>
                <w:rFonts w:ascii="Times New Roman" w:eastAsia="Times New Roman" w:hAnsi="Times New Roman"/>
                <w:color w:val="000000" w:themeColor="text1"/>
                <w:sz w:val="24"/>
                <w:szCs w:val="24"/>
                <w:lang w:eastAsia="lv-LV"/>
              </w:rPr>
              <w:t>jā</w:t>
            </w:r>
            <w:r w:rsidR="00934F3D" w:rsidRPr="007D5F2D">
              <w:rPr>
                <w:rFonts w:ascii="Times New Roman" w:eastAsia="Times New Roman" w:hAnsi="Times New Roman"/>
                <w:color w:val="000000" w:themeColor="text1"/>
                <w:sz w:val="24"/>
                <w:szCs w:val="24"/>
                <w:lang w:eastAsia="lv-LV"/>
              </w:rPr>
              <w:t xml:space="preserve">paredz </w:t>
            </w:r>
            <w:r w:rsidR="00E9102C" w:rsidRPr="007D5F2D">
              <w:rPr>
                <w:rFonts w:ascii="Times New Roman" w:eastAsia="Times New Roman" w:hAnsi="Times New Roman"/>
                <w:color w:val="000000" w:themeColor="text1"/>
                <w:sz w:val="24"/>
                <w:szCs w:val="24"/>
                <w:lang w:eastAsia="lv-LV"/>
              </w:rPr>
              <w:t>R</w:t>
            </w:r>
            <w:r w:rsidR="00934F3D" w:rsidRPr="007D5F2D">
              <w:rPr>
                <w:rFonts w:ascii="Times New Roman" w:eastAsia="Times New Roman" w:hAnsi="Times New Roman"/>
                <w:color w:val="000000" w:themeColor="text1"/>
                <w:sz w:val="24"/>
                <w:szCs w:val="24"/>
                <w:lang w:eastAsia="lv-LV"/>
              </w:rPr>
              <w:t xml:space="preserve">īkojuma 5.43.1.apakšpunktā noteikt, ka visu profesionālo skatuves mākslas kolektīvu darbība, tajā skaitā teātru un deju kolektīvu – ir pieļaujama, nelietojot mutes un deguna aizsegus. Atļauja neizmantot mutes un deguna aizsegu attiecināma tikai uz tiešo darba procesu (mēģinājumiem, veicot sagatavošanos ierakstiem un </w:t>
            </w:r>
            <w:proofErr w:type="spellStart"/>
            <w:r w:rsidR="00934F3D" w:rsidRPr="007D5F2D">
              <w:rPr>
                <w:rFonts w:ascii="Times New Roman" w:eastAsia="Times New Roman" w:hAnsi="Times New Roman"/>
                <w:color w:val="000000" w:themeColor="text1"/>
                <w:sz w:val="24"/>
                <w:szCs w:val="24"/>
                <w:lang w:eastAsia="lv-LV"/>
              </w:rPr>
              <w:t>translācijām</w:t>
            </w:r>
            <w:proofErr w:type="spellEnd"/>
            <w:r w:rsidR="00934F3D" w:rsidRPr="007D5F2D">
              <w:rPr>
                <w:rFonts w:ascii="Times New Roman" w:eastAsia="Times New Roman" w:hAnsi="Times New Roman"/>
                <w:color w:val="000000" w:themeColor="text1"/>
                <w:sz w:val="24"/>
                <w:szCs w:val="24"/>
                <w:lang w:eastAsia="lv-LV"/>
              </w:rPr>
              <w:t xml:space="preserve"> tiešsaistē interneta platformās, televīzijās un radio), darba starplaikos turpinot nēsāt aizsegu.</w:t>
            </w:r>
          </w:p>
          <w:p w14:paraId="0EAF4FE1" w14:textId="2D8D531A" w:rsidR="004D7311" w:rsidRPr="007D5F2D" w:rsidRDefault="00BA4BAC" w:rsidP="004D7311">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b/>
                <w:bCs/>
                <w:color w:val="000000" w:themeColor="text1"/>
                <w:sz w:val="24"/>
                <w:szCs w:val="24"/>
                <w:lang w:eastAsia="lv-LV"/>
              </w:rPr>
              <w:t>1</w:t>
            </w:r>
            <w:r w:rsidR="00CE6506" w:rsidRPr="007D5F2D">
              <w:rPr>
                <w:rFonts w:ascii="Times New Roman" w:eastAsia="Times New Roman" w:hAnsi="Times New Roman"/>
                <w:b/>
                <w:bCs/>
                <w:color w:val="000000" w:themeColor="text1"/>
                <w:sz w:val="24"/>
                <w:szCs w:val="24"/>
                <w:lang w:eastAsia="lv-LV"/>
              </w:rPr>
              <w:t>3</w:t>
            </w:r>
            <w:r w:rsidR="004D7311" w:rsidRPr="007D5F2D">
              <w:rPr>
                <w:rFonts w:ascii="Times New Roman" w:eastAsia="Times New Roman" w:hAnsi="Times New Roman"/>
                <w:b/>
                <w:bCs/>
                <w:color w:val="000000" w:themeColor="text1"/>
                <w:sz w:val="24"/>
                <w:szCs w:val="24"/>
                <w:lang w:eastAsia="lv-LV"/>
              </w:rPr>
              <w:t>.</w:t>
            </w:r>
            <w:r w:rsidR="004D7311" w:rsidRPr="007D5F2D">
              <w:t xml:space="preserve"> </w:t>
            </w:r>
            <w:r w:rsidR="004D7311" w:rsidRPr="007D5F2D">
              <w:rPr>
                <w:rFonts w:ascii="Times New Roman" w:eastAsia="Times New Roman" w:hAnsi="Times New Roman"/>
                <w:color w:val="000000" w:themeColor="text1"/>
                <w:sz w:val="24"/>
                <w:szCs w:val="24"/>
                <w:lang w:eastAsia="lv-LV"/>
              </w:rPr>
              <w:t xml:space="preserve">Covid-19 pacienti un to kontaktpersonas īpašā kārtībā var saņemt sekundāros veselības aprūpes pakalpojumus noteiktās ambulatorajās </w:t>
            </w:r>
            <w:proofErr w:type="spellStart"/>
            <w:r w:rsidR="004D7311" w:rsidRPr="007D5F2D">
              <w:rPr>
                <w:rFonts w:ascii="Times New Roman" w:eastAsia="Times New Roman" w:hAnsi="Times New Roman"/>
                <w:color w:val="000000" w:themeColor="text1"/>
                <w:sz w:val="24"/>
                <w:szCs w:val="24"/>
                <w:lang w:eastAsia="lv-LV"/>
              </w:rPr>
              <w:t>ārstniecībās</w:t>
            </w:r>
            <w:proofErr w:type="spellEnd"/>
            <w:r w:rsidR="004D7311" w:rsidRPr="007D5F2D">
              <w:rPr>
                <w:rFonts w:ascii="Times New Roman" w:eastAsia="Times New Roman" w:hAnsi="Times New Roman"/>
                <w:color w:val="000000" w:themeColor="text1"/>
                <w:sz w:val="24"/>
                <w:szCs w:val="24"/>
                <w:lang w:eastAsia="lv-LV"/>
              </w:rPr>
              <w:t xml:space="preserve"> iestādēs, tām īpaši organizējot šo pacientu plūsmu, līdz ar to šiem ambulatoro ārstniecības iestāžu darbiniekiem arī ir nepieciešams nodrošināt no </w:t>
            </w:r>
            <w:proofErr w:type="gramStart"/>
            <w:r w:rsidR="004D7311" w:rsidRPr="007D5F2D">
              <w:rPr>
                <w:rFonts w:ascii="Times New Roman" w:eastAsia="Times New Roman" w:hAnsi="Times New Roman"/>
                <w:color w:val="000000" w:themeColor="text1"/>
                <w:sz w:val="24"/>
                <w:szCs w:val="24"/>
                <w:lang w:eastAsia="lv-LV"/>
              </w:rPr>
              <w:t>2020.gada</w:t>
            </w:r>
            <w:proofErr w:type="gramEnd"/>
            <w:r w:rsidR="004D7311" w:rsidRPr="007D5F2D">
              <w:rPr>
                <w:rFonts w:ascii="Times New Roman" w:eastAsia="Times New Roman" w:hAnsi="Times New Roman"/>
                <w:color w:val="000000" w:themeColor="text1"/>
                <w:sz w:val="24"/>
                <w:szCs w:val="24"/>
                <w:lang w:eastAsia="lv-LV"/>
              </w:rPr>
              <w:t xml:space="preserve"> 9.novembra līdz 2020.gada 31.decembrim piemaksu 100% apmērā no mēnešalgas par darbu paaugstināta riska un slodzes apstākļos saistībā ar Covid-19 infekcijas uzliesmojumu un tās seku novēršanu.</w:t>
            </w:r>
          </w:p>
          <w:p w14:paraId="41636D8F" w14:textId="76981419" w:rsidR="004D7311" w:rsidRPr="007D5F2D" w:rsidRDefault="004D7311" w:rsidP="004D7311">
            <w:pPr>
              <w:spacing w:after="0" w:line="240" w:lineRule="auto"/>
              <w:jc w:val="both"/>
              <w:rPr>
                <w:rFonts w:ascii="Times New Roman" w:eastAsia="Times New Roman" w:hAnsi="Times New Roman"/>
                <w:color w:val="000000" w:themeColor="text1"/>
                <w:sz w:val="24"/>
                <w:szCs w:val="24"/>
                <w:lang w:eastAsia="lv-LV"/>
              </w:rPr>
            </w:pPr>
            <w:r w:rsidRPr="007D5F2D">
              <w:rPr>
                <w:rFonts w:ascii="Times New Roman" w:eastAsia="Times New Roman" w:hAnsi="Times New Roman"/>
                <w:color w:val="000000" w:themeColor="text1"/>
                <w:sz w:val="24"/>
                <w:szCs w:val="24"/>
                <w:lang w:eastAsia="lv-LV"/>
              </w:rPr>
              <w:t xml:space="preserve">Piemaksas tiks nodrošinātas Ministru kabineta </w:t>
            </w:r>
            <w:proofErr w:type="gramStart"/>
            <w:r w:rsidRPr="007D5F2D">
              <w:rPr>
                <w:rFonts w:ascii="Times New Roman" w:eastAsia="Times New Roman" w:hAnsi="Times New Roman"/>
                <w:color w:val="000000" w:themeColor="text1"/>
                <w:sz w:val="24"/>
                <w:szCs w:val="24"/>
                <w:lang w:eastAsia="lv-LV"/>
              </w:rPr>
              <w:t>2020.gada</w:t>
            </w:r>
            <w:proofErr w:type="gramEnd"/>
            <w:r w:rsidRPr="007D5F2D">
              <w:rPr>
                <w:rFonts w:ascii="Times New Roman" w:eastAsia="Times New Roman" w:hAnsi="Times New Roman"/>
                <w:color w:val="000000" w:themeColor="text1"/>
                <w:sz w:val="24"/>
                <w:szCs w:val="24"/>
                <w:lang w:eastAsia="lv-LV"/>
              </w:rPr>
              <w:t xml:space="preserve"> 8.decembra rīkojumā Nr.743 “Grozījumi Ministru kabineta 2020.gada 6.novembra rīkojumā Nr.655 "Par ārkārtējās situācijas izsludināšanu”” iezīmētā finansējuma ietvaros.</w:t>
            </w:r>
          </w:p>
        </w:tc>
      </w:tr>
      <w:tr w:rsidR="00A07928" w:rsidRPr="007D5F2D" w14:paraId="7F6B11A1" w14:textId="77777777" w:rsidTr="000B4DD0">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1F1FB225"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lastRenderedPageBreak/>
              <w:t>3.</w:t>
            </w:r>
          </w:p>
        </w:tc>
        <w:tc>
          <w:tcPr>
            <w:tcW w:w="1488" w:type="dxa"/>
            <w:tcBorders>
              <w:top w:val="outset" w:sz="6" w:space="0" w:color="auto"/>
              <w:left w:val="outset" w:sz="6" w:space="0" w:color="auto"/>
              <w:bottom w:val="outset" w:sz="6" w:space="0" w:color="auto"/>
              <w:right w:val="outset" w:sz="6" w:space="0" w:color="auto"/>
            </w:tcBorders>
            <w:hideMark/>
          </w:tcPr>
          <w:p w14:paraId="1E01E553"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6762" w:type="dxa"/>
            <w:tcBorders>
              <w:top w:val="outset" w:sz="6" w:space="0" w:color="auto"/>
              <w:left w:val="outset" w:sz="6" w:space="0" w:color="auto"/>
              <w:bottom w:val="outset" w:sz="6" w:space="0" w:color="auto"/>
              <w:right w:val="outset" w:sz="6" w:space="0" w:color="auto"/>
            </w:tcBorders>
            <w:hideMark/>
          </w:tcPr>
          <w:p w14:paraId="49C75740" w14:textId="75611208" w:rsidR="005B5F81" w:rsidRPr="007D5F2D" w:rsidRDefault="000E266D" w:rsidP="007F499B">
            <w:pPr>
              <w:pStyle w:val="NormalWeb"/>
              <w:spacing w:before="0" w:after="0"/>
              <w:jc w:val="both"/>
              <w:rPr>
                <w:iCs/>
                <w:color w:val="000000" w:themeColor="text1"/>
              </w:rPr>
            </w:pPr>
            <w:r w:rsidRPr="007D5F2D">
              <w:rPr>
                <w:noProof/>
                <w:color w:val="000000" w:themeColor="text1"/>
              </w:rPr>
              <w:t xml:space="preserve">Veselības ministrija, </w:t>
            </w:r>
            <w:r w:rsidR="000B4DD0" w:rsidRPr="007D5F2D">
              <w:rPr>
                <w:noProof/>
                <w:color w:val="000000" w:themeColor="text1"/>
              </w:rPr>
              <w:t xml:space="preserve">Ekonomikas ministrija, </w:t>
            </w:r>
            <w:r w:rsidR="00B85DF8" w:rsidRPr="007D5F2D">
              <w:rPr>
                <w:noProof/>
                <w:color w:val="000000" w:themeColor="text1"/>
              </w:rPr>
              <w:t xml:space="preserve">Izglītības un zinātnes ministrija, Kultūras ministrija, </w:t>
            </w:r>
            <w:r w:rsidR="005B5F81" w:rsidRPr="007D5F2D">
              <w:rPr>
                <w:noProof/>
                <w:color w:val="000000" w:themeColor="text1"/>
              </w:rPr>
              <w:t>Slimību profilakses un kontroles centrs</w:t>
            </w:r>
            <w:r w:rsidR="00BA4BAC" w:rsidRPr="007D5F2D">
              <w:rPr>
                <w:noProof/>
                <w:color w:val="000000" w:themeColor="text1"/>
              </w:rPr>
              <w:t>, Krīzes vadības koordinācijas grupa Covid-19 izplatības ierobežošanai.</w:t>
            </w:r>
          </w:p>
        </w:tc>
      </w:tr>
      <w:tr w:rsidR="00A07928" w:rsidRPr="007D5F2D" w14:paraId="5974AFC8" w14:textId="77777777" w:rsidTr="000B4DD0">
        <w:trPr>
          <w:tblCellSpacing w:w="14" w:type="dxa"/>
        </w:trPr>
        <w:tc>
          <w:tcPr>
            <w:tcW w:w="561" w:type="dxa"/>
            <w:tcBorders>
              <w:top w:val="outset" w:sz="6" w:space="0" w:color="auto"/>
              <w:left w:val="outset" w:sz="6" w:space="0" w:color="auto"/>
              <w:bottom w:val="outset" w:sz="6" w:space="0" w:color="auto"/>
              <w:right w:val="outset" w:sz="6" w:space="0" w:color="auto"/>
            </w:tcBorders>
            <w:hideMark/>
          </w:tcPr>
          <w:p w14:paraId="49905675"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4.</w:t>
            </w:r>
          </w:p>
        </w:tc>
        <w:tc>
          <w:tcPr>
            <w:tcW w:w="1488" w:type="dxa"/>
            <w:tcBorders>
              <w:top w:val="outset" w:sz="6" w:space="0" w:color="auto"/>
              <w:left w:val="outset" w:sz="6" w:space="0" w:color="auto"/>
              <w:bottom w:val="outset" w:sz="6" w:space="0" w:color="auto"/>
              <w:right w:val="outset" w:sz="6" w:space="0" w:color="auto"/>
            </w:tcBorders>
            <w:hideMark/>
          </w:tcPr>
          <w:p w14:paraId="4151A1D7"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Cita informācija</w:t>
            </w:r>
          </w:p>
        </w:tc>
        <w:tc>
          <w:tcPr>
            <w:tcW w:w="6762" w:type="dxa"/>
            <w:tcBorders>
              <w:top w:val="outset" w:sz="6" w:space="0" w:color="auto"/>
              <w:left w:val="outset" w:sz="6" w:space="0" w:color="auto"/>
              <w:bottom w:val="outset" w:sz="6" w:space="0" w:color="auto"/>
              <w:right w:val="outset" w:sz="6" w:space="0" w:color="auto"/>
            </w:tcBorders>
            <w:hideMark/>
          </w:tcPr>
          <w:p w14:paraId="73BA9F0D"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hAnsi="Times New Roman" w:cs="Times New Roman"/>
                <w:color w:val="000000" w:themeColor="text1"/>
                <w:sz w:val="24"/>
                <w:szCs w:val="24"/>
              </w:rPr>
              <w:t>Nav.</w:t>
            </w:r>
          </w:p>
        </w:tc>
      </w:tr>
    </w:tbl>
    <w:p w14:paraId="6C886172" w14:textId="77777777" w:rsidR="005B5F81" w:rsidRPr="007D5F2D" w:rsidRDefault="005B5F81" w:rsidP="005B5F81">
      <w:pPr>
        <w:tabs>
          <w:tab w:val="left" w:pos="1245"/>
        </w:tabs>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  </w:t>
      </w:r>
      <w:r w:rsidRPr="007D5F2D">
        <w:rPr>
          <w:rFonts w:ascii="Times New Roman" w:eastAsia="Times New Roman" w:hAnsi="Times New Roman" w:cs="Times New Roman"/>
          <w:iCs/>
          <w:color w:val="000000" w:themeColor="text1"/>
          <w:sz w:val="24"/>
          <w:szCs w:val="24"/>
          <w:lang w:eastAsia="lv-LV"/>
        </w:rPr>
        <w:tab/>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2099"/>
        <w:gridCol w:w="6385"/>
      </w:tblGrid>
      <w:tr w:rsidR="00A07928" w:rsidRPr="007D5F2D" w14:paraId="31C1AA7E" w14:textId="77777777" w:rsidTr="007F499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70F51CB"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A07928" w:rsidRPr="007D5F2D" w14:paraId="07EAA1DF" w14:textId="77777777" w:rsidTr="007F499B">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6DB68421"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1.</w:t>
            </w:r>
          </w:p>
        </w:tc>
        <w:tc>
          <w:tcPr>
            <w:tcW w:w="1150" w:type="pct"/>
            <w:tcBorders>
              <w:top w:val="outset" w:sz="6" w:space="0" w:color="auto"/>
              <w:left w:val="outset" w:sz="6" w:space="0" w:color="auto"/>
              <w:bottom w:val="outset" w:sz="6" w:space="0" w:color="auto"/>
              <w:right w:val="outset" w:sz="6" w:space="0" w:color="auto"/>
            </w:tcBorders>
            <w:hideMark/>
          </w:tcPr>
          <w:p w14:paraId="0DF7D676"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Sabiedrības mērķgrupas, kuras tiesiskais regulējums ietekmē</w:t>
            </w:r>
            <w:proofErr w:type="gramStart"/>
            <w:r w:rsidRPr="007D5F2D">
              <w:rPr>
                <w:rFonts w:ascii="Times New Roman" w:eastAsia="Times New Roman" w:hAnsi="Times New Roman" w:cs="Times New Roman"/>
                <w:iCs/>
                <w:color w:val="000000" w:themeColor="text1"/>
                <w:sz w:val="24"/>
                <w:szCs w:val="24"/>
                <w:lang w:eastAsia="lv-LV"/>
              </w:rPr>
              <w:t xml:space="preserve"> vai varētu ietekmēt</w:t>
            </w:r>
            <w:proofErr w:type="gramEnd"/>
          </w:p>
        </w:tc>
        <w:tc>
          <w:tcPr>
            <w:tcW w:w="3492" w:type="pct"/>
            <w:tcBorders>
              <w:top w:val="outset" w:sz="6" w:space="0" w:color="auto"/>
              <w:left w:val="outset" w:sz="6" w:space="0" w:color="auto"/>
              <w:bottom w:val="outset" w:sz="6" w:space="0" w:color="auto"/>
              <w:right w:val="outset" w:sz="6" w:space="0" w:color="auto"/>
            </w:tcBorders>
            <w:hideMark/>
          </w:tcPr>
          <w:p w14:paraId="77EB12B4" w14:textId="5A5CC27A" w:rsidR="005B5F81" w:rsidRPr="007D5F2D" w:rsidRDefault="005B5F81" w:rsidP="007F499B">
            <w:pPr>
              <w:pStyle w:val="NormalWeb"/>
              <w:spacing w:before="0" w:after="0"/>
              <w:jc w:val="both"/>
              <w:rPr>
                <w:iCs/>
                <w:noProof/>
                <w:color w:val="000000" w:themeColor="text1"/>
              </w:rPr>
            </w:pPr>
            <w:r w:rsidRPr="007D5F2D">
              <w:rPr>
                <w:noProof/>
                <w:color w:val="000000" w:themeColor="text1"/>
              </w:rPr>
              <w:t xml:space="preserve">Projekta tiesiskais regulējums attiecas uz </w:t>
            </w:r>
            <w:r w:rsidR="00B85DF8" w:rsidRPr="007D5F2D">
              <w:rPr>
                <w:noProof/>
                <w:color w:val="000000" w:themeColor="text1"/>
              </w:rPr>
              <w:t>visu sabiedrību kopumā, ieceļotājiem</w:t>
            </w:r>
            <w:r w:rsidR="00BA4BAC" w:rsidRPr="007D5F2D">
              <w:rPr>
                <w:noProof/>
                <w:color w:val="000000" w:themeColor="text1"/>
              </w:rPr>
              <w:t xml:space="preserve">, </w:t>
            </w:r>
            <w:r w:rsidR="00BA4BAC" w:rsidRPr="007D5F2D">
              <w:rPr>
                <w:bCs/>
              </w:rPr>
              <w:t>uz</w:t>
            </w:r>
            <w:r w:rsidR="00BA4BAC" w:rsidRPr="007D5F2D">
              <w:rPr>
                <w:noProof/>
                <w:color w:val="000000" w:themeColor="text1"/>
              </w:rPr>
              <w:t xml:space="preserve"> visiem </w:t>
            </w:r>
            <w:r w:rsidR="00BA4BAC" w:rsidRPr="007D5F2D">
              <w:rPr>
                <w:iCs/>
                <w:noProof/>
                <w:color w:val="000000" w:themeColor="text1"/>
              </w:rPr>
              <w:t>subjektiem (fiziskām un juridiskām personām), kuriem ir saistoša epidemioloģiskās drošības prasību ievērošana.</w:t>
            </w:r>
          </w:p>
          <w:p w14:paraId="1039792E" w14:textId="77777777" w:rsidR="00A07928" w:rsidRPr="007D5F2D" w:rsidRDefault="00A07928" w:rsidP="007F499B">
            <w:pPr>
              <w:pStyle w:val="NormalWeb"/>
              <w:spacing w:before="0" w:after="0"/>
              <w:jc w:val="both"/>
              <w:rPr>
                <w:noProof/>
                <w:color w:val="000000" w:themeColor="text1"/>
              </w:rPr>
            </w:pPr>
          </w:p>
        </w:tc>
      </w:tr>
      <w:tr w:rsidR="00A07928" w:rsidRPr="007D5F2D" w14:paraId="50C0FC90" w14:textId="77777777" w:rsidTr="007F499B">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4F50986A"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2.</w:t>
            </w:r>
          </w:p>
        </w:tc>
        <w:tc>
          <w:tcPr>
            <w:tcW w:w="1150" w:type="pct"/>
            <w:tcBorders>
              <w:top w:val="outset" w:sz="6" w:space="0" w:color="auto"/>
              <w:left w:val="outset" w:sz="6" w:space="0" w:color="auto"/>
              <w:bottom w:val="outset" w:sz="6" w:space="0" w:color="auto"/>
              <w:right w:val="outset" w:sz="6" w:space="0" w:color="auto"/>
            </w:tcBorders>
            <w:hideMark/>
          </w:tcPr>
          <w:p w14:paraId="68E5F580" w14:textId="0ECC303C" w:rsidR="005B5F81" w:rsidRPr="007D5F2D" w:rsidRDefault="005B5F81" w:rsidP="00BA4BAC">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Tiesiskā regulējuma ietekme uz tautsaimniecību un administratīvo slogu</w:t>
            </w:r>
          </w:p>
          <w:p w14:paraId="590814BA" w14:textId="77777777" w:rsidR="005B5F81" w:rsidRPr="007D5F2D" w:rsidRDefault="005B5F81" w:rsidP="007F499B">
            <w:pPr>
              <w:rPr>
                <w:rFonts w:ascii="Times New Roman" w:eastAsia="Times New Roman" w:hAnsi="Times New Roman" w:cs="Times New Roman"/>
                <w:color w:val="000000" w:themeColor="text1"/>
                <w:sz w:val="24"/>
                <w:szCs w:val="24"/>
                <w:lang w:eastAsia="lv-LV"/>
              </w:rPr>
            </w:pPr>
          </w:p>
        </w:tc>
        <w:tc>
          <w:tcPr>
            <w:tcW w:w="3492" w:type="pct"/>
            <w:tcBorders>
              <w:top w:val="outset" w:sz="6" w:space="0" w:color="auto"/>
              <w:left w:val="outset" w:sz="6" w:space="0" w:color="auto"/>
              <w:bottom w:val="outset" w:sz="6" w:space="0" w:color="auto"/>
              <w:right w:val="outset" w:sz="6" w:space="0" w:color="auto"/>
            </w:tcBorders>
            <w:hideMark/>
          </w:tcPr>
          <w:p w14:paraId="26100C9F" w14:textId="7B97EF81" w:rsidR="005B5F81" w:rsidRPr="007D5F2D" w:rsidRDefault="005B5F81" w:rsidP="007F499B">
            <w:pPr>
              <w:spacing w:after="0" w:line="240" w:lineRule="auto"/>
              <w:jc w:val="both"/>
              <w:rPr>
                <w:rFonts w:ascii="Times New Roman" w:hAnsi="Times New Roman" w:cs="Times New Roman"/>
                <w:color w:val="000000" w:themeColor="text1"/>
                <w:sz w:val="24"/>
                <w:szCs w:val="24"/>
              </w:rPr>
            </w:pPr>
            <w:r w:rsidRPr="007D5F2D">
              <w:rPr>
                <w:rFonts w:ascii="Times New Roman" w:hAnsi="Times New Roman" w:cs="Times New Roman"/>
                <w:color w:val="000000" w:themeColor="text1"/>
                <w:sz w:val="24"/>
                <w:szCs w:val="24"/>
              </w:rPr>
              <w:t xml:space="preserve"> </w:t>
            </w:r>
            <w:r w:rsidR="00BA4BAC" w:rsidRPr="007D5F2D">
              <w:rPr>
                <w:rFonts w:ascii="Times New Roman" w:hAnsi="Times New Roman" w:cs="Times New Roman"/>
                <w:color w:val="000000" w:themeColor="text1"/>
                <w:sz w:val="24"/>
                <w:szCs w:val="24"/>
              </w:rPr>
              <w:t>Tiesiskajam regulējumam būs ietekme uz tautsaimniecību, tomēr esošajā situācijā prioritāra ir sabiedrības veselība. Panākot Covid-19 izplatības ierobežošanu, tiks novērsts risks sabiedrības veselībai, kā arī risks tautsaimniecībai, kas saistīts ar darba nespēju, zaudētajiem dzīves gadiem un slogu veselības sektoram.</w:t>
            </w:r>
          </w:p>
        </w:tc>
      </w:tr>
      <w:tr w:rsidR="00A07928" w:rsidRPr="007D5F2D" w14:paraId="27B7B95F" w14:textId="77777777" w:rsidTr="007F499B">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16A6011F"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3.</w:t>
            </w:r>
          </w:p>
        </w:tc>
        <w:tc>
          <w:tcPr>
            <w:tcW w:w="1150" w:type="pct"/>
            <w:tcBorders>
              <w:top w:val="outset" w:sz="6" w:space="0" w:color="auto"/>
              <w:left w:val="outset" w:sz="6" w:space="0" w:color="auto"/>
              <w:bottom w:val="outset" w:sz="6" w:space="0" w:color="auto"/>
              <w:right w:val="outset" w:sz="6" w:space="0" w:color="auto"/>
            </w:tcBorders>
            <w:hideMark/>
          </w:tcPr>
          <w:p w14:paraId="7985CFCF"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Administratīvo izmaksu monetārs novērtējums</w:t>
            </w:r>
          </w:p>
        </w:tc>
        <w:tc>
          <w:tcPr>
            <w:tcW w:w="3492" w:type="pct"/>
            <w:tcBorders>
              <w:top w:val="outset" w:sz="6" w:space="0" w:color="auto"/>
              <w:left w:val="outset" w:sz="6" w:space="0" w:color="auto"/>
              <w:bottom w:val="outset" w:sz="6" w:space="0" w:color="auto"/>
              <w:right w:val="outset" w:sz="6" w:space="0" w:color="auto"/>
            </w:tcBorders>
            <w:hideMark/>
          </w:tcPr>
          <w:p w14:paraId="1D823854" w14:textId="77777777" w:rsidR="005B5F81" w:rsidRPr="007D5F2D" w:rsidRDefault="005B5F81" w:rsidP="007F499B">
            <w:pPr>
              <w:spacing w:after="0" w:line="240" w:lineRule="auto"/>
              <w:jc w:val="both"/>
              <w:rPr>
                <w:rFonts w:ascii="Times New Roman" w:hAnsi="Times New Roman" w:cs="Times New Roman"/>
                <w:color w:val="000000" w:themeColor="text1"/>
                <w:sz w:val="24"/>
                <w:szCs w:val="24"/>
              </w:rPr>
            </w:pPr>
            <w:r w:rsidRPr="007D5F2D">
              <w:rPr>
                <w:rFonts w:ascii="Times New Roman" w:hAnsi="Times New Roman" w:cs="Times New Roman"/>
                <w:color w:val="000000" w:themeColor="text1"/>
                <w:sz w:val="24"/>
                <w:szCs w:val="24"/>
              </w:rPr>
              <w:t>Administratīvās izmaksas (naudas izteiksmē) gada laikā mērķgrupai, ko veido fiziskas personas, nepārsniedz 200 eiro, bet mērķgrupai, kuru veido juridiskas personas, – 2000 eiro.</w:t>
            </w:r>
          </w:p>
        </w:tc>
      </w:tr>
      <w:tr w:rsidR="00A07928" w:rsidRPr="007D5F2D" w14:paraId="12333C32" w14:textId="77777777" w:rsidTr="007F499B">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4E4F3698"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4.</w:t>
            </w:r>
          </w:p>
        </w:tc>
        <w:tc>
          <w:tcPr>
            <w:tcW w:w="1150" w:type="pct"/>
            <w:tcBorders>
              <w:top w:val="outset" w:sz="6" w:space="0" w:color="auto"/>
              <w:left w:val="outset" w:sz="6" w:space="0" w:color="auto"/>
              <w:bottom w:val="outset" w:sz="6" w:space="0" w:color="auto"/>
              <w:right w:val="outset" w:sz="6" w:space="0" w:color="auto"/>
            </w:tcBorders>
            <w:hideMark/>
          </w:tcPr>
          <w:p w14:paraId="4FEE5131"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Atbilstības izmaksu monetārs novērtējums</w:t>
            </w:r>
          </w:p>
        </w:tc>
        <w:tc>
          <w:tcPr>
            <w:tcW w:w="3492" w:type="pct"/>
            <w:tcBorders>
              <w:top w:val="outset" w:sz="6" w:space="0" w:color="auto"/>
              <w:left w:val="outset" w:sz="6" w:space="0" w:color="auto"/>
              <w:bottom w:val="outset" w:sz="6" w:space="0" w:color="auto"/>
              <w:right w:val="outset" w:sz="6" w:space="0" w:color="auto"/>
            </w:tcBorders>
            <w:hideMark/>
          </w:tcPr>
          <w:p w14:paraId="04AD94D4" w14:textId="77777777" w:rsidR="005B5F81" w:rsidRPr="007D5F2D" w:rsidRDefault="005B5F81" w:rsidP="007F499B">
            <w:pPr>
              <w:spacing w:after="0" w:line="240" w:lineRule="auto"/>
              <w:jc w:val="both"/>
              <w:rPr>
                <w:rFonts w:ascii="Times New Roman" w:hAnsi="Times New Roman" w:cs="Times New Roman"/>
                <w:color w:val="000000" w:themeColor="text1"/>
                <w:sz w:val="24"/>
                <w:szCs w:val="24"/>
              </w:rPr>
            </w:pPr>
            <w:r w:rsidRPr="007D5F2D">
              <w:rPr>
                <w:rFonts w:ascii="Times New Roman" w:hAnsi="Times New Roman" w:cs="Times New Roman"/>
                <w:color w:val="000000" w:themeColor="text1"/>
                <w:sz w:val="24"/>
                <w:szCs w:val="24"/>
              </w:rPr>
              <w:t>Projekts šo jomu neskar.</w:t>
            </w:r>
          </w:p>
        </w:tc>
      </w:tr>
      <w:tr w:rsidR="00A07928" w:rsidRPr="007D5F2D" w14:paraId="1DBC0617" w14:textId="77777777" w:rsidTr="007F499B">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5298FFF6"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5.</w:t>
            </w:r>
          </w:p>
        </w:tc>
        <w:tc>
          <w:tcPr>
            <w:tcW w:w="1150" w:type="pct"/>
            <w:tcBorders>
              <w:top w:val="outset" w:sz="6" w:space="0" w:color="auto"/>
              <w:left w:val="outset" w:sz="6" w:space="0" w:color="auto"/>
              <w:bottom w:val="outset" w:sz="6" w:space="0" w:color="auto"/>
              <w:right w:val="outset" w:sz="6" w:space="0" w:color="auto"/>
            </w:tcBorders>
            <w:hideMark/>
          </w:tcPr>
          <w:p w14:paraId="52A06A3D"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Cita informācija</w:t>
            </w:r>
          </w:p>
        </w:tc>
        <w:tc>
          <w:tcPr>
            <w:tcW w:w="3492" w:type="pct"/>
            <w:tcBorders>
              <w:top w:val="outset" w:sz="6" w:space="0" w:color="auto"/>
              <w:left w:val="outset" w:sz="6" w:space="0" w:color="auto"/>
              <w:bottom w:val="outset" w:sz="6" w:space="0" w:color="auto"/>
              <w:right w:val="outset" w:sz="6" w:space="0" w:color="auto"/>
            </w:tcBorders>
            <w:hideMark/>
          </w:tcPr>
          <w:p w14:paraId="6F18993F" w14:textId="77777777" w:rsidR="005B5F81" w:rsidRPr="007D5F2D" w:rsidRDefault="00BF1274"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Nav</w:t>
            </w:r>
          </w:p>
        </w:tc>
      </w:tr>
    </w:tbl>
    <w:p w14:paraId="5142721A"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07928" w:rsidRPr="007D5F2D" w14:paraId="56D6BBF0"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202FCD"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5B5F81" w:rsidRPr="007D5F2D" w14:paraId="7A2C3389"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F4D8C2" w14:textId="77777777" w:rsidR="005B5F81" w:rsidRPr="007D5F2D" w:rsidRDefault="005B5F81" w:rsidP="007F499B">
            <w:pPr>
              <w:spacing w:after="0" w:line="240" w:lineRule="auto"/>
              <w:jc w:val="center"/>
              <w:rPr>
                <w:rFonts w:ascii="Times New Roman" w:eastAsia="Times New Roman" w:hAnsi="Times New Roman" w:cs="Times New Roman"/>
                <w:bCs/>
                <w:iCs/>
                <w:color w:val="000000" w:themeColor="text1"/>
                <w:sz w:val="24"/>
                <w:szCs w:val="24"/>
                <w:lang w:val="en-US" w:eastAsia="lv-LV"/>
              </w:rPr>
            </w:pPr>
            <w:proofErr w:type="spellStart"/>
            <w:r w:rsidRPr="007D5F2D">
              <w:rPr>
                <w:rFonts w:ascii="Times New Roman" w:eastAsia="Times New Roman" w:hAnsi="Times New Roman" w:cs="Times New Roman"/>
                <w:bCs/>
                <w:iCs/>
                <w:color w:val="000000" w:themeColor="text1"/>
                <w:sz w:val="24"/>
                <w:szCs w:val="24"/>
                <w:lang w:val="en-US" w:eastAsia="lv-LV"/>
              </w:rPr>
              <w:t>Projekts</w:t>
            </w:r>
            <w:proofErr w:type="spellEnd"/>
            <w:r w:rsidRPr="007D5F2D">
              <w:rPr>
                <w:rFonts w:ascii="Times New Roman" w:eastAsia="Times New Roman" w:hAnsi="Times New Roman" w:cs="Times New Roman"/>
                <w:bCs/>
                <w:iCs/>
                <w:color w:val="000000" w:themeColor="text1"/>
                <w:sz w:val="24"/>
                <w:szCs w:val="24"/>
                <w:lang w:val="en-US" w:eastAsia="lv-LV"/>
              </w:rPr>
              <w:t xml:space="preserve"> </w:t>
            </w:r>
            <w:proofErr w:type="spellStart"/>
            <w:r w:rsidRPr="007D5F2D">
              <w:rPr>
                <w:rFonts w:ascii="Times New Roman" w:eastAsia="Times New Roman" w:hAnsi="Times New Roman" w:cs="Times New Roman"/>
                <w:bCs/>
                <w:iCs/>
                <w:color w:val="000000" w:themeColor="text1"/>
                <w:sz w:val="24"/>
                <w:szCs w:val="24"/>
                <w:lang w:val="en-US" w:eastAsia="lv-LV"/>
              </w:rPr>
              <w:t>šo</w:t>
            </w:r>
            <w:proofErr w:type="spellEnd"/>
            <w:r w:rsidRPr="007D5F2D">
              <w:rPr>
                <w:rFonts w:ascii="Times New Roman" w:eastAsia="Times New Roman" w:hAnsi="Times New Roman" w:cs="Times New Roman"/>
                <w:bCs/>
                <w:iCs/>
                <w:color w:val="000000" w:themeColor="text1"/>
                <w:sz w:val="24"/>
                <w:szCs w:val="24"/>
                <w:lang w:val="en-US" w:eastAsia="lv-LV"/>
              </w:rPr>
              <w:t xml:space="preserve"> </w:t>
            </w:r>
            <w:proofErr w:type="spellStart"/>
            <w:r w:rsidRPr="007D5F2D">
              <w:rPr>
                <w:rFonts w:ascii="Times New Roman" w:eastAsia="Times New Roman" w:hAnsi="Times New Roman" w:cs="Times New Roman"/>
                <w:bCs/>
                <w:iCs/>
                <w:color w:val="000000" w:themeColor="text1"/>
                <w:sz w:val="24"/>
                <w:szCs w:val="24"/>
                <w:lang w:val="en-US" w:eastAsia="lv-LV"/>
              </w:rPr>
              <w:t>jomu</w:t>
            </w:r>
            <w:proofErr w:type="spellEnd"/>
            <w:r w:rsidRPr="007D5F2D">
              <w:rPr>
                <w:rFonts w:ascii="Times New Roman" w:eastAsia="Times New Roman" w:hAnsi="Times New Roman" w:cs="Times New Roman"/>
                <w:bCs/>
                <w:iCs/>
                <w:color w:val="000000" w:themeColor="text1"/>
                <w:sz w:val="24"/>
                <w:szCs w:val="24"/>
                <w:lang w:val="en-US" w:eastAsia="lv-LV"/>
              </w:rPr>
              <w:t xml:space="preserve"> </w:t>
            </w:r>
            <w:proofErr w:type="spellStart"/>
            <w:r w:rsidRPr="007D5F2D">
              <w:rPr>
                <w:rFonts w:ascii="Times New Roman" w:eastAsia="Times New Roman" w:hAnsi="Times New Roman" w:cs="Times New Roman"/>
                <w:bCs/>
                <w:iCs/>
                <w:color w:val="000000" w:themeColor="text1"/>
                <w:sz w:val="24"/>
                <w:szCs w:val="24"/>
                <w:lang w:val="en-US" w:eastAsia="lv-LV"/>
              </w:rPr>
              <w:t>neskar</w:t>
            </w:r>
            <w:proofErr w:type="spellEnd"/>
          </w:p>
        </w:tc>
      </w:tr>
    </w:tbl>
    <w:p w14:paraId="0CC1FD4B"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0"/>
        <w:gridCol w:w="2156"/>
        <w:gridCol w:w="6369"/>
      </w:tblGrid>
      <w:tr w:rsidR="00A07928" w:rsidRPr="007D5F2D" w14:paraId="7F20650C" w14:textId="77777777" w:rsidTr="007F499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1ED6BA"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A07928" w:rsidRPr="007D5F2D" w14:paraId="09D956E9"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18D18881"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1.</w:t>
            </w:r>
          </w:p>
        </w:tc>
        <w:tc>
          <w:tcPr>
            <w:tcW w:w="1174" w:type="pct"/>
            <w:tcBorders>
              <w:top w:val="outset" w:sz="6" w:space="0" w:color="auto"/>
              <w:left w:val="outset" w:sz="6" w:space="0" w:color="auto"/>
              <w:bottom w:val="outset" w:sz="6" w:space="0" w:color="auto"/>
              <w:right w:val="outset" w:sz="6" w:space="0" w:color="auto"/>
            </w:tcBorders>
            <w:hideMark/>
          </w:tcPr>
          <w:p w14:paraId="396E7C2E"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7D5F2D">
              <w:rPr>
                <w:rFonts w:ascii="Times New Roman" w:eastAsia="Times New Roman" w:hAnsi="Times New Roman" w:cs="Times New Roman"/>
                <w:iCs/>
                <w:color w:val="000000" w:themeColor="text1"/>
                <w:sz w:val="24"/>
                <w:szCs w:val="24"/>
                <w:lang w:val="en-US" w:eastAsia="lv-LV"/>
              </w:rPr>
              <w:t>Saistītie</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tiesību</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aktu</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projekti</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5E9EB6D8" w14:textId="77777777" w:rsidR="005B5F81" w:rsidRPr="007D5F2D" w:rsidRDefault="00BF1274" w:rsidP="007F499B">
            <w:pPr>
              <w:spacing w:after="0" w:line="240" w:lineRule="auto"/>
              <w:jc w:val="both"/>
              <w:rPr>
                <w:rFonts w:ascii="Times New Roman" w:hAnsi="Times New Roman" w:cs="Times New Roman"/>
                <w:color w:val="000000" w:themeColor="text1"/>
                <w:sz w:val="24"/>
                <w:szCs w:val="24"/>
              </w:rPr>
            </w:pPr>
            <w:r w:rsidRPr="007D5F2D">
              <w:rPr>
                <w:rFonts w:ascii="Times New Roman" w:hAnsi="Times New Roman" w:cs="Times New Roman"/>
                <w:color w:val="000000" w:themeColor="text1"/>
                <w:sz w:val="24"/>
                <w:szCs w:val="24"/>
              </w:rPr>
              <w:t xml:space="preserve">Tajos jautājumos, ko neregulē šis rīkojums, darbojas </w:t>
            </w:r>
            <w:proofErr w:type="gramStart"/>
            <w:r w:rsidRPr="007D5F2D">
              <w:rPr>
                <w:rFonts w:ascii="Times New Roman" w:hAnsi="Times New Roman" w:cs="Times New Roman"/>
                <w:color w:val="000000" w:themeColor="text1"/>
                <w:sz w:val="24"/>
                <w:szCs w:val="24"/>
              </w:rPr>
              <w:t>2020.gada</w:t>
            </w:r>
            <w:proofErr w:type="gramEnd"/>
            <w:r w:rsidRPr="007D5F2D">
              <w:rPr>
                <w:rFonts w:ascii="Times New Roman" w:hAnsi="Times New Roman" w:cs="Times New Roman"/>
                <w:color w:val="000000" w:themeColor="text1"/>
                <w:sz w:val="24"/>
                <w:szCs w:val="24"/>
              </w:rPr>
              <w:t xml:space="preserve"> 9.jūnija MK noteikumos Nr.360. “Epidemioloģiskās drošības prasības Covid-19 izplatības ierobežošanai” ietvertās normas</w:t>
            </w:r>
          </w:p>
        </w:tc>
      </w:tr>
      <w:tr w:rsidR="00A07928" w:rsidRPr="007D5F2D" w14:paraId="2AE72905"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71E7E555"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2.</w:t>
            </w:r>
          </w:p>
        </w:tc>
        <w:tc>
          <w:tcPr>
            <w:tcW w:w="1174" w:type="pct"/>
            <w:tcBorders>
              <w:top w:val="outset" w:sz="6" w:space="0" w:color="auto"/>
              <w:left w:val="outset" w:sz="6" w:space="0" w:color="auto"/>
              <w:bottom w:val="outset" w:sz="6" w:space="0" w:color="auto"/>
              <w:right w:val="outset" w:sz="6" w:space="0" w:color="auto"/>
            </w:tcBorders>
            <w:hideMark/>
          </w:tcPr>
          <w:p w14:paraId="6855F306"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7D5F2D">
              <w:rPr>
                <w:rFonts w:ascii="Times New Roman" w:eastAsia="Times New Roman" w:hAnsi="Times New Roman" w:cs="Times New Roman"/>
                <w:iCs/>
                <w:color w:val="000000" w:themeColor="text1"/>
                <w:sz w:val="24"/>
                <w:szCs w:val="24"/>
                <w:lang w:val="en-US" w:eastAsia="lv-LV"/>
              </w:rPr>
              <w:t>Atbildīgā</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institūcija</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445924D7"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7D5F2D">
              <w:rPr>
                <w:rFonts w:ascii="Times New Roman" w:eastAsia="Times New Roman" w:hAnsi="Times New Roman" w:cs="Times New Roman"/>
                <w:iCs/>
                <w:color w:val="000000" w:themeColor="text1"/>
                <w:sz w:val="24"/>
                <w:szCs w:val="24"/>
                <w:lang w:val="en-US" w:eastAsia="lv-LV"/>
              </w:rPr>
              <w:t>Veselības</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ministrija</w:t>
            </w:r>
            <w:proofErr w:type="spellEnd"/>
          </w:p>
        </w:tc>
      </w:tr>
      <w:tr w:rsidR="005B5F81" w:rsidRPr="007D5F2D" w14:paraId="1E5130DD" w14:textId="77777777" w:rsidTr="007F499B">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011D614A"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3.</w:t>
            </w:r>
          </w:p>
        </w:tc>
        <w:tc>
          <w:tcPr>
            <w:tcW w:w="1174" w:type="pct"/>
            <w:tcBorders>
              <w:top w:val="outset" w:sz="6" w:space="0" w:color="auto"/>
              <w:left w:val="outset" w:sz="6" w:space="0" w:color="auto"/>
              <w:bottom w:val="outset" w:sz="6" w:space="0" w:color="auto"/>
              <w:right w:val="outset" w:sz="6" w:space="0" w:color="auto"/>
            </w:tcBorders>
            <w:hideMark/>
          </w:tcPr>
          <w:p w14:paraId="5F29F766"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7D5F2D">
              <w:rPr>
                <w:rFonts w:ascii="Times New Roman" w:eastAsia="Times New Roman" w:hAnsi="Times New Roman" w:cs="Times New Roman"/>
                <w:iCs/>
                <w:color w:val="000000" w:themeColor="text1"/>
                <w:sz w:val="24"/>
                <w:szCs w:val="24"/>
                <w:lang w:val="en-US" w:eastAsia="lv-LV"/>
              </w:rPr>
              <w:t>Cita</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informācija</w:t>
            </w:r>
            <w:proofErr w:type="spellEnd"/>
          </w:p>
        </w:tc>
        <w:tc>
          <w:tcPr>
            <w:tcW w:w="3492" w:type="pct"/>
            <w:tcBorders>
              <w:top w:val="outset" w:sz="6" w:space="0" w:color="auto"/>
              <w:left w:val="outset" w:sz="6" w:space="0" w:color="auto"/>
              <w:bottom w:val="outset" w:sz="6" w:space="0" w:color="auto"/>
              <w:right w:val="outset" w:sz="6" w:space="0" w:color="auto"/>
            </w:tcBorders>
            <w:hideMark/>
          </w:tcPr>
          <w:p w14:paraId="6804E1A4"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hAnsi="Times New Roman" w:cs="Times New Roman"/>
                <w:color w:val="000000" w:themeColor="text1"/>
                <w:sz w:val="24"/>
                <w:szCs w:val="24"/>
              </w:rPr>
              <w:t>Nav.</w:t>
            </w:r>
          </w:p>
        </w:tc>
      </w:tr>
    </w:tbl>
    <w:p w14:paraId="2BCC516C"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07928" w:rsidRPr="007D5F2D" w14:paraId="6CBA9920"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C6C7B"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A07928" w:rsidRPr="007D5F2D" w14:paraId="5BBB4817" w14:textId="77777777" w:rsidTr="007F49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9156C9" w14:textId="77777777" w:rsidR="005B5F81" w:rsidRPr="007D5F2D" w:rsidRDefault="005B5F81" w:rsidP="007F499B">
            <w:pPr>
              <w:spacing w:after="0" w:line="240" w:lineRule="auto"/>
              <w:jc w:val="center"/>
              <w:rPr>
                <w:rFonts w:ascii="Times New Roman" w:eastAsia="Times New Roman" w:hAnsi="Times New Roman" w:cs="Times New Roman"/>
                <w:bCs/>
                <w:iCs/>
                <w:color w:val="000000" w:themeColor="text1"/>
                <w:sz w:val="24"/>
                <w:szCs w:val="24"/>
                <w:lang w:eastAsia="lv-LV"/>
              </w:rPr>
            </w:pPr>
            <w:r w:rsidRPr="007D5F2D">
              <w:rPr>
                <w:rFonts w:ascii="Times New Roman" w:eastAsia="Times New Roman" w:hAnsi="Times New Roman" w:cs="Times New Roman"/>
                <w:bCs/>
                <w:iCs/>
                <w:color w:val="000000" w:themeColor="text1"/>
                <w:sz w:val="24"/>
                <w:szCs w:val="24"/>
                <w:lang w:eastAsia="lv-LV"/>
              </w:rPr>
              <w:t>Projekts šo jomu neskar</w:t>
            </w:r>
          </w:p>
        </w:tc>
      </w:tr>
    </w:tbl>
    <w:p w14:paraId="3AC989D9"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2130"/>
        <w:gridCol w:w="6511"/>
      </w:tblGrid>
      <w:tr w:rsidR="00A07928" w:rsidRPr="007D5F2D" w14:paraId="61953C88" w14:textId="77777777" w:rsidTr="007F499B">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60BA2E76"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A07928" w:rsidRPr="007D5F2D" w14:paraId="404EEDD7" w14:textId="77777777" w:rsidTr="007F499B">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35401B2D"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1.</w:t>
            </w:r>
          </w:p>
        </w:tc>
        <w:tc>
          <w:tcPr>
            <w:tcW w:w="2100" w:type="dxa"/>
            <w:tcBorders>
              <w:top w:val="outset" w:sz="6" w:space="0" w:color="auto"/>
              <w:left w:val="outset" w:sz="6" w:space="0" w:color="auto"/>
              <w:bottom w:val="outset" w:sz="6" w:space="0" w:color="auto"/>
              <w:right w:val="outset" w:sz="6" w:space="0" w:color="auto"/>
            </w:tcBorders>
            <w:hideMark/>
          </w:tcPr>
          <w:p w14:paraId="775F6B28"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6466" w:type="dxa"/>
            <w:tcBorders>
              <w:top w:val="outset" w:sz="6" w:space="0" w:color="auto"/>
              <w:left w:val="outset" w:sz="6" w:space="0" w:color="auto"/>
              <w:bottom w:val="outset" w:sz="6" w:space="0" w:color="auto"/>
              <w:right w:val="outset" w:sz="6" w:space="0" w:color="auto"/>
            </w:tcBorders>
            <w:hideMark/>
          </w:tcPr>
          <w:p w14:paraId="229EC742" w14:textId="77777777" w:rsidR="005B5F81" w:rsidRPr="007D5F2D" w:rsidRDefault="005B5F81" w:rsidP="007F499B">
            <w:pPr>
              <w:spacing w:after="0" w:line="240" w:lineRule="auto"/>
              <w:jc w:val="both"/>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Pēc Projekta izstrādes paredzēts to ievietot Veselības ministrijas un Slimību profilakses un kontroles centra </w:t>
            </w:r>
            <w:proofErr w:type="gramStart"/>
            <w:r w:rsidRPr="007D5F2D">
              <w:rPr>
                <w:rFonts w:ascii="Times New Roman" w:eastAsia="Times New Roman" w:hAnsi="Times New Roman" w:cs="Times New Roman"/>
                <w:iCs/>
                <w:color w:val="000000" w:themeColor="text1"/>
                <w:sz w:val="24"/>
                <w:szCs w:val="24"/>
                <w:lang w:eastAsia="lv-LV"/>
              </w:rPr>
              <w:t>mājas lapās</w:t>
            </w:r>
            <w:proofErr w:type="gramEnd"/>
            <w:r w:rsidRPr="007D5F2D">
              <w:rPr>
                <w:rFonts w:ascii="Times New Roman" w:eastAsia="Times New Roman" w:hAnsi="Times New Roman" w:cs="Times New Roman"/>
                <w:iCs/>
                <w:color w:val="000000" w:themeColor="text1"/>
                <w:sz w:val="24"/>
                <w:szCs w:val="24"/>
                <w:lang w:eastAsia="lv-LV"/>
              </w:rPr>
              <w:t>, kā arī elektroniski izplatīt iesaistītajām organizācijām un institūcijām.</w:t>
            </w:r>
          </w:p>
        </w:tc>
      </w:tr>
      <w:tr w:rsidR="00A07928" w:rsidRPr="007D5F2D" w14:paraId="3040842D" w14:textId="77777777" w:rsidTr="007F499B">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2F073A28"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2.</w:t>
            </w:r>
          </w:p>
        </w:tc>
        <w:tc>
          <w:tcPr>
            <w:tcW w:w="2100" w:type="dxa"/>
            <w:tcBorders>
              <w:top w:val="outset" w:sz="6" w:space="0" w:color="auto"/>
              <w:left w:val="outset" w:sz="6" w:space="0" w:color="auto"/>
              <w:bottom w:val="outset" w:sz="6" w:space="0" w:color="auto"/>
              <w:right w:val="outset" w:sz="6" w:space="0" w:color="auto"/>
            </w:tcBorders>
            <w:hideMark/>
          </w:tcPr>
          <w:p w14:paraId="434EDD55"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438DE6B0" w14:textId="77777777" w:rsidR="005B5F81" w:rsidRPr="007D5F2D" w:rsidRDefault="005B5F81" w:rsidP="007F499B">
            <w:pPr>
              <w:pStyle w:val="NormalWeb"/>
              <w:shd w:val="clear" w:color="auto" w:fill="FFFFFF"/>
              <w:spacing w:before="0" w:after="0"/>
              <w:jc w:val="both"/>
              <w:rPr>
                <w:color w:val="000000" w:themeColor="text1"/>
                <w:shd w:val="clear" w:color="auto" w:fill="FFFFFF"/>
              </w:rPr>
            </w:pPr>
            <w:r w:rsidRPr="007D5F2D">
              <w:rPr>
                <w:iCs/>
                <w:color w:val="000000" w:themeColor="text1"/>
              </w:rPr>
              <w:t>Tā kā Projekts tiek virzīts steidzamības kārtā, sabiedrības iesaiste Projekta izstrādē netika organizēta.</w:t>
            </w:r>
          </w:p>
          <w:p w14:paraId="35D7BB7D" w14:textId="77777777" w:rsidR="005B5F81" w:rsidRPr="007D5F2D" w:rsidRDefault="005B5F81" w:rsidP="007F499B">
            <w:pPr>
              <w:pStyle w:val="NormalWeb"/>
              <w:shd w:val="clear" w:color="auto" w:fill="FFFFFF"/>
              <w:spacing w:before="0" w:after="0"/>
              <w:jc w:val="both"/>
              <w:rPr>
                <w:iCs/>
                <w:color w:val="000000" w:themeColor="text1"/>
              </w:rPr>
            </w:pPr>
          </w:p>
        </w:tc>
      </w:tr>
      <w:tr w:rsidR="00A07928" w:rsidRPr="007D5F2D" w14:paraId="1B952F95" w14:textId="77777777" w:rsidTr="007F499B">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361B7D0D"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3.</w:t>
            </w:r>
          </w:p>
        </w:tc>
        <w:tc>
          <w:tcPr>
            <w:tcW w:w="2100" w:type="dxa"/>
            <w:tcBorders>
              <w:top w:val="outset" w:sz="6" w:space="0" w:color="auto"/>
              <w:left w:val="outset" w:sz="6" w:space="0" w:color="auto"/>
              <w:bottom w:val="outset" w:sz="6" w:space="0" w:color="auto"/>
              <w:right w:val="outset" w:sz="6" w:space="0" w:color="auto"/>
            </w:tcBorders>
            <w:hideMark/>
          </w:tcPr>
          <w:p w14:paraId="5799393B"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2C3580A6" w14:textId="77777777" w:rsidR="005B5F81" w:rsidRPr="007D5F2D" w:rsidRDefault="005B5F81" w:rsidP="007F499B">
            <w:pPr>
              <w:spacing w:after="0" w:line="240" w:lineRule="auto"/>
              <w:jc w:val="both"/>
              <w:rPr>
                <w:rFonts w:ascii="Times New Roman" w:hAnsi="Times New Roman" w:cs="Times New Roman"/>
                <w:color w:val="000000" w:themeColor="text1"/>
                <w:sz w:val="24"/>
                <w:szCs w:val="24"/>
              </w:rPr>
            </w:pPr>
            <w:r w:rsidRPr="007D5F2D">
              <w:rPr>
                <w:rFonts w:ascii="Times New Roman" w:hAnsi="Times New Roman" w:cs="Times New Roman"/>
                <w:color w:val="000000" w:themeColor="text1"/>
                <w:sz w:val="24"/>
                <w:szCs w:val="24"/>
              </w:rPr>
              <w:t>Nav</w:t>
            </w:r>
          </w:p>
        </w:tc>
      </w:tr>
      <w:tr w:rsidR="00A07928" w:rsidRPr="007D5F2D" w14:paraId="58170AE0" w14:textId="77777777" w:rsidTr="007F499B">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454F2159"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4.</w:t>
            </w:r>
          </w:p>
        </w:tc>
        <w:tc>
          <w:tcPr>
            <w:tcW w:w="2100" w:type="dxa"/>
            <w:tcBorders>
              <w:top w:val="outset" w:sz="6" w:space="0" w:color="auto"/>
              <w:left w:val="outset" w:sz="6" w:space="0" w:color="auto"/>
              <w:bottom w:val="outset" w:sz="6" w:space="0" w:color="auto"/>
              <w:right w:val="outset" w:sz="6" w:space="0" w:color="auto"/>
            </w:tcBorders>
            <w:hideMark/>
          </w:tcPr>
          <w:p w14:paraId="07BF3258"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val="en-US" w:eastAsia="lv-LV"/>
              </w:rPr>
            </w:pPr>
            <w:proofErr w:type="spellStart"/>
            <w:r w:rsidRPr="007D5F2D">
              <w:rPr>
                <w:rFonts w:ascii="Times New Roman" w:eastAsia="Times New Roman" w:hAnsi="Times New Roman" w:cs="Times New Roman"/>
                <w:iCs/>
                <w:color w:val="000000" w:themeColor="text1"/>
                <w:sz w:val="24"/>
                <w:szCs w:val="24"/>
                <w:lang w:val="en-US" w:eastAsia="lv-LV"/>
              </w:rPr>
              <w:t>Cita</w:t>
            </w:r>
            <w:proofErr w:type="spellEnd"/>
            <w:r w:rsidRPr="007D5F2D">
              <w:rPr>
                <w:rFonts w:ascii="Times New Roman" w:eastAsia="Times New Roman" w:hAnsi="Times New Roman" w:cs="Times New Roman"/>
                <w:iCs/>
                <w:color w:val="000000" w:themeColor="text1"/>
                <w:sz w:val="24"/>
                <w:szCs w:val="24"/>
                <w:lang w:val="en-US" w:eastAsia="lv-LV"/>
              </w:rPr>
              <w:t xml:space="preserve"> </w:t>
            </w:r>
            <w:proofErr w:type="spellStart"/>
            <w:r w:rsidRPr="007D5F2D">
              <w:rPr>
                <w:rFonts w:ascii="Times New Roman" w:eastAsia="Times New Roman" w:hAnsi="Times New Roman" w:cs="Times New Roman"/>
                <w:iCs/>
                <w:color w:val="000000" w:themeColor="text1"/>
                <w:sz w:val="24"/>
                <w:szCs w:val="24"/>
                <w:lang w:val="en-US" w:eastAsia="lv-LV"/>
              </w:rPr>
              <w:t>informācija</w:t>
            </w:r>
            <w:proofErr w:type="spellEnd"/>
          </w:p>
        </w:tc>
        <w:tc>
          <w:tcPr>
            <w:tcW w:w="6466" w:type="dxa"/>
            <w:tcBorders>
              <w:top w:val="outset" w:sz="6" w:space="0" w:color="auto"/>
              <w:left w:val="outset" w:sz="6" w:space="0" w:color="auto"/>
              <w:bottom w:val="outset" w:sz="6" w:space="0" w:color="auto"/>
              <w:right w:val="outset" w:sz="6" w:space="0" w:color="auto"/>
            </w:tcBorders>
            <w:hideMark/>
          </w:tcPr>
          <w:p w14:paraId="4CFB19BB" w14:textId="77777777" w:rsidR="005B5F81" w:rsidRPr="007D5F2D" w:rsidRDefault="005B5F81" w:rsidP="007F499B">
            <w:pPr>
              <w:spacing w:after="0" w:line="240" w:lineRule="auto"/>
              <w:jc w:val="both"/>
              <w:rPr>
                <w:rFonts w:ascii="Times New Roman" w:eastAsia="Times New Roman" w:hAnsi="Times New Roman" w:cs="Times New Roman"/>
                <w:iCs/>
                <w:color w:val="000000" w:themeColor="text1"/>
                <w:sz w:val="24"/>
                <w:szCs w:val="24"/>
                <w:lang w:val="en-US" w:eastAsia="lv-LV"/>
              </w:rPr>
            </w:pPr>
            <w:r w:rsidRPr="007D5F2D">
              <w:rPr>
                <w:rFonts w:ascii="Times New Roman" w:hAnsi="Times New Roman" w:cs="Times New Roman"/>
                <w:color w:val="000000" w:themeColor="text1"/>
                <w:sz w:val="24"/>
                <w:szCs w:val="24"/>
              </w:rPr>
              <w:t>Nav.</w:t>
            </w:r>
          </w:p>
        </w:tc>
      </w:tr>
    </w:tbl>
    <w:p w14:paraId="07091B74" w14:textId="77777777" w:rsidR="005B5F81" w:rsidRPr="007D5F2D" w:rsidRDefault="005B5F81" w:rsidP="005B5F81">
      <w:pPr>
        <w:spacing w:after="0" w:line="240" w:lineRule="auto"/>
        <w:rPr>
          <w:rFonts w:ascii="Times New Roman" w:eastAsia="Times New Roman" w:hAnsi="Times New Roman" w:cs="Times New Roman"/>
          <w:iCs/>
          <w:color w:val="000000" w:themeColor="text1"/>
          <w:sz w:val="24"/>
          <w:szCs w:val="24"/>
          <w:lang w:val="en-US" w:eastAsia="lv-LV"/>
        </w:rPr>
      </w:pPr>
      <w:r w:rsidRPr="007D5F2D">
        <w:rPr>
          <w:rFonts w:ascii="Times New Roman" w:eastAsia="Times New Roman" w:hAnsi="Times New Roman" w:cs="Times New Roman"/>
          <w:iCs/>
          <w:color w:val="000000" w:themeColor="text1"/>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2948"/>
        <w:gridCol w:w="5542"/>
      </w:tblGrid>
      <w:tr w:rsidR="00A07928" w:rsidRPr="007D5F2D" w14:paraId="51FD1F48" w14:textId="77777777" w:rsidTr="007F499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36EF016" w14:textId="77777777" w:rsidR="005B5F81" w:rsidRPr="007D5F2D" w:rsidRDefault="005B5F81" w:rsidP="007F499B">
            <w:pPr>
              <w:spacing w:after="0" w:line="240" w:lineRule="auto"/>
              <w:jc w:val="center"/>
              <w:rPr>
                <w:rFonts w:ascii="Times New Roman" w:eastAsia="Times New Roman" w:hAnsi="Times New Roman" w:cs="Times New Roman"/>
                <w:b/>
                <w:bCs/>
                <w:iCs/>
                <w:color w:val="000000" w:themeColor="text1"/>
                <w:sz w:val="24"/>
                <w:szCs w:val="24"/>
                <w:lang w:eastAsia="lv-LV"/>
              </w:rPr>
            </w:pPr>
            <w:r w:rsidRPr="007D5F2D">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A07928" w:rsidRPr="007D5F2D" w14:paraId="416E7FD6" w14:textId="77777777" w:rsidTr="007F499B">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76A5FC32"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1.</w:t>
            </w:r>
          </w:p>
        </w:tc>
        <w:tc>
          <w:tcPr>
            <w:tcW w:w="1622" w:type="pct"/>
            <w:tcBorders>
              <w:top w:val="outset" w:sz="6" w:space="0" w:color="auto"/>
              <w:left w:val="outset" w:sz="6" w:space="0" w:color="auto"/>
              <w:bottom w:val="outset" w:sz="6" w:space="0" w:color="auto"/>
              <w:right w:val="outset" w:sz="6" w:space="0" w:color="auto"/>
            </w:tcBorders>
            <w:hideMark/>
          </w:tcPr>
          <w:p w14:paraId="58C911B5"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Projekta izpildē iesaistītās institūcijas</w:t>
            </w:r>
          </w:p>
        </w:tc>
        <w:tc>
          <w:tcPr>
            <w:tcW w:w="3023" w:type="pct"/>
            <w:tcBorders>
              <w:top w:val="outset" w:sz="6" w:space="0" w:color="auto"/>
              <w:left w:val="outset" w:sz="6" w:space="0" w:color="auto"/>
              <w:bottom w:val="outset" w:sz="6" w:space="0" w:color="auto"/>
              <w:right w:val="outset" w:sz="6" w:space="0" w:color="auto"/>
            </w:tcBorders>
            <w:hideMark/>
          </w:tcPr>
          <w:p w14:paraId="34B93D39" w14:textId="77777777" w:rsidR="005B5F81" w:rsidRPr="007D5F2D" w:rsidRDefault="005B5F81" w:rsidP="007F499B">
            <w:pPr>
              <w:spacing w:after="0" w:line="240" w:lineRule="auto"/>
              <w:jc w:val="both"/>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Slimību profilakses un kontroles centrs</w:t>
            </w:r>
          </w:p>
        </w:tc>
      </w:tr>
      <w:tr w:rsidR="00A07928" w:rsidRPr="007D5F2D" w14:paraId="1B43A479" w14:textId="77777777" w:rsidTr="007F499B">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472AFD33"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2.</w:t>
            </w:r>
          </w:p>
        </w:tc>
        <w:tc>
          <w:tcPr>
            <w:tcW w:w="1622" w:type="pct"/>
            <w:tcBorders>
              <w:top w:val="outset" w:sz="6" w:space="0" w:color="auto"/>
              <w:left w:val="outset" w:sz="6" w:space="0" w:color="auto"/>
              <w:bottom w:val="outset" w:sz="6" w:space="0" w:color="auto"/>
              <w:right w:val="outset" w:sz="6" w:space="0" w:color="auto"/>
            </w:tcBorders>
            <w:hideMark/>
          </w:tcPr>
          <w:p w14:paraId="574059CE"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D5F2D">
              <w:rPr>
                <w:rFonts w:ascii="Times New Roman" w:eastAsia="Times New Roman" w:hAnsi="Times New Roman" w:cs="Times New Roman"/>
                <w:iCs/>
                <w:color w:val="000000" w:themeColor="text1"/>
                <w:sz w:val="24"/>
                <w:szCs w:val="24"/>
                <w:lang w:eastAsia="lv-LV"/>
              </w:rPr>
              <w:br/>
            </w:r>
          </w:p>
          <w:p w14:paraId="5AC20A3A"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p>
          <w:p w14:paraId="610F3D77"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Jaunu institūciju izveide, esošu institūciju likvidācija vai reorganizācija, to ietekme uz institūcijas cilvēkresursiem</w:t>
            </w:r>
          </w:p>
        </w:tc>
        <w:tc>
          <w:tcPr>
            <w:tcW w:w="3023" w:type="pct"/>
            <w:tcBorders>
              <w:top w:val="outset" w:sz="6" w:space="0" w:color="auto"/>
              <w:left w:val="outset" w:sz="6" w:space="0" w:color="auto"/>
              <w:bottom w:val="outset" w:sz="6" w:space="0" w:color="auto"/>
              <w:right w:val="outset" w:sz="6" w:space="0" w:color="auto"/>
            </w:tcBorders>
            <w:hideMark/>
          </w:tcPr>
          <w:p w14:paraId="20B5FBBD" w14:textId="77777777" w:rsidR="005B5F81" w:rsidRPr="007D5F2D" w:rsidRDefault="005B5F81" w:rsidP="007F499B">
            <w:pPr>
              <w:jc w:val="both"/>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 xml:space="preserve">Projekts tiks īstenots esošu institūciju un cilvēkresursu ietvaros. Projektā paredzētie pasākumi tiks nodrošināti piešķirto valsts budžeta līdzekļu ietvaros. </w:t>
            </w:r>
          </w:p>
          <w:p w14:paraId="00873EA8" w14:textId="77777777" w:rsidR="000E266D" w:rsidRPr="007D5F2D" w:rsidRDefault="000E266D" w:rsidP="007F499B">
            <w:pPr>
              <w:spacing w:after="0" w:line="240" w:lineRule="auto"/>
              <w:jc w:val="both"/>
              <w:rPr>
                <w:rFonts w:ascii="Times New Roman" w:eastAsia="Times New Roman" w:hAnsi="Times New Roman" w:cs="Times New Roman"/>
                <w:iCs/>
                <w:color w:val="000000" w:themeColor="text1"/>
                <w:sz w:val="24"/>
                <w:szCs w:val="24"/>
                <w:lang w:eastAsia="lv-LV"/>
              </w:rPr>
            </w:pPr>
          </w:p>
          <w:p w14:paraId="5F7B60F6" w14:textId="77777777" w:rsidR="005B5F81" w:rsidRPr="007D5F2D" w:rsidRDefault="005B5F81" w:rsidP="007F499B">
            <w:pPr>
              <w:spacing w:after="0" w:line="240" w:lineRule="auto"/>
              <w:jc w:val="both"/>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Saistībā ar Projekta izpildi nav paredzēta jaunu institūciju izveide, esošu institūciju likvidācija vai reorganizācija.</w:t>
            </w:r>
          </w:p>
        </w:tc>
      </w:tr>
      <w:tr w:rsidR="005B5F81" w:rsidRPr="007D5F2D" w14:paraId="1B49EB4E" w14:textId="77777777" w:rsidTr="007F499B">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D097281"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3.</w:t>
            </w:r>
          </w:p>
        </w:tc>
        <w:tc>
          <w:tcPr>
            <w:tcW w:w="1622" w:type="pct"/>
            <w:tcBorders>
              <w:top w:val="outset" w:sz="6" w:space="0" w:color="auto"/>
              <w:left w:val="outset" w:sz="6" w:space="0" w:color="auto"/>
              <w:bottom w:val="outset" w:sz="6" w:space="0" w:color="auto"/>
              <w:right w:val="outset" w:sz="6" w:space="0" w:color="auto"/>
            </w:tcBorders>
            <w:hideMark/>
          </w:tcPr>
          <w:p w14:paraId="3E7A6959" w14:textId="77777777" w:rsidR="005B5F81" w:rsidRPr="007D5F2D" w:rsidRDefault="005B5F81" w:rsidP="007F499B">
            <w:pPr>
              <w:spacing w:after="0" w:line="240" w:lineRule="auto"/>
              <w:rPr>
                <w:rFonts w:ascii="Times New Roman" w:eastAsia="Times New Roman" w:hAnsi="Times New Roman" w:cs="Times New Roman"/>
                <w:iCs/>
                <w:color w:val="000000" w:themeColor="text1"/>
                <w:sz w:val="24"/>
                <w:szCs w:val="24"/>
                <w:lang w:eastAsia="lv-LV"/>
              </w:rPr>
            </w:pPr>
            <w:r w:rsidRPr="007D5F2D">
              <w:rPr>
                <w:rFonts w:ascii="Times New Roman" w:eastAsia="Times New Roman" w:hAnsi="Times New Roman" w:cs="Times New Roman"/>
                <w:iCs/>
                <w:color w:val="000000" w:themeColor="text1"/>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hideMark/>
          </w:tcPr>
          <w:p w14:paraId="792854CB" w14:textId="77777777" w:rsidR="005B5F81" w:rsidRPr="007D5F2D" w:rsidRDefault="005B5F81" w:rsidP="007F499B">
            <w:pPr>
              <w:spacing w:after="0"/>
              <w:jc w:val="both"/>
              <w:rPr>
                <w:iCs/>
                <w:color w:val="000000" w:themeColor="text1"/>
              </w:rPr>
            </w:pPr>
            <w:r w:rsidRPr="007D5F2D">
              <w:rPr>
                <w:rFonts w:ascii="Times New Roman" w:hAnsi="Times New Roman" w:cs="Times New Roman"/>
                <w:color w:val="000000" w:themeColor="text1"/>
                <w:sz w:val="24"/>
                <w:szCs w:val="24"/>
              </w:rPr>
              <w:t>Nav.</w:t>
            </w:r>
          </w:p>
        </w:tc>
      </w:tr>
    </w:tbl>
    <w:p w14:paraId="7DD4D70A" w14:textId="77777777" w:rsidR="005B5F81" w:rsidRPr="00C33EB0" w:rsidRDefault="005B5F81" w:rsidP="00C33EB0">
      <w:pPr>
        <w:pStyle w:val="NoSpacing"/>
        <w:rPr>
          <w:rFonts w:ascii="Times New Roman" w:hAnsi="Times New Roman" w:cs="Times New Roman"/>
          <w:color w:val="000000" w:themeColor="text1"/>
          <w:sz w:val="28"/>
          <w:szCs w:val="28"/>
        </w:rPr>
      </w:pPr>
    </w:p>
    <w:p w14:paraId="694A9450" w14:textId="77777777" w:rsidR="005B5F81" w:rsidRPr="00C33EB0" w:rsidRDefault="005B5F81" w:rsidP="00C33EB0">
      <w:pPr>
        <w:pStyle w:val="NoSpacing"/>
        <w:rPr>
          <w:rFonts w:ascii="Times New Roman" w:hAnsi="Times New Roman" w:cs="Times New Roman"/>
          <w:color w:val="000000" w:themeColor="text1"/>
          <w:sz w:val="28"/>
          <w:szCs w:val="28"/>
        </w:rPr>
      </w:pPr>
    </w:p>
    <w:p w14:paraId="6D28C0AA" w14:textId="77777777" w:rsidR="005B5F81" w:rsidRPr="00C33EB0" w:rsidRDefault="005B5F81" w:rsidP="00C33EB0">
      <w:pPr>
        <w:pStyle w:val="NoSpacing"/>
        <w:rPr>
          <w:rFonts w:ascii="Times New Roman" w:hAnsi="Times New Roman" w:cs="Times New Roman"/>
          <w:color w:val="000000" w:themeColor="text1"/>
          <w:sz w:val="28"/>
          <w:szCs w:val="28"/>
        </w:rPr>
      </w:pPr>
    </w:p>
    <w:p w14:paraId="051D067E" w14:textId="77777777" w:rsidR="00C33EB0" w:rsidRPr="00C33EB0" w:rsidRDefault="00C33EB0" w:rsidP="00C33EB0">
      <w:pPr>
        <w:tabs>
          <w:tab w:val="left" w:pos="6521"/>
        </w:tabs>
        <w:spacing w:after="0" w:line="240" w:lineRule="auto"/>
        <w:ind w:firstLine="709"/>
        <w:rPr>
          <w:rFonts w:ascii="Times New Roman" w:hAnsi="Times New Roman" w:cs="Times New Roman"/>
          <w:sz w:val="28"/>
          <w:szCs w:val="28"/>
        </w:rPr>
      </w:pPr>
      <w:r w:rsidRPr="00C33EB0">
        <w:rPr>
          <w:rFonts w:ascii="Times New Roman" w:hAnsi="Times New Roman" w:cs="Times New Roman"/>
          <w:sz w:val="28"/>
          <w:szCs w:val="28"/>
        </w:rPr>
        <w:t>Veselības ministre</w:t>
      </w:r>
      <w:r w:rsidRPr="00C33EB0">
        <w:rPr>
          <w:rFonts w:ascii="Times New Roman" w:hAnsi="Times New Roman" w:cs="Times New Roman"/>
          <w:sz w:val="28"/>
          <w:szCs w:val="28"/>
        </w:rPr>
        <w:tab/>
      </w:r>
      <w:r w:rsidRPr="00C33EB0">
        <w:rPr>
          <w:rFonts w:ascii="Times New Roman" w:eastAsia="Calibri" w:hAnsi="Times New Roman" w:cs="Times New Roman"/>
          <w:sz w:val="28"/>
          <w:szCs w:val="28"/>
        </w:rPr>
        <w:t>I. </w:t>
      </w:r>
      <w:proofErr w:type="spellStart"/>
      <w:r w:rsidRPr="00C33EB0">
        <w:rPr>
          <w:rFonts w:ascii="Times New Roman" w:eastAsia="Calibri" w:hAnsi="Times New Roman" w:cs="Times New Roman"/>
          <w:sz w:val="28"/>
          <w:szCs w:val="28"/>
        </w:rPr>
        <w:t>Viņķele</w:t>
      </w:r>
      <w:proofErr w:type="spellEnd"/>
    </w:p>
    <w:p w14:paraId="3EC4D564" w14:textId="77777777" w:rsidR="00A07928" w:rsidRPr="007D5F2D" w:rsidRDefault="00A07928" w:rsidP="00A07928">
      <w:pPr>
        <w:spacing w:after="0" w:line="240" w:lineRule="auto"/>
        <w:ind w:right="-3228"/>
        <w:rPr>
          <w:rFonts w:ascii="Times New Roman" w:hAnsi="Times New Roman" w:cs="Times New Roman"/>
          <w:szCs w:val="24"/>
        </w:rPr>
      </w:pPr>
    </w:p>
    <w:p w14:paraId="203B226A" w14:textId="77777777" w:rsidR="00A07928" w:rsidRPr="007D5F2D" w:rsidRDefault="00A07928" w:rsidP="00A07928">
      <w:pPr>
        <w:spacing w:after="0" w:line="240" w:lineRule="auto"/>
        <w:ind w:right="-3228"/>
        <w:rPr>
          <w:rFonts w:ascii="Times New Roman" w:hAnsi="Times New Roman" w:cs="Times New Roman"/>
          <w:szCs w:val="24"/>
        </w:rPr>
      </w:pPr>
    </w:p>
    <w:p w14:paraId="17A4021E" w14:textId="77777777" w:rsidR="00A07928" w:rsidRPr="007D5F2D" w:rsidRDefault="00A07928" w:rsidP="00A07928">
      <w:pPr>
        <w:spacing w:after="0" w:line="240" w:lineRule="auto"/>
        <w:ind w:right="-3228"/>
        <w:rPr>
          <w:rFonts w:ascii="Times New Roman" w:hAnsi="Times New Roman" w:cs="Times New Roman"/>
          <w:szCs w:val="24"/>
        </w:rPr>
      </w:pPr>
    </w:p>
    <w:p w14:paraId="09F208ED" w14:textId="77777777" w:rsidR="00A07928" w:rsidRPr="007D5F2D" w:rsidRDefault="00A07928" w:rsidP="00A07928">
      <w:pPr>
        <w:spacing w:after="0" w:line="240" w:lineRule="auto"/>
        <w:ind w:right="-3228"/>
        <w:rPr>
          <w:rFonts w:ascii="Times New Roman" w:hAnsi="Times New Roman" w:cs="Times New Roman"/>
          <w:szCs w:val="24"/>
        </w:rPr>
      </w:pPr>
    </w:p>
    <w:p w14:paraId="254D1F47" w14:textId="77777777" w:rsidR="00A07928" w:rsidRPr="007D5F2D" w:rsidRDefault="00A07928" w:rsidP="00A07928">
      <w:pPr>
        <w:spacing w:after="0" w:line="240" w:lineRule="auto"/>
        <w:ind w:right="-3228"/>
        <w:rPr>
          <w:rFonts w:ascii="Times New Roman" w:hAnsi="Times New Roman" w:cs="Times New Roman"/>
          <w:sz w:val="24"/>
          <w:szCs w:val="28"/>
        </w:rPr>
      </w:pPr>
      <w:r w:rsidRPr="007D5F2D">
        <w:rPr>
          <w:rFonts w:ascii="Times New Roman" w:hAnsi="Times New Roman" w:cs="Times New Roman"/>
          <w:sz w:val="24"/>
          <w:szCs w:val="28"/>
        </w:rPr>
        <w:t>Feldmane 67876119</w:t>
      </w:r>
    </w:p>
    <w:p w14:paraId="1AB59C98" w14:textId="77777777" w:rsidR="00C13A99" w:rsidRPr="00B85DF8" w:rsidRDefault="00A07928" w:rsidP="00B85DF8">
      <w:pPr>
        <w:spacing w:after="0" w:line="240" w:lineRule="auto"/>
        <w:ind w:right="-3228"/>
        <w:rPr>
          <w:rFonts w:ascii="Times New Roman" w:hAnsi="Times New Roman" w:cs="Times New Roman"/>
          <w:sz w:val="24"/>
          <w:szCs w:val="28"/>
        </w:rPr>
      </w:pPr>
      <w:r w:rsidRPr="007D5F2D">
        <w:rPr>
          <w:rFonts w:ascii="Times New Roman" w:hAnsi="Times New Roman" w:cs="Times New Roman"/>
          <w:sz w:val="24"/>
          <w:szCs w:val="28"/>
        </w:rPr>
        <w:t>jana.feldmane@vm.gov.l</w:t>
      </w:r>
      <w:r w:rsidR="00B85DF8" w:rsidRPr="007D5F2D">
        <w:rPr>
          <w:rFonts w:ascii="Times New Roman" w:hAnsi="Times New Roman" w:cs="Times New Roman"/>
          <w:sz w:val="24"/>
          <w:szCs w:val="28"/>
        </w:rPr>
        <w:t>v</w:t>
      </w:r>
    </w:p>
    <w:sectPr w:rsidR="00C13A99" w:rsidRPr="00B85DF8" w:rsidSect="00C13A99">
      <w:headerReference w:type="default" r:id="rId17"/>
      <w:footerReference w:type="default" r:id="rId18"/>
      <w:footerReference w:type="first" r:id="rId19"/>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8CD90" w14:textId="77777777" w:rsidR="00F63BD3" w:rsidRDefault="00F63BD3">
      <w:pPr>
        <w:spacing w:after="0" w:line="240" w:lineRule="auto"/>
      </w:pPr>
      <w:r>
        <w:separator/>
      </w:r>
    </w:p>
  </w:endnote>
  <w:endnote w:type="continuationSeparator" w:id="0">
    <w:p w14:paraId="7289FD80" w14:textId="77777777" w:rsidR="00F63BD3" w:rsidRDefault="00F6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728" w14:textId="39270616"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VManot_</w:t>
    </w:r>
    <w:r w:rsidR="000B4DD0">
      <w:rPr>
        <w:rFonts w:ascii="Times New Roman" w:hAnsi="Times New Roman" w:cs="Times New Roman"/>
        <w:sz w:val="20"/>
        <w:szCs w:val="20"/>
      </w:rPr>
      <w:t>16</w:t>
    </w:r>
    <w:r w:rsidR="00C152A2">
      <w:rPr>
        <w:rFonts w:ascii="Times New Roman" w:hAnsi="Times New Roman" w:cs="Times New Roman"/>
        <w:sz w:val="20"/>
        <w:szCs w:val="20"/>
      </w:rPr>
      <w:t>12</w:t>
    </w:r>
    <w:r w:rsidR="00A07928">
      <w:rPr>
        <w:rFonts w:ascii="Times New Roman" w:hAnsi="Times New Roman" w:cs="Times New Roman"/>
        <w:sz w:val="20"/>
        <w:szCs w:val="20"/>
      </w:rPr>
      <w:t>20_Groz</w:t>
    </w:r>
    <w:r w:rsidR="00B70DE2">
      <w:rPr>
        <w:rFonts w:ascii="Times New Roman" w:hAnsi="Times New Roman" w:cs="Times New Roman"/>
        <w:sz w:val="20"/>
        <w:szCs w:val="20"/>
      </w:rPr>
      <w:t>Arkartas</w:t>
    </w:r>
    <w:r w:rsidR="00C33EB0">
      <w:rPr>
        <w:rFonts w:ascii="Times New Roman" w:hAnsi="Times New Roman" w:cs="Times New Roman"/>
        <w:sz w:val="20"/>
        <w:szCs w:val="20"/>
      </w:rPr>
      <w:t xml:space="preserve"> (TA-2573)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DD80A" w14:textId="77777777" w:rsidR="00C33EB0" w:rsidRPr="00C13A99" w:rsidRDefault="00C33EB0" w:rsidP="00C33EB0">
    <w:pPr>
      <w:pStyle w:val="Footer"/>
      <w:rPr>
        <w:rFonts w:ascii="Times New Roman" w:hAnsi="Times New Roman" w:cs="Times New Roman"/>
        <w:sz w:val="20"/>
        <w:szCs w:val="20"/>
      </w:rPr>
    </w:pPr>
    <w:r>
      <w:rPr>
        <w:rFonts w:ascii="Times New Roman" w:hAnsi="Times New Roman" w:cs="Times New Roman"/>
        <w:sz w:val="20"/>
        <w:szCs w:val="20"/>
      </w:rPr>
      <w:t>VManot_161220_GrozArkartas (TA-2573)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2F903" w14:textId="77777777" w:rsidR="00F63BD3" w:rsidRDefault="00F63BD3" w:rsidP="00894C55">
      <w:pPr>
        <w:spacing w:after="0" w:line="240" w:lineRule="auto"/>
      </w:pPr>
      <w:r>
        <w:separator/>
      </w:r>
    </w:p>
  </w:footnote>
  <w:footnote w:type="continuationSeparator" w:id="0">
    <w:p w14:paraId="3F8D73D5" w14:textId="77777777" w:rsidR="00F63BD3" w:rsidRDefault="00F63BD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52000BD6"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C7A8F">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410F"/>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2C83"/>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C7A8F"/>
    <w:rsid w:val="006D1E64"/>
    <w:rsid w:val="006D3731"/>
    <w:rsid w:val="006D6484"/>
    <w:rsid w:val="006D72F6"/>
    <w:rsid w:val="006D7E1A"/>
    <w:rsid w:val="006E0558"/>
    <w:rsid w:val="006E1081"/>
    <w:rsid w:val="006E6413"/>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5F2D"/>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D0E20"/>
    <w:rsid w:val="00AD1CA6"/>
    <w:rsid w:val="00AD281E"/>
    <w:rsid w:val="00AD41CC"/>
    <w:rsid w:val="00AD6D73"/>
    <w:rsid w:val="00AD7525"/>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152A2"/>
    <w:rsid w:val="00C21775"/>
    <w:rsid w:val="00C25B49"/>
    <w:rsid w:val="00C27BCA"/>
    <w:rsid w:val="00C30542"/>
    <w:rsid w:val="00C30E14"/>
    <w:rsid w:val="00C331EF"/>
    <w:rsid w:val="00C339A1"/>
    <w:rsid w:val="00C33EB0"/>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3BD3"/>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191" TargetMode="External"/><Relationship Id="rId13" Type="http://schemas.openxmlformats.org/officeDocument/2006/relationships/hyperlink" Target="https://likumi.lv/ta/id/255713-par-arkartejo-situaciju-un-iznemuma-stavokl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55713-par-arkartejo-situaciju-un-iznemuma-stavokl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52951-epidemiologiskas-drosibas-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5713-par-arkartejo-situaciju-un-iznemuma-stavokli" TargetMode="External"/><Relationship Id="rId5" Type="http://schemas.openxmlformats.org/officeDocument/2006/relationships/webSettings" Target="webSettings.xml"/><Relationship Id="rId15" Type="http://schemas.openxmlformats.org/officeDocument/2006/relationships/hyperlink" Target="https://likumi.lv/ta/id/52951-epidemiologiskas-drosibas-likums" TargetMode="External"/><Relationship Id="rId10" Type="http://schemas.openxmlformats.org/officeDocument/2006/relationships/hyperlink" Target="https://likumi.lv/ta/id/255713-par-arkartejo-situaciju-un-iznemuma-stavokl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55713-par-arkartejo-situaciju-un-iznemuma-stavokli" TargetMode="External"/><Relationship Id="rId14" Type="http://schemas.openxmlformats.org/officeDocument/2006/relationships/hyperlink" Target="https://likumi.lv/ta/id/255713-par-arkartejo-situaciju-un-iznemuma-stav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4D220-9B67-49E1-A255-01572872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15843</Words>
  <Characters>9032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2005. gada 19. jūlija noteikumos Nr. 523 "Kārtība, kādā ieved valstī vai izved no tās miruša cilvēka ķermeni, pārvadā, glabā, apbedī vai kremē no infekcijas slimības miruša cilvēka ķermeni un veic obligāto patologanatomisko izmeklēšanu diagnozes precizēšanai pēc slimnieka nāves"</dc:title>
  <dc:subject>Anotācija</dc:subject>
  <dc:creator>Dace Būmane</dc:creator>
  <dc:description>67876148, dace.bumane@vm.gov.lv</dc:description>
  <cp:lastModifiedBy>Aija Talmane</cp:lastModifiedBy>
  <cp:revision>10</cp:revision>
  <cp:lastPrinted>2020-12-17T14:13:00Z</cp:lastPrinted>
  <dcterms:created xsi:type="dcterms:W3CDTF">2020-12-17T06:35:00Z</dcterms:created>
  <dcterms:modified xsi:type="dcterms:W3CDTF">2020-12-17T14:14:00Z</dcterms:modified>
</cp:coreProperties>
</file>