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43A" w:rsidRPr="00F8536C" w:rsidRDefault="00EC743A" w:rsidP="00EC743A">
      <w:pPr>
        <w:spacing w:after="0"/>
        <w:jc w:val="right"/>
        <w:rPr>
          <w:rFonts w:ascii="Times New Roman" w:hAnsi="Times New Roman" w:cs="Times New Roman"/>
          <w:b/>
          <w:sz w:val="24"/>
          <w:szCs w:val="24"/>
          <w:lang w:val="lv-LV"/>
        </w:rPr>
      </w:pPr>
      <w:r>
        <w:rPr>
          <w:rFonts w:ascii="Times New Roman" w:hAnsi="Times New Roman" w:cs="Times New Roman"/>
          <w:b/>
          <w:sz w:val="24"/>
          <w:szCs w:val="24"/>
          <w:lang w:val="lv-LV"/>
        </w:rPr>
        <w:t>4</w:t>
      </w:r>
      <w:r w:rsidRPr="00F8536C">
        <w:rPr>
          <w:rFonts w:ascii="Times New Roman" w:hAnsi="Times New Roman" w:cs="Times New Roman"/>
          <w:b/>
          <w:sz w:val="24"/>
          <w:szCs w:val="24"/>
          <w:lang w:val="lv-LV"/>
        </w:rPr>
        <w:t>.pielikums</w:t>
      </w:r>
    </w:p>
    <w:p w:rsidR="00EC743A" w:rsidRPr="00F8536C" w:rsidRDefault="00EC743A" w:rsidP="00EC743A">
      <w:pPr>
        <w:spacing w:after="0"/>
        <w:jc w:val="right"/>
        <w:rPr>
          <w:rFonts w:ascii="Times New Roman" w:hAnsi="Times New Roman" w:cs="Times New Roman"/>
          <w:sz w:val="24"/>
          <w:szCs w:val="24"/>
          <w:lang w:val="lv-LV"/>
        </w:rPr>
      </w:pPr>
      <w:r w:rsidRPr="00F8536C">
        <w:rPr>
          <w:rFonts w:ascii="Times New Roman" w:hAnsi="Times New Roman" w:cs="Times New Roman"/>
          <w:sz w:val="24"/>
          <w:szCs w:val="24"/>
          <w:lang w:val="lv-LV"/>
        </w:rPr>
        <w:t xml:space="preserve">Krīzes vadības padomes sekretariāta </w:t>
      </w:r>
    </w:p>
    <w:p w:rsidR="00EC743A" w:rsidRPr="00F8536C" w:rsidRDefault="00EC743A" w:rsidP="00EC743A">
      <w:pPr>
        <w:spacing w:after="0"/>
        <w:jc w:val="right"/>
        <w:rPr>
          <w:rFonts w:ascii="Times New Roman" w:hAnsi="Times New Roman" w:cs="Times New Roman"/>
          <w:sz w:val="24"/>
          <w:szCs w:val="24"/>
          <w:lang w:val="lv-LV"/>
        </w:rPr>
      </w:pPr>
      <w:r w:rsidRPr="00F8536C">
        <w:rPr>
          <w:rFonts w:ascii="Times New Roman" w:hAnsi="Times New Roman" w:cs="Times New Roman"/>
          <w:sz w:val="24"/>
          <w:szCs w:val="24"/>
          <w:lang w:val="lv-LV"/>
        </w:rPr>
        <w:t>informatīvajam ziņojumam</w:t>
      </w:r>
    </w:p>
    <w:p w:rsidR="00EC743A" w:rsidRPr="00F8536C" w:rsidRDefault="00EC743A" w:rsidP="00EC743A">
      <w:pPr>
        <w:spacing w:after="0"/>
        <w:jc w:val="right"/>
        <w:rPr>
          <w:rFonts w:ascii="Times New Roman" w:hAnsi="Times New Roman" w:cs="Times New Roman"/>
          <w:sz w:val="28"/>
          <w:szCs w:val="28"/>
          <w:lang w:val="lv-LV"/>
        </w:rPr>
      </w:pPr>
    </w:p>
    <w:p w:rsidR="00EC743A" w:rsidRPr="00DD7FD2" w:rsidRDefault="00EC743A" w:rsidP="00EC743A">
      <w:pPr>
        <w:spacing w:after="0"/>
        <w:jc w:val="center"/>
        <w:rPr>
          <w:rFonts w:ascii="Times New Roman" w:hAnsi="Times New Roman" w:cs="Times New Roman"/>
          <w:b/>
          <w:sz w:val="28"/>
          <w:szCs w:val="28"/>
          <w:lang w:val="lv-LV"/>
        </w:rPr>
      </w:pPr>
      <w:r w:rsidRPr="00DD7FD2">
        <w:rPr>
          <w:rFonts w:ascii="Times New Roman" w:hAnsi="Times New Roman" w:cs="Times New Roman"/>
          <w:b/>
          <w:sz w:val="28"/>
          <w:szCs w:val="28"/>
          <w:lang w:val="lv-LV"/>
        </w:rPr>
        <w:t xml:space="preserve">Veselības aprūpes </w:t>
      </w:r>
      <w:r>
        <w:rPr>
          <w:rFonts w:ascii="Times New Roman" w:hAnsi="Times New Roman" w:cs="Times New Roman"/>
          <w:b/>
          <w:sz w:val="28"/>
          <w:szCs w:val="28"/>
          <w:lang w:val="lv-LV"/>
        </w:rPr>
        <w:t xml:space="preserve">sistēmas </w:t>
      </w:r>
      <w:r w:rsidRPr="00DD7FD2">
        <w:rPr>
          <w:rFonts w:ascii="Times New Roman" w:hAnsi="Times New Roman" w:cs="Times New Roman"/>
          <w:b/>
          <w:sz w:val="28"/>
          <w:szCs w:val="28"/>
          <w:lang w:val="lv-LV"/>
        </w:rPr>
        <w:t>kapacitātes</w:t>
      </w:r>
      <w:r>
        <w:rPr>
          <w:rFonts w:ascii="Times New Roman" w:hAnsi="Times New Roman" w:cs="Times New Roman"/>
          <w:b/>
          <w:sz w:val="28"/>
          <w:szCs w:val="28"/>
          <w:lang w:val="lv-LV"/>
        </w:rPr>
        <w:t xml:space="preserve"> un noturības</w:t>
      </w:r>
      <w:r w:rsidRPr="00DD7FD2">
        <w:rPr>
          <w:rFonts w:ascii="Times New Roman" w:hAnsi="Times New Roman" w:cs="Times New Roman"/>
          <w:b/>
          <w:sz w:val="28"/>
          <w:szCs w:val="28"/>
          <w:lang w:val="lv-LV"/>
        </w:rPr>
        <w:t xml:space="preserve"> raksturojums </w:t>
      </w:r>
    </w:p>
    <w:p w:rsidR="00EC743A" w:rsidRPr="00DD7FD2" w:rsidRDefault="00EC743A" w:rsidP="00EC743A">
      <w:pPr>
        <w:spacing w:after="0"/>
        <w:ind w:firstLine="720"/>
        <w:jc w:val="both"/>
        <w:rPr>
          <w:rFonts w:ascii="Times New Roman" w:hAnsi="Times New Roman" w:cs="Times New Roman"/>
          <w:sz w:val="28"/>
          <w:szCs w:val="28"/>
          <w:lang w:val="lv-LV"/>
        </w:rPr>
      </w:pPr>
    </w:p>
    <w:p w:rsidR="00EC743A" w:rsidRPr="00DD7FD2" w:rsidRDefault="00EC743A" w:rsidP="00EC743A">
      <w:pPr>
        <w:spacing w:after="0"/>
        <w:ind w:firstLine="720"/>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Atceļot noteiktus ierobežošanas pasākumus, nenovēršami palielināsies Covid-19 saslimušo personu skaits, kas var būtiski palielināt veselības aprūpes sistēmas noslogojumu. Izšķiroša nozīme pārejas periodā ir veselības aprūpes sistēmas resursu kapacitātes (ārstniecību iestāžu, Neatliekamās medicīniskās palīdzības dienesta, primārās veselības aprūpes un citu) stiprināšanai, kā arī efektīvai un sabiedrības vajadzībām atbilstošu pakalpojumu nodrošināšana.</w:t>
      </w:r>
    </w:p>
    <w:p w:rsidR="00EC743A" w:rsidRPr="00DD7FD2" w:rsidRDefault="00EC743A" w:rsidP="00EC743A">
      <w:pPr>
        <w:spacing w:after="0"/>
        <w:ind w:firstLine="720"/>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 xml:space="preserve">Ārkārtējās situācijas laikā, strādājot paaugstinātas gatavības režīmā ārstniecības iestādes un Neatliekamās medicīniskās palīdzības dienests ir spējis sekmīgi nodrošināt pamatfunkcijas un papildus noteikto uzdevumu  izpildi. Jānorāda, ka būtiskākais  faktors veiksmīgas ārkārtējās situācijas pārvadīšanai līdz šim ir bijis uzliktie ierobežojumi veselības aprūpes pakalpojumu sniegšanā, kā arī citi ierobežojumi, kas noteikti ar ārkārtējās situācijas izsludināšanu, tāpēc jebkuru ierobežojumu atcelšana atstās ietekmi uz veselības aprūpes pakalpojumiem, kas orientēti uz Covid-19 infekcijas pacientiem. </w:t>
      </w:r>
    </w:p>
    <w:p w:rsidR="00EC743A" w:rsidRPr="00DD7FD2" w:rsidRDefault="00EC743A" w:rsidP="00EC743A">
      <w:pPr>
        <w:spacing w:after="0"/>
        <w:ind w:firstLine="720"/>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Balstoties uz iespējamajām saslimstības ar Covid-19 attīstības tendencēm pārskatāmā nākotnē, jāturpina uzturēt aktuālos datus un veikt monitoringu par izmaiņām (dinamika nedēļas griezumā) šādās pozīcijās:</w:t>
      </w:r>
    </w:p>
    <w:p w:rsidR="00EC743A" w:rsidRPr="00DD7FD2" w:rsidRDefault="00EC743A" w:rsidP="00EC743A">
      <w:pPr>
        <w:numPr>
          <w:ilvl w:val="0"/>
          <w:numId w:val="1"/>
        </w:numPr>
        <w:spacing w:after="0"/>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 xml:space="preserve">Neatliekamās medicīniskās palīdzības dienesta operatīvajā vadības centrā ienākušo zvanu skaits; </w:t>
      </w:r>
    </w:p>
    <w:p w:rsidR="00EC743A" w:rsidRPr="00DD7FD2" w:rsidRDefault="00EC743A" w:rsidP="00EC743A">
      <w:pPr>
        <w:numPr>
          <w:ilvl w:val="0"/>
          <w:numId w:val="1"/>
        </w:numPr>
        <w:spacing w:after="0"/>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Neatliekamās medicīniskās palīdzības dienesta brigāžu izpildīto izsaukumu skaits;</w:t>
      </w:r>
    </w:p>
    <w:p w:rsidR="00EC743A" w:rsidRPr="00DD7FD2" w:rsidRDefault="00EC743A" w:rsidP="00EC743A">
      <w:pPr>
        <w:numPr>
          <w:ilvl w:val="0"/>
          <w:numId w:val="1"/>
        </w:numPr>
        <w:spacing w:after="0"/>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Neatliekamās medicīniskās palīdzības slimnīcu gultu kapacitāte (kopējās/brīvās gultas; reanimācijas/intensīvās terapijas gultas; izolācijas boksi);</w:t>
      </w:r>
    </w:p>
    <w:p w:rsidR="00EC743A" w:rsidRPr="00DD7FD2" w:rsidRDefault="00EC743A" w:rsidP="00EC743A">
      <w:pPr>
        <w:numPr>
          <w:ilvl w:val="0"/>
          <w:numId w:val="1"/>
        </w:numPr>
        <w:spacing w:after="0"/>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 xml:space="preserve">mākslīgo plaušu ventilatoru kapacitāte; </w:t>
      </w:r>
    </w:p>
    <w:p w:rsidR="00EC743A" w:rsidRPr="00DD7FD2" w:rsidRDefault="00EC743A" w:rsidP="00EC743A">
      <w:pPr>
        <w:numPr>
          <w:ilvl w:val="0"/>
          <w:numId w:val="1"/>
        </w:numPr>
        <w:spacing w:after="0"/>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cilvēkresursu (ārstniecības personu un citu veselības aprūpes un atbalsta procesos iesaistīto personu) pieejamība;</w:t>
      </w:r>
    </w:p>
    <w:p w:rsidR="00EC743A" w:rsidRPr="00DD7FD2" w:rsidRDefault="00EC743A" w:rsidP="00EC743A">
      <w:pPr>
        <w:numPr>
          <w:ilvl w:val="0"/>
          <w:numId w:val="1"/>
        </w:numPr>
        <w:spacing w:after="0"/>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individuālo aizsardzības līdzekļu pieejamība un rezerves.</w:t>
      </w:r>
    </w:p>
    <w:p w:rsidR="00EC743A" w:rsidRPr="00DD7FD2" w:rsidRDefault="00EC743A" w:rsidP="00EC743A">
      <w:pPr>
        <w:spacing w:after="0"/>
        <w:ind w:firstLine="720"/>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 xml:space="preserve">Minēto datu regulāra atjaunošana, fiksēšana un analīze nodrošina situācijas kontroli un preventīvas operatīvas reaģēšanas iespējas, gadījumos, ja būtiski paaugstināsies veselības aprūpes sistēmas noslogojums.   </w:t>
      </w:r>
    </w:p>
    <w:p w:rsidR="00EC743A" w:rsidRPr="00DD7FD2" w:rsidRDefault="00EC743A" w:rsidP="00EC743A">
      <w:pPr>
        <w:spacing w:after="0"/>
        <w:ind w:firstLine="720"/>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 xml:space="preserve">Analizējot </w:t>
      </w:r>
      <w:r w:rsidRPr="00DD7FD2">
        <w:rPr>
          <w:rFonts w:ascii="Times New Roman" w:hAnsi="Times New Roman" w:cs="Times New Roman"/>
          <w:bCs/>
          <w:sz w:val="28"/>
          <w:szCs w:val="28"/>
          <w:lang w:val="lv-LV"/>
        </w:rPr>
        <w:t>Neatliekamās medicīniskās palīdzības dienesta Operatīvās vadības centrā ienākušo zvanu skaita dinamiku,</w:t>
      </w:r>
      <w:r w:rsidRPr="00DD7FD2">
        <w:rPr>
          <w:rFonts w:ascii="Times New Roman" w:hAnsi="Times New Roman" w:cs="Times New Roman"/>
          <w:sz w:val="28"/>
          <w:szCs w:val="28"/>
          <w:lang w:val="lv-LV"/>
        </w:rPr>
        <w:t xml:space="preserve"> secināms, ka no 2020.gada 1.marta līdz 25.aprīlim ienākošo zvanu skaits uz ārkārtas tālruni 113 svārstījās no </w:t>
      </w:r>
      <w:r w:rsidRPr="00DD7FD2">
        <w:rPr>
          <w:rFonts w:ascii="Times New Roman" w:hAnsi="Times New Roman" w:cs="Times New Roman"/>
          <w:b/>
          <w:sz w:val="28"/>
          <w:szCs w:val="28"/>
          <w:lang w:val="lv-LV"/>
        </w:rPr>
        <w:t>1 405</w:t>
      </w:r>
      <w:r w:rsidRPr="00DD7FD2">
        <w:rPr>
          <w:rFonts w:ascii="Times New Roman" w:hAnsi="Times New Roman" w:cs="Times New Roman"/>
          <w:sz w:val="28"/>
          <w:szCs w:val="28"/>
          <w:lang w:val="lv-LV"/>
        </w:rPr>
        <w:t xml:space="preserve"> līdz </w:t>
      </w:r>
      <w:r w:rsidRPr="00DD7FD2">
        <w:rPr>
          <w:rFonts w:ascii="Times New Roman" w:hAnsi="Times New Roman" w:cs="Times New Roman"/>
          <w:b/>
          <w:sz w:val="28"/>
          <w:szCs w:val="28"/>
          <w:lang w:val="lv-LV"/>
        </w:rPr>
        <w:t>4 870</w:t>
      </w:r>
      <w:r w:rsidRPr="00DD7FD2">
        <w:rPr>
          <w:rFonts w:ascii="Times New Roman" w:hAnsi="Times New Roman" w:cs="Times New Roman"/>
          <w:sz w:val="28"/>
          <w:szCs w:val="28"/>
          <w:lang w:val="lv-LV"/>
        </w:rPr>
        <w:t xml:space="preserve"> diennaktī, sasniedzot maksimumu no 2020.gada 12. līdz 18.martam, pārsniedzot </w:t>
      </w:r>
      <w:r w:rsidRPr="00DD7FD2">
        <w:rPr>
          <w:rFonts w:ascii="Times New Roman" w:hAnsi="Times New Roman" w:cs="Times New Roman"/>
          <w:b/>
          <w:sz w:val="28"/>
          <w:szCs w:val="28"/>
          <w:lang w:val="lv-LV"/>
        </w:rPr>
        <w:t>3 000</w:t>
      </w:r>
      <w:r w:rsidRPr="00DD7FD2">
        <w:rPr>
          <w:rFonts w:ascii="Times New Roman" w:hAnsi="Times New Roman" w:cs="Times New Roman"/>
          <w:sz w:val="28"/>
          <w:szCs w:val="28"/>
          <w:lang w:val="lv-LV"/>
        </w:rPr>
        <w:t xml:space="preserve"> ienākošo zvanu. Savukārt ar brīdi, kad tika ieviests jauns tālruņa numurs – 8303 (18.03.2020.), ienākošo zvanu skaits uz ārkārtas tālruni 113 sāka pakāpeniski samazināties nepārsniedzot </w:t>
      </w:r>
      <w:r w:rsidRPr="00DD7FD2">
        <w:rPr>
          <w:rFonts w:ascii="Times New Roman" w:hAnsi="Times New Roman" w:cs="Times New Roman"/>
          <w:b/>
          <w:sz w:val="28"/>
          <w:szCs w:val="28"/>
          <w:lang w:val="lv-LV"/>
        </w:rPr>
        <w:t>1 700</w:t>
      </w:r>
      <w:r w:rsidRPr="00DD7FD2">
        <w:rPr>
          <w:rFonts w:ascii="Times New Roman" w:hAnsi="Times New Roman" w:cs="Times New Roman"/>
          <w:sz w:val="28"/>
          <w:szCs w:val="28"/>
          <w:lang w:val="lv-LV"/>
        </w:rPr>
        <w:t xml:space="preserve"> ienākošo zvanu robežu diennaktī. Ņemot vērā minēto, secināms, ka ienākošo zvanu skaita uz ārkārtas tālruni 113 riska robeža ir </w:t>
      </w:r>
      <w:r w:rsidRPr="00DD7FD2">
        <w:rPr>
          <w:rFonts w:ascii="Times New Roman" w:hAnsi="Times New Roman" w:cs="Times New Roman"/>
          <w:b/>
          <w:sz w:val="28"/>
          <w:szCs w:val="28"/>
          <w:lang w:val="lv-LV"/>
        </w:rPr>
        <w:t>1</w:t>
      </w:r>
      <w:r>
        <w:rPr>
          <w:rFonts w:ascii="Times New Roman" w:hAnsi="Times New Roman" w:cs="Times New Roman"/>
          <w:b/>
          <w:sz w:val="28"/>
          <w:szCs w:val="28"/>
          <w:lang w:val="lv-LV"/>
        </w:rPr>
        <w:t>7</w:t>
      </w:r>
      <w:r w:rsidRPr="00DD7FD2">
        <w:rPr>
          <w:rFonts w:ascii="Times New Roman" w:hAnsi="Times New Roman" w:cs="Times New Roman"/>
          <w:b/>
          <w:sz w:val="28"/>
          <w:szCs w:val="28"/>
          <w:lang w:val="lv-LV"/>
        </w:rPr>
        <w:t>00</w:t>
      </w:r>
      <w:r w:rsidRPr="00DD7FD2">
        <w:rPr>
          <w:rFonts w:ascii="Times New Roman" w:hAnsi="Times New Roman" w:cs="Times New Roman"/>
          <w:sz w:val="28"/>
          <w:szCs w:val="28"/>
          <w:lang w:val="lv-LV"/>
        </w:rPr>
        <w:t xml:space="preserve"> zvani diennaktī, kas signalizē par nepieciešamību ieviest jaunus, šī riska mazināšanas pasākumus. </w:t>
      </w:r>
    </w:p>
    <w:p w:rsidR="00EC743A" w:rsidRPr="00DD7FD2" w:rsidRDefault="00EC743A" w:rsidP="00EC743A">
      <w:pPr>
        <w:spacing w:after="0"/>
        <w:ind w:firstLine="720"/>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lastRenderedPageBreak/>
        <w:t xml:space="preserve">Savukārt, analizējot </w:t>
      </w:r>
      <w:r w:rsidRPr="00DD7FD2">
        <w:rPr>
          <w:rFonts w:ascii="Times New Roman" w:hAnsi="Times New Roman" w:cs="Times New Roman"/>
          <w:bCs/>
          <w:sz w:val="28"/>
          <w:szCs w:val="28"/>
          <w:lang w:val="lv-LV"/>
        </w:rPr>
        <w:t>Neatliekamās medicīniskās palīdzības dienesta brigāžu izpildīto izsaukumu skaita dinamiku,</w:t>
      </w:r>
      <w:r w:rsidRPr="00DD7FD2">
        <w:rPr>
          <w:rFonts w:ascii="Times New Roman" w:hAnsi="Times New Roman" w:cs="Times New Roman"/>
          <w:sz w:val="28"/>
          <w:szCs w:val="28"/>
          <w:lang w:val="lv-LV"/>
        </w:rPr>
        <w:t xml:space="preserve"> var secināt, ka ievērojot uzliktos ierobežojumus ārkārtējās situācijas laikā, kā arī veicot virkni Covid-19  infekcijas ierobežošanas kontroles pasākumus, tai skaitā aktīvi komunicējot ar sabiedrību, aicinot vērsties Neatliekamās medicīniskās palīdzības dienestā tikai gadījumos, kad pacienta veselība vai dzīvība ir apdraudēta, kā arī izsaucēju aktīvāka konsultēšana pa telefonu, Neatliekamās medicīniskās palīdzības dienesta brigāžu vidējais izpildīto izsaukumu skaits no 2020.gada 1.marta līdz 25.aprīlim svārstījās no </w:t>
      </w:r>
      <w:r w:rsidRPr="00DD7FD2">
        <w:rPr>
          <w:rFonts w:ascii="Times New Roman" w:hAnsi="Times New Roman" w:cs="Times New Roman"/>
          <w:b/>
          <w:sz w:val="28"/>
          <w:szCs w:val="28"/>
          <w:lang w:val="lv-LV"/>
        </w:rPr>
        <w:t>72</w:t>
      </w:r>
      <w:r>
        <w:rPr>
          <w:rFonts w:ascii="Times New Roman" w:hAnsi="Times New Roman" w:cs="Times New Roman"/>
          <w:b/>
          <w:sz w:val="28"/>
          <w:szCs w:val="28"/>
          <w:lang w:val="lv-LV"/>
        </w:rPr>
        <w:t>3</w:t>
      </w:r>
      <w:r w:rsidRPr="00DD7FD2">
        <w:rPr>
          <w:rFonts w:ascii="Times New Roman" w:hAnsi="Times New Roman" w:cs="Times New Roman"/>
          <w:sz w:val="28"/>
          <w:szCs w:val="28"/>
          <w:lang w:val="lv-LV"/>
        </w:rPr>
        <w:t xml:space="preserve"> līdz </w:t>
      </w:r>
      <w:r w:rsidRPr="00DD7FD2">
        <w:rPr>
          <w:rFonts w:ascii="Times New Roman" w:hAnsi="Times New Roman" w:cs="Times New Roman"/>
          <w:b/>
          <w:sz w:val="28"/>
          <w:szCs w:val="28"/>
          <w:lang w:val="lv-LV"/>
        </w:rPr>
        <w:t>1</w:t>
      </w:r>
      <w:r>
        <w:rPr>
          <w:rFonts w:ascii="Times New Roman" w:hAnsi="Times New Roman" w:cs="Times New Roman"/>
          <w:b/>
          <w:sz w:val="28"/>
          <w:szCs w:val="28"/>
          <w:lang w:val="lv-LV"/>
        </w:rPr>
        <w:t> </w:t>
      </w:r>
      <w:r w:rsidRPr="00DD7FD2">
        <w:rPr>
          <w:rFonts w:ascii="Times New Roman" w:hAnsi="Times New Roman" w:cs="Times New Roman"/>
          <w:b/>
          <w:sz w:val="28"/>
          <w:szCs w:val="28"/>
          <w:lang w:val="lv-LV"/>
        </w:rPr>
        <w:t>12</w:t>
      </w:r>
      <w:r>
        <w:rPr>
          <w:rFonts w:ascii="Times New Roman" w:hAnsi="Times New Roman" w:cs="Times New Roman"/>
          <w:b/>
          <w:sz w:val="28"/>
          <w:szCs w:val="28"/>
          <w:lang w:val="lv-LV"/>
        </w:rPr>
        <w:t>5</w:t>
      </w:r>
      <w:r w:rsidRPr="00DD7FD2">
        <w:rPr>
          <w:rFonts w:ascii="Times New Roman" w:hAnsi="Times New Roman" w:cs="Times New Roman"/>
          <w:sz w:val="28"/>
          <w:szCs w:val="28"/>
          <w:lang w:val="lv-LV"/>
        </w:rPr>
        <w:t xml:space="preserve"> izsaukumiem, savukārt izsaukumu skaits pie pacientiem ar akūtu elpceļu saslimšanu, tai skaitā iespējamu vai apstiprinātu Covid-19 infekciju, mēneša griezumā līdz 2020.gada 2</w:t>
      </w:r>
      <w:r>
        <w:rPr>
          <w:rFonts w:ascii="Times New Roman" w:hAnsi="Times New Roman" w:cs="Times New Roman"/>
          <w:sz w:val="28"/>
          <w:szCs w:val="28"/>
          <w:lang w:val="lv-LV"/>
        </w:rPr>
        <w:t>5</w:t>
      </w:r>
      <w:r w:rsidRPr="00DD7FD2">
        <w:rPr>
          <w:rFonts w:ascii="Times New Roman" w:hAnsi="Times New Roman" w:cs="Times New Roman"/>
          <w:sz w:val="28"/>
          <w:szCs w:val="28"/>
          <w:lang w:val="lv-LV"/>
        </w:rPr>
        <w:t xml:space="preserve">.aprīlim </w:t>
      </w:r>
      <w:r>
        <w:rPr>
          <w:rFonts w:ascii="Times New Roman" w:hAnsi="Times New Roman" w:cs="Times New Roman"/>
          <w:sz w:val="28"/>
          <w:szCs w:val="28"/>
          <w:lang w:val="lv-LV"/>
        </w:rPr>
        <w:t>bija vidēji 101</w:t>
      </w:r>
      <w:r w:rsidRPr="00DD7FD2">
        <w:rPr>
          <w:rFonts w:ascii="Times New Roman" w:hAnsi="Times New Roman" w:cs="Times New Roman"/>
          <w:sz w:val="28"/>
          <w:szCs w:val="28"/>
          <w:lang w:val="lv-LV"/>
        </w:rPr>
        <w:t xml:space="preserve"> izsaukum</w:t>
      </w:r>
      <w:r>
        <w:rPr>
          <w:rFonts w:ascii="Times New Roman" w:hAnsi="Times New Roman" w:cs="Times New Roman"/>
          <w:sz w:val="28"/>
          <w:szCs w:val="28"/>
          <w:lang w:val="lv-LV"/>
        </w:rPr>
        <w:t>s</w:t>
      </w:r>
      <w:r w:rsidRPr="00DD7FD2">
        <w:rPr>
          <w:rFonts w:ascii="Times New Roman" w:hAnsi="Times New Roman" w:cs="Times New Roman"/>
          <w:sz w:val="28"/>
          <w:szCs w:val="28"/>
          <w:lang w:val="lv-LV"/>
        </w:rPr>
        <w:t xml:space="preserve"> diennaktī</w:t>
      </w:r>
      <w:r>
        <w:rPr>
          <w:rFonts w:ascii="Times New Roman" w:hAnsi="Times New Roman" w:cs="Times New Roman"/>
          <w:sz w:val="28"/>
          <w:szCs w:val="28"/>
          <w:lang w:val="lv-LV"/>
        </w:rPr>
        <w:t xml:space="preserve"> martā, kas aprīlī samazinājās līdz 52 izsaukumiem, veidojot izvērtējamā periodā vidēji 79 izsaukumus diennaktī</w:t>
      </w:r>
      <w:r w:rsidRPr="00DD7FD2">
        <w:rPr>
          <w:rFonts w:ascii="Times New Roman" w:hAnsi="Times New Roman" w:cs="Times New Roman"/>
          <w:sz w:val="28"/>
          <w:szCs w:val="28"/>
          <w:lang w:val="lv-LV"/>
        </w:rPr>
        <w:t xml:space="preserve">. Izvērtējot Neatliekamās medicīniskās palīdzības dienesta brigāžu kapacitāti ir secināms, ka izpildīto izsaukumu skaita riska robeža pie pieaugošas Covid-19 infekcijas transmisijas ir </w:t>
      </w:r>
      <w:r w:rsidRPr="00DD7FD2">
        <w:rPr>
          <w:rFonts w:ascii="Times New Roman" w:hAnsi="Times New Roman" w:cs="Times New Roman"/>
          <w:b/>
          <w:sz w:val="28"/>
          <w:szCs w:val="28"/>
          <w:lang w:val="lv-LV"/>
        </w:rPr>
        <w:t>900</w:t>
      </w:r>
      <w:r w:rsidRPr="00DD7FD2">
        <w:rPr>
          <w:rFonts w:ascii="Times New Roman" w:hAnsi="Times New Roman" w:cs="Times New Roman"/>
          <w:sz w:val="28"/>
          <w:szCs w:val="28"/>
          <w:lang w:val="lv-LV"/>
        </w:rPr>
        <w:t xml:space="preserve"> – </w:t>
      </w:r>
      <w:r w:rsidRPr="00DD7FD2">
        <w:rPr>
          <w:rFonts w:ascii="Times New Roman" w:hAnsi="Times New Roman" w:cs="Times New Roman"/>
          <w:b/>
          <w:sz w:val="28"/>
          <w:szCs w:val="28"/>
          <w:lang w:val="lv-LV"/>
        </w:rPr>
        <w:t>1000</w:t>
      </w:r>
      <w:r w:rsidRPr="00DD7FD2">
        <w:rPr>
          <w:rFonts w:ascii="Times New Roman" w:hAnsi="Times New Roman" w:cs="Times New Roman"/>
          <w:sz w:val="28"/>
          <w:szCs w:val="28"/>
          <w:lang w:val="lv-LV"/>
        </w:rPr>
        <w:t xml:space="preserve"> izsaukumi diennaktī, vienlaicīgi ņemot vērā faktisko Neatliekamās medicīniskās palīdzības dienesta brigādēs strādājošo ārstniecības personu pieejamību un skaitu.</w:t>
      </w:r>
    </w:p>
    <w:p w:rsidR="00EC743A" w:rsidRDefault="00EC743A" w:rsidP="00EC743A">
      <w:pPr>
        <w:spacing w:after="0"/>
        <w:ind w:firstLine="720"/>
        <w:jc w:val="both"/>
        <w:rPr>
          <w:rFonts w:ascii="Times New Roman" w:hAnsi="Times New Roman" w:cs="Times New Roman"/>
          <w:sz w:val="28"/>
          <w:szCs w:val="28"/>
          <w:lang w:val="lv-LV"/>
        </w:rPr>
      </w:pPr>
    </w:p>
    <w:p w:rsidR="00EC743A" w:rsidRPr="00EC743A" w:rsidRDefault="00EC743A" w:rsidP="00EC743A">
      <w:pPr>
        <w:spacing w:after="0"/>
        <w:jc w:val="both"/>
        <w:rPr>
          <w:rFonts w:ascii="Times New Roman" w:hAnsi="Times New Roman" w:cs="Times New Roman"/>
          <w:b/>
          <w:bCs/>
          <w:i/>
          <w:color w:val="FF0000"/>
          <w:sz w:val="28"/>
          <w:szCs w:val="28"/>
          <w:lang w:val="lv-LV"/>
        </w:rPr>
      </w:pPr>
      <w:r w:rsidRPr="00EC743A">
        <w:rPr>
          <w:rFonts w:ascii="Times New Roman" w:hAnsi="Times New Roman" w:cs="Times New Roman"/>
          <w:b/>
          <w:bCs/>
          <w:sz w:val="28"/>
          <w:szCs w:val="24"/>
          <w:lang w:val="lv-LV"/>
        </w:rPr>
        <w:t>Grafiks Nr.1</w:t>
      </w:r>
      <w:r w:rsidRPr="00EC743A">
        <w:rPr>
          <w:rFonts w:ascii="Times New Roman" w:hAnsi="Times New Roman" w:cs="Times New Roman"/>
          <w:bCs/>
          <w:sz w:val="28"/>
          <w:szCs w:val="24"/>
          <w:lang w:val="lv-LV"/>
        </w:rPr>
        <w:t xml:space="preserve"> Neatliekamās medicīniskās palīdzības dienesta operatīvā vadības centrā ienākošo zvanu skaits</w:t>
      </w:r>
      <w:r w:rsidRPr="00EC743A">
        <w:rPr>
          <w:rFonts w:ascii="Times New Roman" w:hAnsi="Times New Roman" w:cs="Times New Roman"/>
          <w:b/>
          <w:bCs/>
          <w:sz w:val="28"/>
          <w:szCs w:val="24"/>
          <w:lang w:val="lv-LV"/>
        </w:rPr>
        <w:t xml:space="preserve"> </w:t>
      </w:r>
    </w:p>
    <w:p w:rsidR="00EC743A" w:rsidRPr="00F202EC" w:rsidRDefault="00400B14" w:rsidP="00EC743A">
      <w:pPr>
        <w:spacing w:after="0"/>
        <w:jc w:val="both"/>
        <w:rPr>
          <w:rFonts w:ascii="Times New Roman" w:hAnsi="Times New Roman" w:cs="Times New Roman"/>
          <w:iCs/>
          <w:color w:val="FF0000"/>
          <w:sz w:val="28"/>
          <w:szCs w:val="28"/>
          <w:lang w:val="lv-LV"/>
        </w:rPr>
      </w:pPr>
      <w:r>
        <w:rPr>
          <w:noProof/>
          <w:lang w:eastAsia="en-GB"/>
        </w:rPr>
        <w:drawing>
          <wp:inline distT="0" distB="0" distL="0" distR="0" wp14:anchorId="0C582101" wp14:editId="2BF6C7EB">
            <wp:extent cx="6301105" cy="4476750"/>
            <wp:effectExtent l="0" t="0" r="444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C743A" w:rsidRDefault="00EC743A" w:rsidP="00EC743A">
      <w:pPr>
        <w:spacing w:after="0"/>
        <w:jc w:val="both"/>
        <w:rPr>
          <w:rFonts w:ascii="Times New Roman" w:hAnsi="Times New Roman" w:cs="Times New Roman"/>
          <w:b/>
          <w:bCs/>
          <w:sz w:val="28"/>
          <w:szCs w:val="24"/>
          <w:u w:val="single"/>
          <w:lang w:val="lv-LV"/>
        </w:rPr>
      </w:pPr>
    </w:p>
    <w:p w:rsidR="00EC743A" w:rsidRDefault="00EC743A" w:rsidP="00EC743A">
      <w:pPr>
        <w:spacing w:after="0"/>
        <w:jc w:val="both"/>
        <w:rPr>
          <w:rFonts w:ascii="Times New Roman" w:hAnsi="Times New Roman" w:cs="Times New Roman"/>
          <w:b/>
          <w:bCs/>
          <w:sz w:val="28"/>
          <w:szCs w:val="24"/>
          <w:u w:val="single"/>
          <w:lang w:val="lv-LV"/>
        </w:rPr>
      </w:pPr>
    </w:p>
    <w:p w:rsidR="00EC743A" w:rsidRDefault="00EC743A" w:rsidP="00EC743A">
      <w:pPr>
        <w:spacing w:after="0"/>
        <w:jc w:val="both"/>
        <w:rPr>
          <w:rFonts w:ascii="Times New Roman" w:hAnsi="Times New Roman" w:cs="Times New Roman"/>
          <w:b/>
          <w:bCs/>
          <w:sz w:val="28"/>
          <w:szCs w:val="24"/>
          <w:lang w:val="lv-LV"/>
        </w:rPr>
      </w:pPr>
    </w:p>
    <w:p w:rsidR="00EC743A" w:rsidRPr="00EC743A" w:rsidRDefault="00EC743A" w:rsidP="00EC743A">
      <w:pPr>
        <w:spacing w:after="0"/>
        <w:jc w:val="both"/>
        <w:rPr>
          <w:rFonts w:ascii="Times New Roman" w:hAnsi="Times New Roman" w:cs="Times New Roman"/>
          <w:i/>
          <w:color w:val="FF0000"/>
          <w:sz w:val="28"/>
          <w:szCs w:val="28"/>
          <w:lang w:val="lv-LV"/>
        </w:rPr>
      </w:pPr>
      <w:bookmarkStart w:id="0" w:name="_GoBack"/>
      <w:bookmarkEnd w:id="0"/>
      <w:r w:rsidRPr="00EC743A">
        <w:rPr>
          <w:rFonts w:ascii="Times New Roman" w:hAnsi="Times New Roman" w:cs="Times New Roman"/>
          <w:b/>
          <w:bCs/>
          <w:sz w:val="28"/>
          <w:szCs w:val="24"/>
          <w:lang w:val="lv-LV"/>
        </w:rPr>
        <w:lastRenderedPageBreak/>
        <w:t>Grafiks Nr.2</w:t>
      </w:r>
      <w:r w:rsidRPr="00EC743A">
        <w:rPr>
          <w:rFonts w:ascii="Times New Roman" w:hAnsi="Times New Roman" w:cs="Times New Roman"/>
          <w:bCs/>
          <w:sz w:val="28"/>
          <w:szCs w:val="24"/>
          <w:lang w:val="lv-LV"/>
        </w:rPr>
        <w:t xml:space="preserve"> Neatliekamās medicīniskās palīdzības dienesta brigāžu izpildīto izsaukumu skaits</w:t>
      </w:r>
    </w:p>
    <w:p w:rsidR="00EC743A" w:rsidRPr="00DD7FD2" w:rsidRDefault="00EC743A" w:rsidP="00EC743A">
      <w:pPr>
        <w:spacing w:after="0"/>
        <w:jc w:val="both"/>
        <w:rPr>
          <w:rFonts w:ascii="Times New Roman" w:hAnsi="Times New Roman" w:cs="Times New Roman"/>
          <w:b/>
          <w:sz w:val="28"/>
          <w:szCs w:val="28"/>
          <w:lang w:val="lv-LV"/>
        </w:rPr>
      </w:pPr>
      <w:r>
        <w:rPr>
          <w:noProof/>
          <w:lang w:eastAsia="en-GB"/>
        </w:rPr>
        <w:drawing>
          <wp:inline distT="0" distB="0" distL="0" distR="0" wp14:anchorId="679B3916" wp14:editId="48E9F3A2">
            <wp:extent cx="6301105" cy="3506470"/>
            <wp:effectExtent l="0" t="0" r="23495" b="1778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743A" w:rsidRPr="00DD7FD2" w:rsidRDefault="00EC743A" w:rsidP="00EC743A">
      <w:pPr>
        <w:spacing w:after="0"/>
        <w:jc w:val="both"/>
        <w:rPr>
          <w:rFonts w:ascii="Times New Roman" w:hAnsi="Times New Roman" w:cs="Times New Roman"/>
          <w:sz w:val="28"/>
          <w:szCs w:val="28"/>
          <w:lang w:val="lv-LV"/>
        </w:rPr>
      </w:pPr>
    </w:p>
    <w:p w:rsidR="00EC743A" w:rsidRPr="00EC743A" w:rsidRDefault="00EC743A" w:rsidP="00EC743A">
      <w:pPr>
        <w:spacing w:after="0"/>
        <w:jc w:val="both"/>
        <w:rPr>
          <w:rFonts w:ascii="Times New Roman" w:hAnsi="Times New Roman" w:cs="Times New Roman"/>
          <w:sz w:val="28"/>
          <w:szCs w:val="28"/>
          <w:lang w:val="lv-LV"/>
        </w:rPr>
      </w:pPr>
      <w:r w:rsidRPr="00EC743A">
        <w:rPr>
          <w:rFonts w:ascii="Times New Roman" w:hAnsi="Times New Roman" w:cs="Times New Roman"/>
          <w:b/>
          <w:bCs/>
          <w:sz w:val="28"/>
          <w:szCs w:val="24"/>
          <w:lang w:val="lv-LV"/>
        </w:rPr>
        <w:t>Grafiks Nr.3</w:t>
      </w:r>
      <w:r w:rsidRPr="00EC743A">
        <w:rPr>
          <w:rFonts w:ascii="Times New Roman" w:hAnsi="Times New Roman" w:cs="Times New Roman"/>
          <w:bCs/>
          <w:sz w:val="28"/>
          <w:szCs w:val="24"/>
          <w:lang w:val="lv-LV"/>
        </w:rPr>
        <w:t xml:space="preserve"> Neatliekamās medicīniskās palīdzības dienesta brigāžu izpildīto izsaukumu skaits pie pacientiem ar akūtu elpceļu saslimšanu</w:t>
      </w:r>
    </w:p>
    <w:p w:rsidR="00EC743A" w:rsidRDefault="00EC743A" w:rsidP="00EC743A">
      <w:pPr>
        <w:spacing w:after="0"/>
        <w:jc w:val="both"/>
        <w:rPr>
          <w:rFonts w:ascii="Times New Roman" w:hAnsi="Times New Roman" w:cs="Times New Roman"/>
          <w:sz w:val="28"/>
          <w:szCs w:val="28"/>
          <w:lang w:val="lv-LV"/>
        </w:rPr>
      </w:pPr>
      <w:r>
        <w:rPr>
          <w:noProof/>
          <w:lang w:eastAsia="en-GB"/>
        </w:rPr>
        <w:drawing>
          <wp:inline distT="0" distB="0" distL="0" distR="0" wp14:anchorId="5234643E" wp14:editId="3EF688EC">
            <wp:extent cx="6257290" cy="3514476"/>
            <wp:effectExtent l="0" t="0" r="10160" b="1016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743A" w:rsidRDefault="00EC743A" w:rsidP="00EC743A">
      <w:pPr>
        <w:spacing w:after="0"/>
        <w:ind w:firstLine="720"/>
        <w:jc w:val="both"/>
        <w:rPr>
          <w:rFonts w:ascii="Times New Roman" w:hAnsi="Times New Roman" w:cs="Times New Roman"/>
          <w:sz w:val="28"/>
          <w:szCs w:val="28"/>
          <w:lang w:val="lv-LV"/>
        </w:rPr>
      </w:pPr>
    </w:p>
    <w:p w:rsidR="00EC743A" w:rsidRPr="00DF7C29" w:rsidRDefault="00EC743A" w:rsidP="00EC743A">
      <w:pPr>
        <w:spacing w:after="0"/>
        <w:ind w:firstLine="720"/>
        <w:jc w:val="both"/>
        <w:rPr>
          <w:rFonts w:ascii="Times New Roman" w:hAnsi="Times New Roman" w:cs="Times New Roman"/>
          <w:sz w:val="28"/>
          <w:szCs w:val="28"/>
          <w:lang w:val="lv-LV"/>
        </w:rPr>
      </w:pPr>
      <w:r w:rsidRPr="00DF7C29">
        <w:rPr>
          <w:rFonts w:ascii="Times New Roman" w:hAnsi="Times New Roman" w:cs="Times New Roman"/>
          <w:sz w:val="28"/>
          <w:szCs w:val="28"/>
          <w:lang w:val="lv-LV"/>
        </w:rPr>
        <w:t xml:space="preserve">Neatliekamās medicīniskās palīdzības slimnīcu, kurās 24/7 režīmā tiek nodrošināta neatliekamā medicīniskā palīdzība, tajā skaitā specializētās medicīniskās palīdzība, gultu kapacitāti kopā veido </w:t>
      </w:r>
      <w:r w:rsidRPr="00A97787">
        <w:rPr>
          <w:rFonts w:ascii="Times New Roman" w:hAnsi="Times New Roman" w:cs="Times New Roman"/>
          <w:b/>
          <w:sz w:val="28"/>
          <w:szCs w:val="28"/>
          <w:lang w:val="lv-LV"/>
        </w:rPr>
        <w:t>8275</w:t>
      </w:r>
      <w:r w:rsidRPr="00DF7C29">
        <w:rPr>
          <w:rFonts w:ascii="Times New Roman" w:hAnsi="Times New Roman" w:cs="Times New Roman"/>
          <w:sz w:val="28"/>
          <w:szCs w:val="28"/>
          <w:lang w:val="lv-LV"/>
        </w:rPr>
        <w:t xml:space="preserve"> gultas, no kurām:</w:t>
      </w:r>
    </w:p>
    <w:p w:rsidR="00EC743A" w:rsidRPr="00E309FA" w:rsidRDefault="00EC743A" w:rsidP="00EC743A">
      <w:pPr>
        <w:pStyle w:val="Sarakstarindkopa"/>
        <w:numPr>
          <w:ilvl w:val="0"/>
          <w:numId w:val="1"/>
        </w:numPr>
        <w:spacing w:after="0"/>
        <w:jc w:val="both"/>
        <w:rPr>
          <w:rFonts w:ascii="Times New Roman" w:hAnsi="Times New Roman" w:cs="Times New Roman"/>
          <w:sz w:val="28"/>
          <w:szCs w:val="28"/>
          <w:lang w:val="lv-LV"/>
        </w:rPr>
      </w:pPr>
      <w:r>
        <w:rPr>
          <w:rFonts w:ascii="Times New Roman" w:hAnsi="Times New Roman" w:cs="Times New Roman"/>
          <w:sz w:val="28"/>
          <w:szCs w:val="28"/>
          <w:lang w:val="lv-LV"/>
        </w:rPr>
        <w:t>r</w:t>
      </w:r>
      <w:r w:rsidRPr="00E309FA">
        <w:rPr>
          <w:rFonts w:ascii="Times New Roman" w:hAnsi="Times New Roman" w:cs="Times New Roman"/>
          <w:sz w:val="28"/>
          <w:szCs w:val="28"/>
          <w:lang w:val="lv-LV"/>
        </w:rPr>
        <w:t xml:space="preserve">eanimācijas gultu skaits: </w:t>
      </w:r>
      <w:r w:rsidRPr="00A97787">
        <w:rPr>
          <w:rFonts w:ascii="Times New Roman" w:hAnsi="Times New Roman" w:cs="Times New Roman"/>
          <w:b/>
          <w:sz w:val="28"/>
          <w:szCs w:val="28"/>
          <w:lang w:val="lv-LV"/>
        </w:rPr>
        <w:t>252</w:t>
      </w:r>
    </w:p>
    <w:p w:rsidR="00EC743A" w:rsidRPr="00E309FA" w:rsidRDefault="00EC743A" w:rsidP="00EC743A">
      <w:pPr>
        <w:pStyle w:val="Sarakstarindkopa"/>
        <w:numPr>
          <w:ilvl w:val="0"/>
          <w:numId w:val="1"/>
        </w:numPr>
        <w:spacing w:after="0"/>
        <w:jc w:val="both"/>
        <w:rPr>
          <w:rFonts w:ascii="Times New Roman" w:hAnsi="Times New Roman" w:cs="Times New Roman"/>
          <w:sz w:val="28"/>
          <w:szCs w:val="28"/>
          <w:lang w:val="lv-LV"/>
        </w:rPr>
      </w:pPr>
      <w:r>
        <w:rPr>
          <w:rFonts w:ascii="Times New Roman" w:hAnsi="Times New Roman" w:cs="Times New Roman"/>
          <w:sz w:val="28"/>
          <w:szCs w:val="28"/>
          <w:lang w:val="lv-LV"/>
        </w:rPr>
        <w:t>i</w:t>
      </w:r>
      <w:r w:rsidRPr="00E309FA">
        <w:rPr>
          <w:rFonts w:ascii="Times New Roman" w:hAnsi="Times New Roman" w:cs="Times New Roman"/>
          <w:sz w:val="28"/>
          <w:szCs w:val="28"/>
          <w:lang w:val="lv-LV"/>
        </w:rPr>
        <w:t xml:space="preserve">ntensīvās terapijas gultu skaits: </w:t>
      </w:r>
      <w:r w:rsidRPr="00A97787">
        <w:rPr>
          <w:rFonts w:ascii="Times New Roman" w:hAnsi="Times New Roman" w:cs="Times New Roman"/>
          <w:b/>
          <w:sz w:val="28"/>
          <w:szCs w:val="28"/>
          <w:lang w:val="lv-LV"/>
        </w:rPr>
        <w:t>213</w:t>
      </w:r>
    </w:p>
    <w:p w:rsidR="00EC743A" w:rsidRPr="00E309FA" w:rsidRDefault="00EC743A" w:rsidP="00EC743A">
      <w:pPr>
        <w:pStyle w:val="Sarakstarindkopa"/>
        <w:numPr>
          <w:ilvl w:val="0"/>
          <w:numId w:val="1"/>
        </w:numPr>
        <w:spacing w:after="0"/>
        <w:jc w:val="both"/>
        <w:rPr>
          <w:rFonts w:ascii="Times New Roman" w:hAnsi="Times New Roman" w:cs="Times New Roman"/>
          <w:sz w:val="28"/>
          <w:szCs w:val="28"/>
          <w:lang w:val="lv-LV"/>
        </w:rPr>
      </w:pPr>
      <w:r>
        <w:rPr>
          <w:rFonts w:ascii="Times New Roman" w:hAnsi="Times New Roman" w:cs="Times New Roman"/>
          <w:sz w:val="28"/>
          <w:szCs w:val="28"/>
          <w:lang w:val="lv-LV"/>
        </w:rPr>
        <w:lastRenderedPageBreak/>
        <w:t>i</w:t>
      </w:r>
      <w:r w:rsidRPr="00E309FA">
        <w:rPr>
          <w:rFonts w:ascii="Times New Roman" w:hAnsi="Times New Roman" w:cs="Times New Roman"/>
          <w:sz w:val="28"/>
          <w:szCs w:val="28"/>
          <w:lang w:val="lv-LV"/>
        </w:rPr>
        <w:t xml:space="preserve">nfekciju profila gultas: </w:t>
      </w:r>
      <w:r w:rsidRPr="00A97787">
        <w:rPr>
          <w:rFonts w:ascii="Times New Roman" w:hAnsi="Times New Roman" w:cs="Times New Roman"/>
          <w:b/>
          <w:sz w:val="28"/>
          <w:szCs w:val="28"/>
          <w:lang w:val="lv-LV"/>
        </w:rPr>
        <w:t>770</w:t>
      </w:r>
      <w:r w:rsidRPr="00E309FA">
        <w:rPr>
          <w:rFonts w:ascii="Times New Roman" w:hAnsi="Times New Roman" w:cs="Times New Roman"/>
          <w:sz w:val="28"/>
          <w:szCs w:val="28"/>
          <w:lang w:val="lv-LV"/>
        </w:rPr>
        <w:t xml:space="preserve"> un </w:t>
      </w:r>
      <w:r w:rsidRPr="00A97787">
        <w:rPr>
          <w:rFonts w:ascii="Times New Roman" w:hAnsi="Times New Roman" w:cs="Times New Roman"/>
          <w:b/>
          <w:sz w:val="28"/>
          <w:szCs w:val="28"/>
          <w:lang w:val="lv-LV"/>
        </w:rPr>
        <w:t>200</w:t>
      </w:r>
      <w:r w:rsidRPr="00E309FA">
        <w:rPr>
          <w:rFonts w:ascii="Times New Roman" w:hAnsi="Times New Roman" w:cs="Times New Roman"/>
          <w:sz w:val="28"/>
          <w:szCs w:val="28"/>
          <w:lang w:val="lv-LV"/>
        </w:rPr>
        <w:t xml:space="preserve"> izolācijas gultas boksos </w:t>
      </w:r>
    </w:p>
    <w:p w:rsidR="00EC743A" w:rsidRPr="00E309FA" w:rsidRDefault="00EC743A" w:rsidP="00EC743A">
      <w:pPr>
        <w:pStyle w:val="Sarakstarindkopa"/>
        <w:numPr>
          <w:ilvl w:val="0"/>
          <w:numId w:val="1"/>
        </w:numPr>
        <w:spacing w:after="0"/>
        <w:jc w:val="both"/>
        <w:rPr>
          <w:rFonts w:ascii="Times New Roman" w:hAnsi="Times New Roman" w:cs="Times New Roman"/>
          <w:sz w:val="28"/>
          <w:szCs w:val="28"/>
          <w:lang w:val="lv-LV"/>
        </w:rPr>
      </w:pPr>
      <w:r>
        <w:rPr>
          <w:rFonts w:ascii="Times New Roman" w:hAnsi="Times New Roman" w:cs="Times New Roman"/>
          <w:sz w:val="28"/>
          <w:szCs w:val="28"/>
          <w:lang w:val="lv-LV"/>
        </w:rPr>
        <w:t>s</w:t>
      </w:r>
      <w:r w:rsidRPr="00E309FA">
        <w:rPr>
          <w:rFonts w:ascii="Times New Roman" w:hAnsi="Times New Roman" w:cs="Times New Roman"/>
          <w:sz w:val="28"/>
          <w:szCs w:val="28"/>
          <w:lang w:val="lv-LV"/>
        </w:rPr>
        <w:t xml:space="preserve">tacionāro mākslīgo plaušu ventilācijas (turpmāk - MPV) ierīču skaits: </w:t>
      </w:r>
      <w:r w:rsidRPr="00A97787">
        <w:rPr>
          <w:rFonts w:ascii="Times New Roman" w:hAnsi="Times New Roman" w:cs="Times New Roman"/>
          <w:b/>
          <w:sz w:val="28"/>
          <w:szCs w:val="28"/>
          <w:lang w:val="lv-LV"/>
        </w:rPr>
        <w:t>252</w:t>
      </w:r>
    </w:p>
    <w:p w:rsidR="00EC743A" w:rsidRPr="00E309FA" w:rsidRDefault="00EC743A" w:rsidP="00EC743A">
      <w:pPr>
        <w:pStyle w:val="Sarakstarindkopa"/>
        <w:numPr>
          <w:ilvl w:val="0"/>
          <w:numId w:val="1"/>
        </w:numPr>
        <w:spacing w:after="0"/>
        <w:jc w:val="both"/>
        <w:rPr>
          <w:rFonts w:ascii="Times New Roman" w:hAnsi="Times New Roman" w:cs="Times New Roman"/>
          <w:sz w:val="28"/>
          <w:szCs w:val="28"/>
          <w:lang w:val="lv-LV"/>
        </w:rPr>
      </w:pPr>
      <w:r>
        <w:rPr>
          <w:rFonts w:ascii="Times New Roman" w:hAnsi="Times New Roman" w:cs="Times New Roman"/>
          <w:sz w:val="28"/>
          <w:szCs w:val="28"/>
          <w:lang w:val="lv-LV"/>
        </w:rPr>
        <w:t>m</w:t>
      </w:r>
      <w:r w:rsidRPr="00E309FA">
        <w:rPr>
          <w:rFonts w:ascii="Times New Roman" w:hAnsi="Times New Roman" w:cs="Times New Roman"/>
          <w:sz w:val="28"/>
          <w:szCs w:val="28"/>
          <w:lang w:val="lv-LV"/>
        </w:rPr>
        <w:t xml:space="preserve">obilo MPV ierīču skaits: elpināšanas medicīniskās ierīces, izņemot ar roku darbināmās: </w:t>
      </w:r>
      <w:r w:rsidRPr="00A97787">
        <w:rPr>
          <w:rFonts w:ascii="Times New Roman" w:hAnsi="Times New Roman" w:cs="Times New Roman"/>
          <w:b/>
          <w:sz w:val="28"/>
          <w:szCs w:val="28"/>
          <w:lang w:val="lv-LV"/>
        </w:rPr>
        <w:t>76</w:t>
      </w:r>
    </w:p>
    <w:p w:rsidR="00EC743A" w:rsidRPr="00E309FA" w:rsidRDefault="00EC743A" w:rsidP="00EC743A">
      <w:pPr>
        <w:pStyle w:val="Sarakstarindkopa"/>
        <w:numPr>
          <w:ilvl w:val="0"/>
          <w:numId w:val="1"/>
        </w:numPr>
        <w:spacing w:after="0"/>
        <w:jc w:val="both"/>
        <w:rPr>
          <w:rFonts w:ascii="Times New Roman" w:hAnsi="Times New Roman" w:cs="Times New Roman"/>
          <w:sz w:val="28"/>
          <w:szCs w:val="28"/>
          <w:lang w:val="lv-LV"/>
        </w:rPr>
      </w:pPr>
      <w:r>
        <w:rPr>
          <w:rFonts w:ascii="Times New Roman" w:hAnsi="Times New Roman" w:cs="Times New Roman"/>
          <w:sz w:val="28"/>
          <w:szCs w:val="28"/>
          <w:lang w:val="lv-LV"/>
        </w:rPr>
        <w:t>i</w:t>
      </w:r>
      <w:r w:rsidRPr="00E309FA">
        <w:rPr>
          <w:rFonts w:ascii="Times New Roman" w:hAnsi="Times New Roman" w:cs="Times New Roman"/>
          <w:sz w:val="28"/>
          <w:szCs w:val="28"/>
          <w:lang w:val="lv-LV"/>
        </w:rPr>
        <w:t xml:space="preserve">nhalācijas narkozes MPV iekārtas: </w:t>
      </w:r>
      <w:r w:rsidRPr="00A97787">
        <w:rPr>
          <w:rFonts w:ascii="Times New Roman" w:hAnsi="Times New Roman" w:cs="Times New Roman"/>
          <w:b/>
          <w:sz w:val="28"/>
          <w:szCs w:val="28"/>
          <w:lang w:val="lv-LV"/>
        </w:rPr>
        <w:t>197</w:t>
      </w:r>
      <w:r w:rsidRPr="00E309FA">
        <w:rPr>
          <w:rFonts w:ascii="Times New Roman" w:hAnsi="Times New Roman" w:cs="Times New Roman"/>
          <w:sz w:val="28"/>
          <w:szCs w:val="28"/>
          <w:lang w:val="lv-LV"/>
        </w:rPr>
        <w:t xml:space="preserve"> </w:t>
      </w:r>
    </w:p>
    <w:p w:rsidR="00EC743A" w:rsidRDefault="00EC743A" w:rsidP="00EC743A">
      <w:pPr>
        <w:spacing w:after="0" w:line="240" w:lineRule="auto"/>
        <w:ind w:firstLine="720"/>
        <w:jc w:val="both"/>
        <w:rPr>
          <w:rFonts w:ascii="Times New Roman" w:hAnsi="Times New Roman" w:cs="Times New Roman"/>
          <w:sz w:val="28"/>
          <w:szCs w:val="28"/>
          <w:lang w:val="lv-LV"/>
        </w:rPr>
      </w:pPr>
      <w:r w:rsidRPr="00DF7C29">
        <w:rPr>
          <w:rFonts w:ascii="Times New Roman" w:hAnsi="Times New Roman" w:cs="Times New Roman"/>
          <w:sz w:val="28"/>
          <w:szCs w:val="28"/>
          <w:lang w:val="lv-LV"/>
        </w:rPr>
        <w:t>Papildus jau veiktajām izmaiņām ārstniecības iestād</w:t>
      </w:r>
      <w:r>
        <w:rPr>
          <w:rFonts w:ascii="Times New Roman" w:hAnsi="Times New Roman" w:cs="Times New Roman"/>
          <w:sz w:val="28"/>
          <w:szCs w:val="28"/>
          <w:lang w:val="lv-LV"/>
        </w:rPr>
        <w:t>ēs (</w:t>
      </w:r>
      <w:r w:rsidRPr="003A38C8">
        <w:rPr>
          <w:rFonts w:ascii="Times New Roman" w:hAnsi="Times New Roman" w:cs="Times New Roman"/>
          <w:sz w:val="28"/>
          <w:szCs w:val="28"/>
          <w:lang w:val="lv-LV"/>
        </w:rPr>
        <w:t xml:space="preserve">aptuveni 750 gultas </w:t>
      </w:r>
      <w:r>
        <w:rPr>
          <w:rFonts w:ascii="Times New Roman" w:hAnsi="Times New Roman" w:cs="Times New Roman"/>
          <w:sz w:val="28"/>
          <w:szCs w:val="28"/>
          <w:lang w:val="lv-LV"/>
        </w:rPr>
        <w:t>aprīlī</w:t>
      </w:r>
      <w:r w:rsidRPr="003A38C8">
        <w:rPr>
          <w:rFonts w:ascii="Times New Roman" w:hAnsi="Times New Roman" w:cs="Times New Roman"/>
          <w:sz w:val="28"/>
          <w:szCs w:val="28"/>
          <w:lang w:val="lv-LV"/>
        </w:rPr>
        <w:t xml:space="preserve"> jau ir tikušas pārprofilētas par infekciju, izolācijas, reanimācijas un intensīvās terapijas gultām</w:t>
      </w:r>
      <w:r>
        <w:rPr>
          <w:rFonts w:ascii="Times New Roman" w:hAnsi="Times New Roman" w:cs="Times New Roman"/>
          <w:sz w:val="28"/>
          <w:szCs w:val="28"/>
          <w:lang w:val="lv-LV"/>
        </w:rPr>
        <w:t>), slimnīcas</w:t>
      </w:r>
      <w:r w:rsidRPr="00DF7C29">
        <w:rPr>
          <w:rFonts w:ascii="Times New Roman" w:hAnsi="Times New Roman" w:cs="Times New Roman"/>
          <w:sz w:val="28"/>
          <w:szCs w:val="28"/>
          <w:lang w:val="lv-LV"/>
        </w:rPr>
        <w:t xml:space="preserve"> norādījušas, ka</w:t>
      </w:r>
      <w:r>
        <w:rPr>
          <w:rFonts w:ascii="Times New Roman" w:hAnsi="Times New Roman" w:cs="Times New Roman"/>
          <w:sz w:val="28"/>
          <w:szCs w:val="28"/>
          <w:lang w:val="lv-LV"/>
        </w:rPr>
        <w:t>,</w:t>
      </w:r>
      <w:r w:rsidRPr="00DF7C29">
        <w:rPr>
          <w:rFonts w:ascii="Times New Roman" w:hAnsi="Times New Roman" w:cs="Times New Roman"/>
          <w:sz w:val="28"/>
          <w:szCs w:val="28"/>
          <w:lang w:val="lv-LV"/>
        </w:rPr>
        <w:t xml:space="preserve"> </w:t>
      </w:r>
      <w:r>
        <w:rPr>
          <w:rFonts w:ascii="Times New Roman" w:hAnsi="Times New Roman" w:cs="Times New Roman"/>
          <w:sz w:val="28"/>
          <w:szCs w:val="28"/>
          <w:lang w:val="lv-LV"/>
        </w:rPr>
        <w:t xml:space="preserve">nepieciešamības gadījumā </w:t>
      </w:r>
      <w:r w:rsidRPr="00DF7C29">
        <w:rPr>
          <w:rFonts w:ascii="Times New Roman" w:hAnsi="Times New Roman" w:cs="Times New Roman"/>
          <w:sz w:val="28"/>
          <w:szCs w:val="28"/>
          <w:lang w:val="lv-LV"/>
        </w:rPr>
        <w:t xml:space="preserve">būtu iespējams pārprofilēt vēl aptuveni 550 gultas, tādējādi kopējas gultu skaits, ko būtu iespējams izmantot infekciozo pacientu aprūpei,  veidotu 1520. </w:t>
      </w:r>
    </w:p>
    <w:p w:rsidR="00EC743A" w:rsidRDefault="00EC743A" w:rsidP="00EC743A">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Taču, lai nodrošinātu, ka pārprofilētās gultas </w:t>
      </w:r>
      <w:r w:rsidRPr="00EC4E69">
        <w:rPr>
          <w:rFonts w:ascii="Times New Roman" w:hAnsi="Times New Roman" w:cs="Times New Roman"/>
          <w:sz w:val="28"/>
          <w:szCs w:val="28"/>
          <w:lang w:val="lv-LV"/>
        </w:rPr>
        <w:t xml:space="preserve">Covid-19 pandēmijas laikā </w:t>
      </w:r>
      <w:r>
        <w:rPr>
          <w:rFonts w:ascii="Times New Roman" w:hAnsi="Times New Roman" w:cs="Times New Roman"/>
          <w:sz w:val="28"/>
          <w:szCs w:val="28"/>
          <w:lang w:val="lv-LV"/>
        </w:rPr>
        <w:t>varētu tikt izmantotas COVID 19 pacientiem ar</w:t>
      </w:r>
      <w:r w:rsidRPr="00F22B10">
        <w:rPr>
          <w:rFonts w:ascii="Times New Roman" w:hAnsi="Times New Roman" w:cs="Times New Roman"/>
          <w:sz w:val="28"/>
          <w:szCs w:val="28"/>
          <w:lang w:val="lv-LV"/>
        </w:rPr>
        <w:t xml:space="preserve"> smag</w:t>
      </w:r>
      <w:r>
        <w:rPr>
          <w:rFonts w:ascii="Times New Roman" w:hAnsi="Times New Roman" w:cs="Times New Roman"/>
          <w:sz w:val="28"/>
          <w:szCs w:val="28"/>
          <w:lang w:val="lv-LV"/>
        </w:rPr>
        <w:t>u</w:t>
      </w:r>
      <w:r w:rsidRPr="00F22B10">
        <w:rPr>
          <w:rFonts w:ascii="Times New Roman" w:hAnsi="Times New Roman" w:cs="Times New Roman"/>
          <w:sz w:val="28"/>
          <w:szCs w:val="28"/>
          <w:lang w:val="lv-LV"/>
        </w:rPr>
        <w:t xml:space="preserve"> klīnisk</w:t>
      </w:r>
      <w:r>
        <w:rPr>
          <w:rFonts w:ascii="Times New Roman" w:hAnsi="Times New Roman" w:cs="Times New Roman"/>
          <w:sz w:val="28"/>
          <w:szCs w:val="28"/>
          <w:lang w:val="lv-LV"/>
        </w:rPr>
        <w:t>o</w:t>
      </w:r>
      <w:r w:rsidRPr="00F22B10">
        <w:rPr>
          <w:rFonts w:ascii="Times New Roman" w:hAnsi="Times New Roman" w:cs="Times New Roman"/>
          <w:sz w:val="28"/>
          <w:szCs w:val="28"/>
          <w:lang w:val="lv-LV"/>
        </w:rPr>
        <w:t xml:space="preserve"> noris</w:t>
      </w:r>
      <w:r>
        <w:rPr>
          <w:rFonts w:ascii="Times New Roman" w:hAnsi="Times New Roman" w:cs="Times New Roman"/>
          <w:sz w:val="28"/>
          <w:szCs w:val="28"/>
          <w:lang w:val="lv-LV"/>
        </w:rPr>
        <w:t>i</w:t>
      </w:r>
      <w:r w:rsidRPr="00F22B10">
        <w:rPr>
          <w:rFonts w:ascii="Times New Roman" w:hAnsi="Times New Roman" w:cs="Times New Roman"/>
          <w:sz w:val="28"/>
          <w:szCs w:val="28"/>
          <w:lang w:val="lv-LV"/>
        </w:rPr>
        <w:t>, nepieciešam</w:t>
      </w:r>
      <w:r>
        <w:rPr>
          <w:rFonts w:ascii="Times New Roman" w:hAnsi="Times New Roman" w:cs="Times New Roman"/>
          <w:sz w:val="28"/>
          <w:szCs w:val="28"/>
          <w:lang w:val="lv-LV"/>
        </w:rPr>
        <w:t xml:space="preserve">i arī turpmāki ieguldījumi ārstniecības iestāžu kapacitātes stiprināšanā (gultu fonda atjaunošana, MPV skaita palielināšana, infrastruktūras  pielāgošana infekcijas slimību pacientu aprūpei u.c.), tādējādi attālinot scenāriju, kurā </w:t>
      </w:r>
      <w:r w:rsidRPr="00EC4E69">
        <w:rPr>
          <w:rFonts w:ascii="Times New Roman" w:hAnsi="Times New Roman" w:cs="Times New Roman"/>
          <w:sz w:val="28"/>
          <w:szCs w:val="28"/>
          <w:lang w:val="lv-LV"/>
        </w:rPr>
        <w:t>medicīnas resursu pieprasījums</w:t>
      </w:r>
      <w:r>
        <w:rPr>
          <w:rFonts w:ascii="Times New Roman" w:hAnsi="Times New Roman" w:cs="Times New Roman"/>
          <w:sz w:val="28"/>
          <w:szCs w:val="28"/>
          <w:lang w:val="lv-LV"/>
        </w:rPr>
        <w:t xml:space="preserve"> COVID -19 pandēmijas laikā</w:t>
      </w:r>
      <w:r w:rsidRPr="00EC4E69">
        <w:rPr>
          <w:rFonts w:ascii="Times New Roman" w:hAnsi="Times New Roman" w:cs="Times New Roman"/>
          <w:sz w:val="28"/>
          <w:szCs w:val="28"/>
          <w:lang w:val="lv-LV"/>
        </w:rPr>
        <w:t xml:space="preserve"> pārsnie</w:t>
      </w:r>
      <w:r>
        <w:rPr>
          <w:rFonts w:ascii="Times New Roman" w:hAnsi="Times New Roman" w:cs="Times New Roman"/>
          <w:sz w:val="28"/>
          <w:szCs w:val="28"/>
          <w:lang w:val="lv-LV"/>
        </w:rPr>
        <w:t>dza veselības aprūpes</w:t>
      </w:r>
      <w:r w:rsidRPr="00EC4E69">
        <w:rPr>
          <w:rFonts w:ascii="Times New Roman" w:hAnsi="Times New Roman" w:cs="Times New Roman"/>
          <w:sz w:val="28"/>
          <w:szCs w:val="28"/>
          <w:lang w:val="lv-LV"/>
        </w:rPr>
        <w:t xml:space="preserve"> kapacitāti</w:t>
      </w:r>
      <w:r>
        <w:rPr>
          <w:rFonts w:ascii="Times New Roman" w:hAnsi="Times New Roman" w:cs="Times New Roman"/>
          <w:sz w:val="28"/>
          <w:szCs w:val="28"/>
          <w:lang w:val="lv-LV"/>
        </w:rPr>
        <w:t>.</w:t>
      </w:r>
    </w:p>
    <w:p w:rsidR="00EC743A" w:rsidRPr="00DD7FD2" w:rsidRDefault="00EC743A" w:rsidP="00EC743A">
      <w:pPr>
        <w:spacing w:after="0" w:line="240" w:lineRule="auto"/>
        <w:ind w:firstLine="720"/>
        <w:jc w:val="both"/>
        <w:rPr>
          <w:rFonts w:ascii="Times New Roman" w:hAnsi="Times New Roman" w:cs="Times New Roman"/>
          <w:sz w:val="28"/>
          <w:szCs w:val="28"/>
          <w:lang w:val="lv-LV" w:eastAsia="lv-LV"/>
        </w:rPr>
      </w:pPr>
      <w:r w:rsidRPr="00DD7FD2">
        <w:rPr>
          <w:rFonts w:ascii="Times New Roman" w:hAnsi="Times New Roman" w:cs="Times New Roman"/>
          <w:sz w:val="28"/>
          <w:szCs w:val="28"/>
          <w:lang w:val="lv-LV" w:eastAsia="lv-LV"/>
        </w:rPr>
        <w:t>Papildus Neatliekamās medicīniskās palīdzības slimnīcu</w:t>
      </w:r>
      <w:r>
        <w:rPr>
          <w:rFonts w:ascii="Times New Roman" w:hAnsi="Times New Roman" w:cs="Times New Roman"/>
          <w:sz w:val="28"/>
          <w:szCs w:val="28"/>
          <w:lang w:val="lv-LV" w:eastAsia="lv-LV"/>
        </w:rPr>
        <w:t xml:space="preserve"> gultu kapacitātei un </w:t>
      </w:r>
      <w:r w:rsidRPr="00DD7FD2">
        <w:rPr>
          <w:rFonts w:ascii="Times New Roman" w:hAnsi="Times New Roman" w:cs="Times New Roman"/>
          <w:sz w:val="28"/>
          <w:szCs w:val="28"/>
          <w:lang w:val="lv-LV" w:eastAsia="lv-LV"/>
        </w:rPr>
        <w:t>resursiem ir apzināt</w:t>
      </w:r>
      <w:r>
        <w:rPr>
          <w:rFonts w:ascii="Times New Roman" w:hAnsi="Times New Roman" w:cs="Times New Roman"/>
          <w:sz w:val="28"/>
          <w:szCs w:val="28"/>
          <w:lang w:val="lv-LV" w:eastAsia="lv-LV"/>
        </w:rPr>
        <w:t>as</w:t>
      </w:r>
      <w:r w:rsidRPr="00DD7FD2">
        <w:rPr>
          <w:rFonts w:ascii="Times New Roman" w:hAnsi="Times New Roman" w:cs="Times New Roman"/>
          <w:sz w:val="28"/>
          <w:szCs w:val="28"/>
          <w:lang w:val="lv-LV" w:eastAsia="lv-LV"/>
        </w:rPr>
        <w:t xml:space="preserve"> </w:t>
      </w:r>
      <w:r w:rsidRPr="00DF7C29">
        <w:rPr>
          <w:rFonts w:ascii="Times New Roman" w:hAnsi="Times New Roman" w:cs="Times New Roman"/>
          <w:sz w:val="28"/>
          <w:szCs w:val="28"/>
          <w:lang w:val="lv-LV"/>
        </w:rPr>
        <w:t xml:space="preserve">arī privāto stacionāro ārstniecības iestāžu un ambulatoro ārstniecības iestāžu </w:t>
      </w:r>
      <w:r>
        <w:rPr>
          <w:rFonts w:ascii="Times New Roman" w:hAnsi="Times New Roman" w:cs="Times New Roman"/>
          <w:sz w:val="28"/>
          <w:szCs w:val="28"/>
          <w:lang w:val="lv-LV"/>
        </w:rPr>
        <w:t xml:space="preserve">kapacitāte un </w:t>
      </w:r>
      <w:r w:rsidRPr="00DF7C29">
        <w:rPr>
          <w:rFonts w:ascii="Times New Roman" w:hAnsi="Times New Roman" w:cs="Times New Roman"/>
          <w:sz w:val="28"/>
          <w:szCs w:val="28"/>
          <w:lang w:val="lv-LV"/>
        </w:rPr>
        <w:t>resursi</w:t>
      </w:r>
      <w:r>
        <w:rPr>
          <w:rFonts w:ascii="Times New Roman" w:hAnsi="Times New Roman" w:cs="Times New Roman"/>
          <w:sz w:val="28"/>
          <w:szCs w:val="28"/>
          <w:lang w:val="lv-LV"/>
        </w:rPr>
        <w:t xml:space="preserve">. Informācija apkopota par </w:t>
      </w:r>
      <w:r w:rsidRPr="00DD7FD2">
        <w:rPr>
          <w:rFonts w:ascii="Times New Roman" w:hAnsi="Times New Roman" w:cs="Times New Roman"/>
          <w:b/>
          <w:bCs/>
          <w:sz w:val="28"/>
          <w:szCs w:val="28"/>
          <w:lang w:val="lv-LV" w:eastAsia="lv-LV"/>
        </w:rPr>
        <w:t>3</w:t>
      </w:r>
      <w:r w:rsidRPr="00DD7FD2">
        <w:rPr>
          <w:rFonts w:ascii="Times New Roman" w:hAnsi="Times New Roman" w:cs="Times New Roman"/>
          <w:sz w:val="28"/>
          <w:szCs w:val="28"/>
          <w:lang w:val="lv-LV" w:eastAsia="lv-LV"/>
        </w:rPr>
        <w:t xml:space="preserve"> pirmā līmeņa slimnīcām, </w:t>
      </w:r>
      <w:r>
        <w:rPr>
          <w:rFonts w:ascii="Times New Roman" w:hAnsi="Times New Roman" w:cs="Times New Roman"/>
          <w:sz w:val="28"/>
          <w:szCs w:val="28"/>
          <w:lang w:val="lv-LV" w:eastAsia="lv-LV"/>
        </w:rPr>
        <w:t xml:space="preserve">lielākajām </w:t>
      </w:r>
      <w:r w:rsidRPr="00DD7FD2">
        <w:rPr>
          <w:rFonts w:ascii="Times New Roman" w:hAnsi="Times New Roman" w:cs="Times New Roman"/>
          <w:sz w:val="28"/>
          <w:szCs w:val="28"/>
          <w:lang w:val="lv-LV" w:eastAsia="lv-LV"/>
        </w:rPr>
        <w:t xml:space="preserve"> privātām stacionārām ārstniecības iestādēm </w:t>
      </w:r>
      <w:r>
        <w:rPr>
          <w:rFonts w:ascii="Times New Roman" w:hAnsi="Times New Roman" w:cs="Times New Roman"/>
          <w:sz w:val="28"/>
          <w:szCs w:val="28"/>
          <w:lang w:val="lv-LV" w:eastAsia="lv-LV"/>
        </w:rPr>
        <w:t>(</w:t>
      </w:r>
      <w:r w:rsidRPr="00DD7FD2">
        <w:rPr>
          <w:rFonts w:ascii="Times New Roman" w:hAnsi="Times New Roman" w:cs="Times New Roman"/>
          <w:b/>
          <w:bCs/>
          <w:sz w:val="28"/>
          <w:szCs w:val="28"/>
          <w:lang w:val="lv-LV" w:eastAsia="lv-LV"/>
        </w:rPr>
        <w:t>7</w:t>
      </w:r>
      <w:r>
        <w:rPr>
          <w:rFonts w:ascii="Times New Roman" w:hAnsi="Times New Roman" w:cs="Times New Roman"/>
          <w:b/>
          <w:bCs/>
          <w:sz w:val="28"/>
          <w:szCs w:val="28"/>
          <w:lang w:val="lv-LV" w:eastAsia="lv-LV"/>
        </w:rPr>
        <w:t xml:space="preserve">) </w:t>
      </w:r>
      <w:r w:rsidRPr="00DD7FD2">
        <w:rPr>
          <w:rFonts w:ascii="Times New Roman" w:hAnsi="Times New Roman" w:cs="Times New Roman"/>
          <w:sz w:val="28"/>
          <w:szCs w:val="28"/>
          <w:lang w:val="lv-LV" w:eastAsia="lv-LV"/>
        </w:rPr>
        <w:t>un  privātām ambulatorām ārstniecības iestādēm</w:t>
      </w:r>
      <w:r>
        <w:rPr>
          <w:rFonts w:ascii="Times New Roman" w:hAnsi="Times New Roman" w:cs="Times New Roman"/>
          <w:sz w:val="28"/>
          <w:szCs w:val="28"/>
          <w:lang w:val="lv-LV" w:eastAsia="lv-LV"/>
        </w:rPr>
        <w:t xml:space="preserve"> (</w:t>
      </w:r>
      <w:r w:rsidRPr="00DD7FD2">
        <w:rPr>
          <w:rFonts w:ascii="Times New Roman" w:hAnsi="Times New Roman" w:cs="Times New Roman"/>
          <w:b/>
          <w:bCs/>
          <w:sz w:val="28"/>
          <w:szCs w:val="28"/>
          <w:lang w:val="lv-LV" w:eastAsia="lv-LV"/>
        </w:rPr>
        <w:t>23</w:t>
      </w:r>
      <w:r>
        <w:rPr>
          <w:rFonts w:ascii="Times New Roman" w:hAnsi="Times New Roman" w:cs="Times New Roman"/>
          <w:b/>
          <w:bCs/>
          <w:sz w:val="28"/>
          <w:szCs w:val="28"/>
          <w:lang w:val="lv-LV" w:eastAsia="lv-LV"/>
        </w:rPr>
        <w:t>)</w:t>
      </w:r>
      <w:r w:rsidRPr="00DD7FD2">
        <w:rPr>
          <w:rFonts w:ascii="Times New Roman" w:hAnsi="Times New Roman" w:cs="Times New Roman"/>
          <w:sz w:val="28"/>
          <w:szCs w:val="28"/>
          <w:lang w:val="lv-LV" w:eastAsia="lv-LV"/>
        </w:rPr>
        <w:t xml:space="preserve">. Kopumā šajās ārstniecības iestādēs ir papildus </w:t>
      </w:r>
      <w:r w:rsidRPr="00DD7FD2">
        <w:rPr>
          <w:rFonts w:ascii="Times New Roman" w:hAnsi="Times New Roman" w:cs="Times New Roman"/>
          <w:b/>
          <w:bCs/>
          <w:sz w:val="28"/>
          <w:szCs w:val="28"/>
          <w:lang w:val="lv-LV" w:eastAsia="lv-LV"/>
        </w:rPr>
        <w:t>864</w:t>
      </w:r>
      <w:r w:rsidRPr="00DD7FD2">
        <w:rPr>
          <w:rFonts w:ascii="Times New Roman" w:hAnsi="Times New Roman" w:cs="Times New Roman"/>
          <w:sz w:val="28"/>
          <w:szCs w:val="28"/>
          <w:lang w:val="lv-LV" w:eastAsia="lv-LV"/>
        </w:rPr>
        <w:t xml:space="preserve"> gultas (no tām </w:t>
      </w:r>
      <w:r w:rsidRPr="00DD7FD2">
        <w:rPr>
          <w:rFonts w:ascii="Times New Roman" w:hAnsi="Times New Roman" w:cs="Times New Roman"/>
          <w:b/>
          <w:bCs/>
          <w:sz w:val="28"/>
          <w:szCs w:val="28"/>
          <w:lang w:val="lv-LV" w:eastAsia="lv-LV"/>
        </w:rPr>
        <w:t xml:space="preserve">16 </w:t>
      </w:r>
      <w:r w:rsidRPr="00DD7FD2">
        <w:rPr>
          <w:rFonts w:ascii="Times New Roman" w:hAnsi="Times New Roman" w:cs="Times New Roman"/>
          <w:sz w:val="28"/>
          <w:szCs w:val="28"/>
          <w:lang w:val="lv-LV" w:eastAsia="lv-LV"/>
        </w:rPr>
        <w:t xml:space="preserve">intensīvās terapijas gultas un </w:t>
      </w:r>
      <w:r w:rsidRPr="00DD7FD2">
        <w:rPr>
          <w:rFonts w:ascii="Times New Roman" w:hAnsi="Times New Roman" w:cs="Times New Roman"/>
          <w:b/>
          <w:bCs/>
          <w:sz w:val="28"/>
          <w:szCs w:val="28"/>
          <w:lang w:val="lv-LV" w:eastAsia="lv-LV"/>
        </w:rPr>
        <w:t>1</w:t>
      </w:r>
      <w:r w:rsidRPr="00DD7FD2">
        <w:rPr>
          <w:rFonts w:ascii="Times New Roman" w:hAnsi="Times New Roman" w:cs="Times New Roman"/>
          <w:sz w:val="28"/>
          <w:szCs w:val="28"/>
          <w:lang w:val="lv-LV" w:eastAsia="lv-LV"/>
        </w:rPr>
        <w:t xml:space="preserve"> izolācijas bokss ar gultu). Vislielākais skaits no šo ārstniecības iestāžu gultām ir dienas stacionāru – aptuveni </w:t>
      </w:r>
      <w:r w:rsidRPr="00DD7FD2">
        <w:rPr>
          <w:rFonts w:ascii="Times New Roman" w:hAnsi="Times New Roman" w:cs="Times New Roman"/>
          <w:b/>
          <w:bCs/>
          <w:sz w:val="28"/>
          <w:szCs w:val="28"/>
          <w:lang w:val="lv-LV" w:eastAsia="lv-LV"/>
        </w:rPr>
        <w:t>330</w:t>
      </w:r>
      <w:r w:rsidRPr="00DD7FD2">
        <w:rPr>
          <w:rFonts w:ascii="Times New Roman" w:hAnsi="Times New Roman" w:cs="Times New Roman"/>
          <w:sz w:val="28"/>
          <w:szCs w:val="28"/>
          <w:lang w:val="lv-LV" w:eastAsia="lv-LV"/>
        </w:rPr>
        <w:t xml:space="preserve">, terapeitiskās – aptuveni </w:t>
      </w:r>
      <w:r w:rsidRPr="00DD7FD2">
        <w:rPr>
          <w:rFonts w:ascii="Times New Roman" w:hAnsi="Times New Roman" w:cs="Times New Roman"/>
          <w:b/>
          <w:bCs/>
          <w:sz w:val="28"/>
          <w:szCs w:val="28"/>
          <w:lang w:val="lv-LV" w:eastAsia="lv-LV"/>
        </w:rPr>
        <w:t>210</w:t>
      </w:r>
      <w:r w:rsidRPr="00DD7FD2">
        <w:rPr>
          <w:rFonts w:ascii="Times New Roman" w:hAnsi="Times New Roman" w:cs="Times New Roman"/>
          <w:sz w:val="28"/>
          <w:szCs w:val="28"/>
          <w:lang w:val="lv-LV" w:eastAsia="lv-LV"/>
        </w:rPr>
        <w:t xml:space="preserve"> un ķirurģiskās – aptuveni </w:t>
      </w:r>
      <w:r w:rsidRPr="00DD7FD2">
        <w:rPr>
          <w:rFonts w:ascii="Times New Roman" w:hAnsi="Times New Roman" w:cs="Times New Roman"/>
          <w:b/>
          <w:bCs/>
          <w:sz w:val="28"/>
          <w:szCs w:val="28"/>
          <w:lang w:val="lv-LV" w:eastAsia="lv-LV"/>
        </w:rPr>
        <w:t>155</w:t>
      </w:r>
      <w:r w:rsidRPr="00DD7FD2">
        <w:rPr>
          <w:rFonts w:ascii="Times New Roman" w:hAnsi="Times New Roman" w:cs="Times New Roman"/>
          <w:sz w:val="28"/>
          <w:szCs w:val="28"/>
          <w:lang w:val="lv-LV" w:eastAsia="lv-LV"/>
        </w:rPr>
        <w:t xml:space="preserve"> gultas.</w:t>
      </w:r>
      <w:r>
        <w:rPr>
          <w:rFonts w:ascii="Times New Roman" w:hAnsi="Times New Roman" w:cs="Times New Roman"/>
          <w:sz w:val="28"/>
          <w:szCs w:val="28"/>
          <w:lang w:val="lv-LV" w:eastAsia="lv-LV"/>
        </w:rPr>
        <w:t xml:space="preserve"> </w:t>
      </w:r>
    </w:p>
    <w:p w:rsidR="00EC743A" w:rsidRDefault="00EC743A" w:rsidP="00EC743A">
      <w:pPr>
        <w:spacing w:after="0"/>
        <w:ind w:firstLine="720"/>
        <w:jc w:val="both"/>
        <w:rPr>
          <w:rFonts w:ascii="Times New Roman" w:hAnsi="Times New Roman" w:cs="Times New Roman"/>
          <w:sz w:val="28"/>
          <w:szCs w:val="28"/>
          <w:lang w:val="lv-LV"/>
        </w:rPr>
      </w:pPr>
      <w:r w:rsidRPr="00DF7C29">
        <w:rPr>
          <w:rFonts w:ascii="Times New Roman" w:hAnsi="Times New Roman" w:cs="Times New Roman"/>
          <w:sz w:val="28"/>
          <w:szCs w:val="28"/>
          <w:lang w:val="lv-LV"/>
        </w:rPr>
        <w:t xml:space="preserve">Pirmā līmeņa slimnīcās un privātās ārstniecības iestādēs apzinātas 28 stacionārās MPV iekārtas; </w:t>
      </w:r>
      <w:r w:rsidRPr="00A97787">
        <w:rPr>
          <w:rFonts w:ascii="Times New Roman" w:hAnsi="Times New Roman" w:cs="Times New Roman"/>
          <w:b/>
          <w:sz w:val="28"/>
          <w:szCs w:val="28"/>
          <w:lang w:val="lv-LV"/>
        </w:rPr>
        <w:t>15</w:t>
      </w:r>
      <w:r w:rsidRPr="00DF7C29">
        <w:rPr>
          <w:rFonts w:ascii="Times New Roman" w:hAnsi="Times New Roman" w:cs="Times New Roman"/>
          <w:sz w:val="28"/>
          <w:szCs w:val="28"/>
          <w:lang w:val="lv-LV"/>
        </w:rPr>
        <w:t xml:space="preserve"> mobilās MPV iekārtas; </w:t>
      </w:r>
      <w:r w:rsidRPr="00A97787">
        <w:rPr>
          <w:rFonts w:ascii="Times New Roman" w:hAnsi="Times New Roman" w:cs="Times New Roman"/>
          <w:b/>
          <w:sz w:val="28"/>
          <w:szCs w:val="28"/>
          <w:lang w:val="lv-LV"/>
        </w:rPr>
        <w:t>43</w:t>
      </w:r>
      <w:r w:rsidRPr="00DF7C29">
        <w:rPr>
          <w:rFonts w:ascii="Times New Roman" w:hAnsi="Times New Roman" w:cs="Times New Roman"/>
          <w:sz w:val="28"/>
          <w:szCs w:val="28"/>
          <w:lang w:val="lv-LV"/>
        </w:rPr>
        <w:t xml:space="preserve"> inhalācijas narkozes MPV iekārtas.</w:t>
      </w:r>
      <w:r w:rsidRPr="00F00A94">
        <w:rPr>
          <w:rFonts w:ascii="Times New Roman" w:hAnsi="Times New Roman" w:cs="Times New Roman"/>
          <w:sz w:val="28"/>
          <w:szCs w:val="28"/>
          <w:lang w:val="lv-LV"/>
        </w:rPr>
        <w:t xml:space="preserve"> </w:t>
      </w:r>
    </w:p>
    <w:p w:rsidR="00EC743A" w:rsidRPr="00DF7C29" w:rsidRDefault="00EC743A" w:rsidP="00EC743A">
      <w:pPr>
        <w:spacing w:after="0"/>
        <w:ind w:firstLine="720"/>
        <w:jc w:val="both"/>
        <w:rPr>
          <w:rFonts w:ascii="Times New Roman" w:hAnsi="Times New Roman" w:cs="Times New Roman"/>
          <w:sz w:val="28"/>
          <w:szCs w:val="28"/>
          <w:lang w:val="lv-LV"/>
        </w:rPr>
      </w:pPr>
      <w:r w:rsidRPr="00DF7C29">
        <w:rPr>
          <w:rFonts w:ascii="Times New Roman" w:hAnsi="Times New Roman" w:cs="Times New Roman"/>
          <w:sz w:val="28"/>
          <w:szCs w:val="28"/>
          <w:lang w:val="lv-LV"/>
        </w:rPr>
        <w:t xml:space="preserve">Papildus nozares vajadzībām ir iegādātas </w:t>
      </w:r>
      <w:r w:rsidRPr="00A97787">
        <w:rPr>
          <w:rFonts w:ascii="Times New Roman" w:hAnsi="Times New Roman" w:cs="Times New Roman"/>
          <w:b/>
          <w:sz w:val="28"/>
          <w:szCs w:val="28"/>
          <w:lang w:val="lv-LV"/>
        </w:rPr>
        <w:t>11</w:t>
      </w:r>
      <w:r w:rsidRPr="00DF7C29">
        <w:rPr>
          <w:rFonts w:ascii="Times New Roman" w:hAnsi="Times New Roman" w:cs="Times New Roman"/>
          <w:sz w:val="28"/>
          <w:szCs w:val="28"/>
          <w:lang w:val="lv-LV"/>
        </w:rPr>
        <w:t xml:space="preserve"> mobilās MPV iekārtas, ko atbilstoši nepieciešamībai, būtu iespējams izsniegt ārstniecības iestādēm. </w:t>
      </w:r>
    </w:p>
    <w:p w:rsidR="00EC743A" w:rsidRDefault="00EC743A" w:rsidP="00EC743A">
      <w:pPr>
        <w:spacing w:after="0"/>
        <w:ind w:firstLine="720"/>
        <w:jc w:val="both"/>
        <w:rPr>
          <w:rFonts w:ascii="Times New Roman" w:hAnsi="Times New Roman" w:cs="Times New Roman"/>
          <w:sz w:val="28"/>
          <w:szCs w:val="28"/>
          <w:lang w:val="lv-LV"/>
        </w:rPr>
      </w:pPr>
      <w:r w:rsidRPr="00DF7C29">
        <w:rPr>
          <w:rFonts w:ascii="Times New Roman" w:hAnsi="Times New Roman" w:cs="Times New Roman"/>
          <w:sz w:val="28"/>
          <w:szCs w:val="28"/>
          <w:lang w:val="lv-LV"/>
        </w:rPr>
        <w:t xml:space="preserve">Mobilās MPV iekārtas ir pieejamas arī Neatliekamās medicīniskās palīdzības dienesta rīcībā (kopskaitā </w:t>
      </w:r>
      <w:r w:rsidRPr="00A97787">
        <w:rPr>
          <w:rFonts w:ascii="Times New Roman" w:hAnsi="Times New Roman" w:cs="Times New Roman"/>
          <w:b/>
          <w:sz w:val="28"/>
          <w:szCs w:val="28"/>
          <w:lang w:val="lv-LV"/>
        </w:rPr>
        <w:t>58</w:t>
      </w:r>
      <w:r w:rsidRPr="00DF7C29">
        <w:rPr>
          <w:rFonts w:ascii="Times New Roman" w:hAnsi="Times New Roman" w:cs="Times New Roman"/>
          <w:sz w:val="28"/>
          <w:szCs w:val="28"/>
          <w:lang w:val="lv-LV"/>
        </w:rPr>
        <w:t>).</w:t>
      </w:r>
    </w:p>
    <w:p w:rsidR="00EC743A" w:rsidRPr="00DD7FD2" w:rsidRDefault="00EC743A" w:rsidP="00EC743A">
      <w:pPr>
        <w:spacing w:after="0"/>
        <w:ind w:firstLine="720"/>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Jau šobrīd informācija par Neatliekamās medicīniskās palīdzības slimnīcu gul</w:t>
      </w:r>
      <w:r>
        <w:rPr>
          <w:rFonts w:ascii="Times New Roman" w:hAnsi="Times New Roman" w:cs="Times New Roman"/>
          <w:sz w:val="28"/>
          <w:szCs w:val="28"/>
          <w:lang w:val="lv-LV"/>
        </w:rPr>
        <w:t>tu kapacitāti un noslodzi tiek mon</w:t>
      </w:r>
      <w:r w:rsidRPr="00DD7FD2">
        <w:rPr>
          <w:rFonts w:ascii="Times New Roman" w:hAnsi="Times New Roman" w:cs="Times New Roman"/>
          <w:sz w:val="28"/>
          <w:szCs w:val="28"/>
          <w:lang w:val="lv-LV"/>
        </w:rPr>
        <w:t xml:space="preserve">itorēta ikdienas režīmā. Taču datu apkopošana un analīze tiek veikta manuāli, izmantojot datu apstrādes programmu </w:t>
      </w:r>
      <w:r w:rsidRPr="00DD7FD2">
        <w:rPr>
          <w:rFonts w:ascii="Times New Roman" w:hAnsi="Times New Roman" w:cs="Times New Roman"/>
          <w:i/>
          <w:iCs/>
          <w:sz w:val="28"/>
          <w:szCs w:val="28"/>
          <w:lang w:val="lv-LV"/>
        </w:rPr>
        <w:t>Microsoft excel</w:t>
      </w:r>
      <w:r w:rsidRPr="00DD7FD2">
        <w:rPr>
          <w:rFonts w:ascii="Times New Roman" w:hAnsi="Times New Roman" w:cs="Times New Roman"/>
          <w:sz w:val="28"/>
          <w:szCs w:val="28"/>
          <w:lang w:val="lv-LV"/>
        </w:rPr>
        <w:t xml:space="preserve">.  </w:t>
      </w:r>
    </w:p>
    <w:p w:rsidR="00EC743A" w:rsidRPr="00DD7FD2" w:rsidRDefault="00EC743A" w:rsidP="00EC743A">
      <w:pPr>
        <w:spacing w:after="0"/>
        <w:ind w:firstLine="720"/>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Sadarbojoties P.Stradiņa Klīniskā Universitātes slimnīcai,  brīvprātīgam IT uzņēmumam, Neatliekamās medicīniskās palīdzības dienesta Katastrofu medicīnas centram un Nacionālajam veselības dienestam, ir izstrādāts centralizēts tiešsaistes risinājums operatīvo datu ieguvei no Neatliekamās medicīniskās palīdzības slimnīcām. Slimnīcas sistēmā varēs ievadīt aktuālo informāciju par tajās pieejamajiem resursiem, piemēram, dažāda profila gultas vietām un to noslodzi, ārstniecības personu noslodzi, individuālo aizsardzības līdzekļu rezervēm, stacionēto Covid-19 pacientu skaitu un citu operatīvo informāciju. Sistēma savukārt nodrošinās datu regulāru (ik dienu) aktualizēšanu un vizualizāciju pārskatāmā datu panelī, ar iespēju datus attēlot arī ģeogrāfiski Latvijas kartē, tādējādi nodrošinot iespēju informācijai par Neatliekamās medicīniskās palīdzības slimnīcu kapacitāti sekot līdzi valsts, reģionālā un individuālu iestāžu līmenī.</w:t>
      </w:r>
    </w:p>
    <w:p w:rsidR="00EC743A" w:rsidRPr="00E309FA" w:rsidRDefault="00EC743A" w:rsidP="00EC743A">
      <w:pPr>
        <w:spacing w:after="0"/>
        <w:ind w:firstLine="720"/>
        <w:jc w:val="both"/>
        <w:rPr>
          <w:rFonts w:ascii="Times New Roman" w:hAnsi="Times New Roman" w:cs="Times New Roman"/>
          <w:bCs/>
          <w:sz w:val="28"/>
          <w:szCs w:val="24"/>
          <w:u w:val="single"/>
          <w:lang w:val="lv-LV"/>
        </w:rPr>
      </w:pPr>
      <w:r w:rsidRPr="00E309FA">
        <w:rPr>
          <w:rFonts w:ascii="Times New Roman" w:eastAsia="Times New Roman" w:hAnsi="Times New Roman" w:cs="Times New Roman"/>
          <w:sz w:val="28"/>
          <w:szCs w:val="28"/>
          <w:lang w:val="lv-LV" w:eastAsia="en-GB"/>
        </w:rPr>
        <w:lastRenderedPageBreak/>
        <w:t>Aprīlī, analizējot kopējo dažāda profila NMP slimnīcu gultu noslodzi, vidēji dienā aizņemtas ir aptuveni 64% no NMP slimnīcās esošajām gultām. No aizņemtajām gultām, COVID 19 pacienti veido mazāk par 1% no kopējās gultu noslodzes. Vērtējot gultu noslodzi ar COVID 19 pacientiem laika posmā no 2020.gada 1.aprīļa līdz 26.aprīlim, vērojams, ka noslodzes dinamika ir stabila un būtiskas izmaiņas mēneša griezumā nav konstatētas.</w:t>
      </w:r>
    </w:p>
    <w:p w:rsidR="00EC743A" w:rsidRPr="00E309FA" w:rsidRDefault="00EC743A" w:rsidP="00EC743A">
      <w:pPr>
        <w:spacing w:after="0"/>
        <w:jc w:val="both"/>
        <w:rPr>
          <w:rFonts w:ascii="Times New Roman" w:hAnsi="Times New Roman" w:cs="Times New Roman"/>
          <w:bCs/>
          <w:sz w:val="28"/>
          <w:szCs w:val="24"/>
          <w:u w:val="single"/>
          <w:lang w:val="lv-LV"/>
        </w:rPr>
      </w:pPr>
    </w:p>
    <w:p w:rsidR="00EC743A" w:rsidRPr="00EC743A" w:rsidRDefault="00EC743A" w:rsidP="00EC743A">
      <w:pPr>
        <w:spacing w:after="0"/>
        <w:jc w:val="both"/>
        <w:rPr>
          <w:rFonts w:ascii="Times New Roman" w:hAnsi="Times New Roman" w:cs="Times New Roman"/>
          <w:b/>
          <w:bCs/>
          <w:i/>
          <w:color w:val="FF0000"/>
          <w:sz w:val="28"/>
          <w:szCs w:val="28"/>
          <w:lang w:val="lv-LV"/>
        </w:rPr>
      </w:pPr>
      <w:r w:rsidRPr="00EC743A">
        <w:rPr>
          <w:rFonts w:ascii="Times New Roman" w:hAnsi="Times New Roman" w:cs="Times New Roman"/>
          <w:b/>
          <w:bCs/>
          <w:sz w:val="28"/>
          <w:szCs w:val="24"/>
          <w:lang w:val="lv-LV"/>
        </w:rPr>
        <w:t>Grafiks Nr.4</w:t>
      </w:r>
      <w:r w:rsidRPr="00EC743A">
        <w:rPr>
          <w:rFonts w:ascii="Times New Roman" w:hAnsi="Times New Roman" w:cs="Times New Roman"/>
          <w:bCs/>
          <w:sz w:val="28"/>
          <w:szCs w:val="24"/>
          <w:lang w:val="lv-LV"/>
        </w:rPr>
        <w:t xml:space="preserve"> Neatliekamās medicīniskās palīdzības slimnīcu </w:t>
      </w:r>
      <w:r w:rsidRPr="00EC743A">
        <w:rPr>
          <w:rFonts w:ascii="Times New Roman" w:hAnsi="Times New Roman" w:cs="Times New Roman"/>
          <w:sz w:val="28"/>
          <w:szCs w:val="24"/>
          <w:lang w:val="lv-LV"/>
        </w:rPr>
        <w:t xml:space="preserve">kopējā gultu noslodze </w:t>
      </w:r>
    </w:p>
    <w:p w:rsidR="00EC743A" w:rsidRPr="00DD7FD2" w:rsidRDefault="00EC743A" w:rsidP="00EC743A">
      <w:pPr>
        <w:spacing w:after="0"/>
        <w:jc w:val="both"/>
        <w:rPr>
          <w:rFonts w:ascii="Times New Roman" w:hAnsi="Times New Roman" w:cs="Times New Roman"/>
          <w:b/>
          <w:bCs/>
          <w:i/>
          <w:color w:val="FF0000"/>
          <w:sz w:val="28"/>
          <w:szCs w:val="28"/>
          <w:lang w:val="lv-LV"/>
        </w:rPr>
      </w:pPr>
      <w:r>
        <w:rPr>
          <w:rFonts w:ascii="Times New Roman" w:hAnsi="Times New Roman" w:cs="Times New Roman"/>
          <w:noProof/>
          <w:sz w:val="28"/>
          <w:szCs w:val="28"/>
          <w:lang w:eastAsia="en-GB"/>
        </w:rPr>
        <w:drawing>
          <wp:inline distT="0" distB="0" distL="0" distR="0" wp14:anchorId="12EF9CE1" wp14:editId="0D6220BC">
            <wp:extent cx="6301105" cy="3038787"/>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1105" cy="3038787"/>
                    </a:xfrm>
                    <a:prstGeom prst="rect">
                      <a:avLst/>
                    </a:prstGeom>
                    <a:noFill/>
                  </pic:spPr>
                </pic:pic>
              </a:graphicData>
            </a:graphic>
          </wp:inline>
        </w:drawing>
      </w:r>
    </w:p>
    <w:p w:rsidR="00EC743A" w:rsidRPr="00DD7FD2" w:rsidRDefault="00EC743A" w:rsidP="00EC743A">
      <w:pPr>
        <w:spacing w:after="0"/>
        <w:jc w:val="both"/>
        <w:rPr>
          <w:rFonts w:ascii="Times New Roman" w:hAnsi="Times New Roman" w:cs="Times New Roman"/>
          <w:sz w:val="28"/>
          <w:szCs w:val="28"/>
          <w:lang w:val="lv-LV"/>
        </w:rPr>
      </w:pPr>
    </w:p>
    <w:p w:rsidR="00EC743A" w:rsidRPr="00DD7FD2" w:rsidRDefault="00EC743A" w:rsidP="00EC743A">
      <w:pPr>
        <w:spacing w:after="0"/>
        <w:jc w:val="both"/>
        <w:rPr>
          <w:rFonts w:ascii="Times New Roman" w:hAnsi="Times New Roman" w:cs="Times New Roman"/>
          <w:bCs/>
          <w:sz w:val="28"/>
          <w:szCs w:val="24"/>
          <w:u w:val="single"/>
          <w:lang w:val="lv-LV"/>
        </w:rPr>
      </w:pPr>
    </w:p>
    <w:p w:rsidR="00EC743A" w:rsidRPr="00EC743A" w:rsidRDefault="00EC743A" w:rsidP="00EC743A">
      <w:pPr>
        <w:spacing w:after="0"/>
        <w:jc w:val="both"/>
        <w:rPr>
          <w:rFonts w:ascii="Times New Roman" w:hAnsi="Times New Roman" w:cs="Times New Roman"/>
          <w:i/>
          <w:color w:val="FF0000"/>
          <w:sz w:val="28"/>
          <w:szCs w:val="28"/>
          <w:lang w:val="lv-LV"/>
        </w:rPr>
      </w:pPr>
      <w:r w:rsidRPr="00EC743A">
        <w:rPr>
          <w:rFonts w:ascii="Times New Roman" w:hAnsi="Times New Roman" w:cs="Times New Roman"/>
          <w:b/>
          <w:bCs/>
          <w:sz w:val="28"/>
          <w:szCs w:val="24"/>
          <w:lang w:val="lv-LV"/>
        </w:rPr>
        <w:t>Grafiks Nr.5</w:t>
      </w:r>
      <w:r w:rsidRPr="00EC743A">
        <w:rPr>
          <w:rFonts w:ascii="Times New Roman" w:hAnsi="Times New Roman" w:cs="Times New Roman"/>
          <w:bCs/>
          <w:sz w:val="28"/>
          <w:szCs w:val="24"/>
          <w:lang w:val="lv-LV"/>
        </w:rPr>
        <w:t xml:space="preserve"> Neatliekamās medicīniskās palīdzības slimnīcu </w:t>
      </w:r>
      <w:r w:rsidRPr="00EC743A">
        <w:rPr>
          <w:rFonts w:ascii="Times New Roman" w:hAnsi="Times New Roman" w:cs="Times New Roman"/>
          <w:sz w:val="28"/>
          <w:szCs w:val="24"/>
          <w:lang w:val="lv-LV"/>
        </w:rPr>
        <w:t>infekciju/izolācijas boksu gultu</w:t>
      </w:r>
      <w:r w:rsidRPr="00EC743A">
        <w:rPr>
          <w:rFonts w:ascii="Times New Roman" w:hAnsi="Times New Roman" w:cs="Times New Roman"/>
          <w:bCs/>
          <w:sz w:val="28"/>
          <w:szCs w:val="24"/>
          <w:lang w:val="lv-LV"/>
        </w:rPr>
        <w:t xml:space="preserve"> noslodze</w:t>
      </w:r>
    </w:p>
    <w:p w:rsidR="00EC743A" w:rsidRPr="00DD7FD2" w:rsidRDefault="00EC743A" w:rsidP="00EC743A">
      <w:pPr>
        <w:spacing w:after="0"/>
        <w:jc w:val="both"/>
        <w:rPr>
          <w:rFonts w:ascii="Times New Roman" w:hAnsi="Times New Roman" w:cs="Times New Roman"/>
          <w:sz w:val="28"/>
          <w:szCs w:val="28"/>
          <w:lang w:val="lv-LV"/>
        </w:rPr>
      </w:pPr>
      <w:r>
        <w:rPr>
          <w:rFonts w:ascii="Times New Roman" w:hAnsi="Times New Roman" w:cs="Times New Roman"/>
          <w:noProof/>
          <w:sz w:val="28"/>
          <w:szCs w:val="28"/>
          <w:lang w:eastAsia="en-GB"/>
        </w:rPr>
        <w:drawing>
          <wp:inline distT="0" distB="0" distL="0" distR="0" wp14:anchorId="088E7A3B" wp14:editId="5CF3EA2C">
            <wp:extent cx="6339840" cy="3375660"/>
            <wp:effectExtent l="0" t="0" r="381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3418" cy="3377565"/>
                    </a:xfrm>
                    <a:prstGeom prst="rect">
                      <a:avLst/>
                    </a:prstGeom>
                    <a:noFill/>
                  </pic:spPr>
                </pic:pic>
              </a:graphicData>
            </a:graphic>
          </wp:inline>
        </w:drawing>
      </w:r>
    </w:p>
    <w:p w:rsidR="00EC743A" w:rsidRPr="00DD7FD2" w:rsidRDefault="00EC743A" w:rsidP="00EC743A">
      <w:pPr>
        <w:spacing w:after="0"/>
        <w:jc w:val="both"/>
        <w:rPr>
          <w:rFonts w:ascii="Times New Roman" w:hAnsi="Times New Roman" w:cs="Times New Roman"/>
          <w:sz w:val="28"/>
          <w:szCs w:val="28"/>
          <w:lang w:val="lv-LV"/>
        </w:rPr>
      </w:pPr>
    </w:p>
    <w:p w:rsidR="00EC743A" w:rsidRPr="00EC743A" w:rsidRDefault="00EC743A" w:rsidP="00EC743A">
      <w:pPr>
        <w:spacing w:after="0"/>
        <w:jc w:val="both"/>
        <w:rPr>
          <w:rFonts w:ascii="Times New Roman" w:hAnsi="Times New Roman" w:cs="Times New Roman"/>
          <w:i/>
          <w:color w:val="FF0000"/>
          <w:sz w:val="28"/>
          <w:szCs w:val="28"/>
          <w:lang w:val="lv-LV"/>
        </w:rPr>
      </w:pPr>
      <w:r w:rsidRPr="00EC743A">
        <w:rPr>
          <w:rFonts w:ascii="Times New Roman" w:hAnsi="Times New Roman" w:cs="Times New Roman"/>
          <w:b/>
          <w:bCs/>
          <w:sz w:val="28"/>
          <w:szCs w:val="24"/>
          <w:lang w:val="lv-LV"/>
        </w:rPr>
        <w:lastRenderedPageBreak/>
        <w:t>Grafiks Nr.6</w:t>
      </w:r>
      <w:r w:rsidRPr="00EC743A">
        <w:rPr>
          <w:rFonts w:ascii="Times New Roman" w:hAnsi="Times New Roman" w:cs="Times New Roman"/>
          <w:bCs/>
          <w:sz w:val="28"/>
          <w:szCs w:val="24"/>
          <w:lang w:val="lv-LV"/>
        </w:rPr>
        <w:t xml:space="preserve"> Neatliekamās medicīniskās palīdzības slimnīcu </w:t>
      </w:r>
      <w:r w:rsidRPr="00EC743A">
        <w:rPr>
          <w:rFonts w:ascii="Times New Roman" w:hAnsi="Times New Roman" w:cs="Times New Roman"/>
          <w:sz w:val="28"/>
          <w:szCs w:val="24"/>
          <w:lang w:val="lv-LV"/>
        </w:rPr>
        <w:t>reanimācijas/intensīvās terapijas gultu noslodze</w:t>
      </w:r>
    </w:p>
    <w:p w:rsidR="00EC743A" w:rsidRPr="00DD7FD2" w:rsidRDefault="00EC743A" w:rsidP="00EC743A">
      <w:pPr>
        <w:spacing w:after="0"/>
        <w:jc w:val="both"/>
        <w:rPr>
          <w:rFonts w:ascii="Times New Roman" w:hAnsi="Times New Roman" w:cs="Times New Roman"/>
          <w:bCs/>
          <w:sz w:val="28"/>
          <w:szCs w:val="24"/>
          <w:u w:val="single"/>
          <w:lang w:val="lv-LV"/>
        </w:rPr>
      </w:pPr>
      <w:r>
        <w:rPr>
          <w:rFonts w:ascii="Times New Roman" w:hAnsi="Times New Roman" w:cs="Times New Roman"/>
          <w:noProof/>
          <w:sz w:val="28"/>
          <w:szCs w:val="28"/>
          <w:lang w:eastAsia="en-GB"/>
        </w:rPr>
        <w:drawing>
          <wp:inline distT="0" distB="0" distL="0" distR="0" wp14:anchorId="146B716E" wp14:editId="78EB3B76">
            <wp:extent cx="6301105" cy="318472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1105" cy="3184725"/>
                    </a:xfrm>
                    <a:prstGeom prst="rect">
                      <a:avLst/>
                    </a:prstGeom>
                    <a:noFill/>
                  </pic:spPr>
                </pic:pic>
              </a:graphicData>
            </a:graphic>
          </wp:inline>
        </w:drawing>
      </w:r>
    </w:p>
    <w:p w:rsidR="00EC743A" w:rsidRDefault="00EC743A" w:rsidP="00EC743A">
      <w:pPr>
        <w:spacing w:after="0"/>
        <w:jc w:val="both"/>
        <w:rPr>
          <w:rFonts w:ascii="Times New Roman" w:hAnsi="Times New Roman" w:cs="Times New Roman"/>
          <w:b/>
          <w:bCs/>
          <w:sz w:val="28"/>
          <w:szCs w:val="24"/>
          <w:u w:val="single"/>
          <w:lang w:val="lv-LV"/>
        </w:rPr>
      </w:pPr>
    </w:p>
    <w:p w:rsidR="00EC743A" w:rsidRPr="00EC743A" w:rsidRDefault="00EC743A" w:rsidP="00EC743A">
      <w:pPr>
        <w:spacing w:after="0"/>
        <w:jc w:val="both"/>
        <w:rPr>
          <w:rFonts w:ascii="Times New Roman" w:hAnsi="Times New Roman" w:cs="Times New Roman"/>
          <w:i/>
          <w:color w:val="FF0000"/>
          <w:sz w:val="28"/>
          <w:szCs w:val="28"/>
          <w:lang w:val="lv-LV"/>
        </w:rPr>
      </w:pPr>
      <w:r w:rsidRPr="00EC743A">
        <w:rPr>
          <w:rFonts w:ascii="Times New Roman" w:hAnsi="Times New Roman" w:cs="Times New Roman"/>
          <w:b/>
          <w:bCs/>
          <w:sz w:val="28"/>
          <w:szCs w:val="24"/>
          <w:lang w:val="lv-LV"/>
        </w:rPr>
        <w:t>Grafiks Nr.7</w:t>
      </w:r>
      <w:r w:rsidRPr="00EC743A">
        <w:rPr>
          <w:rFonts w:ascii="Times New Roman" w:hAnsi="Times New Roman" w:cs="Times New Roman"/>
          <w:bCs/>
          <w:sz w:val="28"/>
          <w:szCs w:val="24"/>
          <w:lang w:val="lv-LV"/>
        </w:rPr>
        <w:t xml:space="preserve"> Neatliekamās medicīniskās palīdzības slimnīcu </w:t>
      </w:r>
      <w:r w:rsidRPr="00EC743A">
        <w:rPr>
          <w:rFonts w:ascii="Times New Roman" w:hAnsi="Times New Roman" w:cs="Times New Roman"/>
          <w:sz w:val="28"/>
          <w:szCs w:val="24"/>
          <w:lang w:val="lv-LV"/>
        </w:rPr>
        <w:t>izolācijas boksu noslodze</w:t>
      </w:r>
    </w:p>
    <w:p w:rsidR="00EC743A" w:rsidRPr="00DD7FD2" w:rsidRDefault="00EC743A" w:rsidP="00EC743A">
      <w:pPr>
        <w:spacing w:after="0"/>
        <w:jc w:val="both"/>
        <w:rPr>
          <w:rFonts w:ascii="Times New Roman" w:hAnsi="Times New Roman" w:cs="Times New Roman"/>
          <w:sz w:val="28"/>
          <w:szCs w:val="28"/>
          <w:lang w:val="lv-LV"/>
        </w:rPr>
      </w:pPr>
      <w:r>
        <w:rPr>
          <w:rFonts w:ascii="Times New Roman" w:hAnsi="Times New Roman" w:cs="Times New Roman"/>
          <w:noProof/>
          <w:sz w:val="28"/>
          <w:szCs w:val="28"/>
          <w:lang w:eastAsia="en-GB"/>
        </w:rPr>
        <w:drawing>
          <wp:inline distT="0" distB="0" distL="0" distR="0" wp14:anchorId="7355080A" wp14:editId="2022504F">
            <wp:extent cx="6301740" cy="3182312"/>
            <wp:effectExtent l="0" t="0" r="381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2351" cy="3182620"/>
                    </a:xfrm>
                    <a:prstGeom prst="rect">
                      <a:avLst/>
                    </a:prstGeom>
                    <a:noFill/>
                  </pic:spPr>
                </pic:pic>
              </a:graphicData>
            </a:graphic>
          </wp:inline>
        </w:drawing>
      </w:r>
    </w:p>
    <w:p w:rsidR="00EC743A" w:rsidRDefault="00EC743A" w:rsidP="00EC743A">
      <w:pPr>
        <w:spacing w:after="0"/>
        <w:ind w:firstLine="720"/>
        <w:jc w:val="both"/>
        <w:rPr>
          <w:rFonts w:ascii="Times New Roman" w:hAnsi="Times New Roman" w:cs="Times New Roman"/>
          <w:sz w:val="28"/>
          <w:szCs w:val="28"/>
          <w:lang w:val="lv-LV"/>
        </w:rPr>
      </w:pPr>
    </w:p>
    <w:p w:rsidR="00EC743A" w:rsidRPr="00DD7FD2" w:rsidRDefault="00EC743A" w:rsidP="00EC743A">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In</w:t>
      </w:r>
      <w:r w:rsidRPr="00DD7FD2">
        <w:rPr>
          <w:rFonts w:ascii="Times New Roman" w:hAnsi="Times New Roman" w:cs="Times New Roman"/>
          <w:sz w:val="28"/>
          <w:szCs w:val="28"/>
          <w:lang w:val="lv-LV"/>
        </w:rPr>
        <w:t xml:space="preserve">formācija par Neatliekamās medicīniskās palīdzības slimnīcās pieejamajiem individuālas aizsardzības līdzekļiem (IAL) un to rezervēm katru dienu, tāpat kā informācija par Neatliekamās medicīniskās palīdzības slimnīcu gultu kapacitāti, tiek iesniegta Nacionālās veselības dienestā, kurš katru dienu aktualizē informāciju par  IAL pieejamību Neatliekamās medicīniskās palīdzības sniedzošajās slimnīcās un  Neatliekamās medicīniskās palīdzības dienests veic šo datu monitoringu un analīzi.   </w:t>
      </w:r>
    </w:p>
    <w:p w:rsidR="00EC743A" w:rsidRPr="00DD7FD2" w:rsidRDefault="00EC743A" w:rsidP="00EC743A">
      <w:pPr>
        <w:spacing w:after="0"/>
        <w:ind w:firstLine="720"/>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 xml:space="preserve">Analizējot datus par IAL pieejamību laika posmā no 2020.gada 1.aprīļa līdz 26.aprīlim secināms, ka respiratoru un ķirurģisko masku pieejamības dinamika ir raksturojama kā stabila, ar mērenu pieaugumu, atbilstoši pieprasījumam definētā laika </w:t>
      </w:r>
      <w:r w:rsidRPr="00DD7FD2">
        <w:rPr>
          <w:rFonts w:ascii="Times New Roman" w:hAnsi="Times New Roman" w:cs="Times New Roman"/>
          <w:sz w:val="28"/>
          <w:szCs w:val="28"/>
          <w:lang w:val="lv-LV"/>
        </w:rPr>
        <w:lastRenderedPageBreak/>
        <w:t xml:space="preserve">periodā, taču šobrīd negatīva dinamika ir vērojama ķermeņa aizsardzības līdzekļu kopskaitā.  </w:t>
      </w:r>
    </w:p>
    <w:p w:rsidR="00EC743A" w:rsidRPr="00DD7FD2" w:rsidRDefault="00EC743A" w:rsidP="00EC743A">
      <w:pPr>
        <w:spacing w:after="0"/>
        <w:ind w:firstLine="720"/>
        <w:jc w:val="both"/>
        <w:rPr>
          <w:rFonts w:ascii="Times New Roman" w:hAnsi="Times New Roman" w:cs="Times New Roman"/>
          <w:sz w:val="28"/>
          <w:szCs w:val="28"/>
          <w:lang w:val="lv-LV"/>
        </w:rPr>
      </w:pPr>
    </w:p>
    <w:p w:rsidR="00EC743A" w:rsidRPr="00EC743A" w:rsidRDefault="00EC743A" w:rsidP="00EC743A">
      <w:pPr>
        <w:spacing w:after="0"/>
        <w:jc w:val="both"/>
        <w:rPr>
          <w:rFonts w:ascii="Times New Roman" w:hAnsi="Times New Roman" w:cs="Times New Roman"/>
          <w:bCs/>
          <w:sz w:val="28"/>
          <w:szCs w:val="24"/>
          <w:lang w:val="lv-LV"/>
        </w:rPr>
      </w:pPr>
      <w:r w:rsidRPr="00EC743A">
        <w:rPr>
          <w:rFonts w:ascii="Times New Roman" w:hAnsi="Times New Roman" w:cs="Times New Roman"/>
          <w:b/>
          <w:bCs/>
          <w:sz w:val="28"/>
          <w:szCs w:val="24"/>
          <w:lang w:val="lv-LV"/>
        </w:rPr>
        <w:t>Grafiks Nr.8</w:t>
      </w:r>
      <w:r w:rsidRPr="00EC743A">
        <w:rPr>
          <w:rFonts w:ascii="Times New Roman" w:hAnsi="Times New Roman" w:cs="Times New Roman"/>
          <w:bCs/>
          <w:sz w:val="28"/>
          <w:szCs w:val="24"/>
          <w:lang w:val="lv-LV"/>
        </w:rPr>
        <w:t xml:space="preserve"> Respiratoru FFP2 un FFP3 kopskaits lielajās un reģionālajās slimnīcās</w:t>
      </w:r>
    </w:p>
    <w:p w:rsidR="00EC743A" w:rsidRPr="00DD7FD2" w:rsidRDefault="00EC743A" w:rsidP="00EC743A">
      <w:pPr>
        <w:spacing w:after="0"/>
        <w:jc w:val="both"/>
        <w:rPr>
          <w:rFonts w:ascii="Times New Roman" w:hAnsi="Times New Roman" w:cs="Times New Roman"/>
          <w:i/>
          <w:color w:val="FF0000"/>
          <w:sz w:val="28"/>
          <w:szCs w:val="28"/>
          <w:lang w:val="lv-LV"/>
        </w:rPr>
      </w:pPr>
      <w:r>
        <w:rPr>
          <w:noProof/>
          <w:lang w:eastAsia="en-GB"/>
        </w:rPr>
        <w:drawing>
          <wp:inline distT="0" distB="0" distL="0" distR="0" wp14:anchorId="5F6FB718" wp14:editId="5BD01019">
            <wp:extent cx="6301105" cy="2932647"/>
            <wp:effectExtent l="0" t="0" r="23495" b="20320"/>
            <wp:docPr id="23" name="Chart 2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CD141AB-0326-4ED0-9079-D2E1DA9B6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743A" w:rsidRDefault="00EC743A" w:rsidP="00EC743A">
      <w:pPr>
        <w:spacing w:after="0"/>
        <w:jc w:val="both"/>
        <w:rPr>
          <w:rFonts w:ascii="Times New Roman" w:hAnsi="Times New Roman" w:cs="Times New Roman"/>
          <w:b/>
          <w:bCs/>
          <w:sz w:val="28"/>
          <w:szCs w:val="24"/>
          <w:u w:val="single"/>
          <w:lang w:val="lv-LV"/>
        </w:rPr>
      </w:pPr>
    </w:p>
    <w:p w:rsidR="00EC743A" w:rsidRPr="00EC743A" w:rsidRDefault="00EC743A" w:rsidP="00EC743A">
      <w:pPr>
        <w:spacing w:after="0"/>
        <w:jc w:val="both"/>
        <w:rPr>
          <w:rFonts w:ascii="Times New Roman" w:hAnsi="Times New Roman" w:cs="Times New Roman"/>
          <w:bCs/>
          <w:sz w:val="28"/>
          <w:szCs w:val="24"/>
          <w:lang w:val="lv-LV"/>
        </w:rPr>
      </w:pPr>
      <w:r w:rsidRPr="00EC743A">
        <w:rPr>
          <w:rFonts w:ascii="Times New Roman" w:hAnsi="Times New Roman" w:cs="Times New Roman"/>
          <w:b/>
          <w:bCs/>
          <w:sz w:val="28"/>
          <w:szCs w:val="24"/>
          <w:lang w:val="lv-LV"/>
        </w:rPr>
        <w:t>Grafiks Nr.9</w:t>
      </w:r>
      <w:r w:rsidRPr="00EC743A">
        <w:rPr>
          <w:rFonts w:ascii="Times New Roman" w:hAnsi="Times New Roman" w:cs="Times New Roman"/>
          <w:bCs/>
          <w:sz w:val="28"/>
          <w:szCs w:val="24"/>
          <w:lang w:val="lv-LV"/>
        </w:rPr>
        <w:t xml:space="preserve"> Ķirurģisko masku kopskaits lielajās un reģionālajās slimnīcās</w:t>
      </w:r>
    </w:p>
    <w:p w:rsidR="00EC743A" w:rsidRDefault="00EC743A" w:rsidP="00EC743A">
      <w:pPr>
        <w:spacing w:after="0"/>
        <w:jc w:val="both"/>
        <w:rPr>
          <w:rFonts w:ascii="Times New Roman" w:hAnsi="Times New Roman" w:cs="Times New Roman"/>
          <w:bCs/>
          <w:sz w:val="28"/>
          <w:szCs w:val="24"/>
          <w:u w:val="single"/>
          <w:lang w:val="lv-LV"/>
        </w:rPr>
      </w:pPr>
      <w:r>
        <w:rPr>
          <w:noProof/>
          <w:lang w:eastAsia="en-GB"/>
        </w:rPr>
        <w:drawing>
          <wp:inline distT="0" distB="0" distL="0" distR="0" wp14:anchorId="58067D00" wp14:editId="0BF654C0">
            <wp:extent cx="6301105" cy="3118729"/>
            <wp:effectExtent l="0" t="0" r="23495" b="24765"/>
            <wp:docPr id="20" name="Chart 2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AC9498E-C54A-497C-B163-07D6AE0EF2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C743A" w:rsidRPr="00DD7FD2" w:rsidRDefault="00EC743A" w:rsidP="00EC743A">
      <w:pPr>
        <w:spacing w:after="0"/>
        <w:jc w:val="both"/>
        <w:rPr>
          <w:rFonts w:ascii="Times New Roman" w:hAnsi="Times New Roman" w:cs="Times New Roman"/>
          <w:i/>
          <w:color w:val="FF0000"/>
          <w:sz w:val="28"/>
          <w:szCs w:val="28"/>
          <w:lang w:val="lv-LV"/>
        </w:rPr>
      </w:pPr>
    </w:p>
    <w:p w:rsidR="00EC743A" w:rsidRDefault="00EC743A" w:rsidP="00EC743A">
      <w:pPr>
        <w:spacing w:after="0"/>
        <w:jc w:val="both"/>
        <w:rPr>
          <w:rFonts w:ascii="Times New Roman" w:hAnsi="Times New Roman" w:cs="Times New Roman"/>
          <w:b/>
          <w:bCs/>
          <w:sz w:val="28"/>
          <w:szCs w:val="24"/>
          <w:u w:val="single"/>
          <w:lang w:val="lv-LV"/>
        </w:rPr>
      </w:pPr>
    </w:p>
    <w:p w:rsidR="00EC743A" w:rsidRDefault="00EC743A" w:rsidP="00EC743A">
      <w:pPr>
        <w:spacing w:after="0"/>
        <w:jc w:val="both"/>
        <w:rPr>
          <w:rFonts w:ascii="Times New Roman" w:hAnsi="Times New Roman" w:cs="Times New Roman"/>
          <w:b/>
          <w:bCs/>
          <w:sz w:val="28"/>
          <w:szCs w:val="24"/>
          <w:u w:val="single"/>
          <w:lang w:val="lv-LV"/>
        </w:rPr>
      </w:pPr>
    </w:p>
    <w:p w:rsidR="00EC743A" w:rsidRDefault="00EC743A" w:rsidP="00EC743A">
      <w:pPr>
        <w:spacing w:after="0"/>
        <w:jc w:val="both"/>
        <w:rPr>
          <w:rFonts w:ascii="Times New Roman" w:hAnsi="Times New Roman" w:cs="Times New Roman"/>
          <w:b/>
          <w:bCs/>
          <w:sz w:val="28"/>
          <w:szCs w:val="24"/>
          <w:u w:val="single"/>
          <w:lang w:val="lv-LV"/>
        </w:rPr>
      </w:pPr>
    </w:p>
    <w:p w:rsidR="00EC743A" w:rsidRDefault="00EC743A" w:rsidP="00EC743A">
      <w:pPr>
        <w:spacing w:after="0"/>
        <w:jc w:val="both"/>
        <w:rPr>
          <w:rFonts w:ascii="Times New Roman" w:hAnsi="Times New Roman" w:cs="Times New Roman"/>
          <w:b/>
          <w:bCs/>
          <w:sz w:val="28"/>
          <w:szCs w:val="24"/>
          <w:u w:val="single"/>
          <w:lang w:val="lv-LV"/>
        </w:rPr>
      </w:pPr>
    </w:p>
    <w:p w:rsidR="00EC743A" w:rsidRDefault="00EC743A" w:rsidP="00EC743A">
      <w:pPr>
        <w:spacing w:after="0"/>
        <w:jc w:val="both"/>
        <w:rPr>
          <w:rFonts w:ascii="Times New Roman" w:hAnsi="Times New Roman" w:cs="Times New Roman"/>
          <w:b/>
          <w:bCs/>
          <w:sz w:val="28"/>
          <w:szCs w:val="24"/>
          <w:u w:val="single"/>
          <w:lang w:val="lv-LV"/>
        </w:rPr>
      </w:pPr>
    </w:p>
    <w:p w:rsidR="00EC743A" w:rsidRDefault="00EC743A" w:rsidP="00EC743A">
      <w:pPr>
        <w:spacing w:after="0"/>
        <w:jc w:val="both"/>
        <w:rPr>
          <w:rFonts w:ascii="Times New Roman" w:hAnsi="Times New Roman" w:cs="Times New Roman"/>
          <w:b/>
          <w:bCs/>
          <w:sz w:val="28"/>
          <w:szCs w:val="24"/>
          <w:u w:val="single"/>
          <w:lang w:val="lv-LV"/>
        </w:rPr>
      </w:pPr>
    </w:p>
    <w:p w:rsidR="00EC743A" w:rsidRDefault="00EC743A" w:rsidP="00EC743A">
      <w:pPr>
        <w:spacing w:after="0"/>
        <w:jc w:val="both"/>
        <w:rPr>
          <w:rFonts w:ascii="Times New Roman" w:hAnsi="Times New Roman" w:cs="Times New Roman"/>
          <w:b/>
          <w:bCs/>
          <w:sz w:val="28"/>
          <w:szCs w:val="24"/>
          <w:u w:val="single"/>
          <w:lang w:val="lv-LV"/>
        </w:rPr>
      </w:pPr>
    </w:p>
    <w:p w:rsidR="00EC743A" w:rsidRDefault="00EC743A" w:rsidP="00EC743A">
      <w:pPr>
        <w:spacing w:after="0"/>
        <w:jc w:val="both"/>
        <w:rPr>
          <w:rFonts w:ascii="Times New Roman" w:hAnsi="Times New Roman" w:cs="Times New Roman"/>
          <w:b/>
          <w:bCs/>
          <w:sz w:val="28"/>
          <w:szCs w:val="24"/>
          <w:u w:val="single"/>
          <w:lang w:val="lv-LV"/>
        </w:rPr>
      </w:pPr>
    </w:p>
    <w:p w:rsidR="00EC743A" w:rsidRPr="00EC743A" w:rsidRDefault="00EC743A" w:rsidP="00EC743A">
      <w:pPr>
        <w:spacing w:after="0"/>
        <w:jc w:val="both"/>
        <w:rPr>
          <w:rFonts w:ascii="Times New Roman" w:hAnsi="Times New Roman" w:cs="Times New Roman"/>
          <w:i/>
          <w:color w:val="FF0000"/>
          <w:sz w:val="28"/>
          <w:szCs w:val="28"/>
          <w:lang w:val="lv-LV"/>
        </w:rPr>
      </w:pPr>
      <w:r w:rsidRPr="00EC743A">
        <w:rPr>
          <w:rFonts w:ascii="Times New Roman" w:hAnsi="Times New Roman" w:cs="Times New Roman"/>
          <w:b/>
          <w:bCs/>
          <w:sz w:val="28"/>
          <w:szCs w:val="24"/>
          <w:lang w:val="lv-LV"/>
        </w:rPr>
        <w:lastRenderedPageBreak/>
        <w:t>Grafiks Nr.10</w:t>
      </w:r>
      <w:r w:rsidRPr="00EC743A">
        <w:rPr>
          <w:rFonts w:ascii="Times New Roman" w:hAnsi="Times New Roman" w:cs="Times New Roman"/>
          <w:bCs/>
          <w:sz w:val="28"/>
          <w:szCs w:val="24"/>
          <w:lang w:val="lv-LV"/>
        </w:rPr>
        <w:t xml:space="preserve"> Ķermeņa aizsarglīdzekļu kopskaits lielajās un reģionālajās slimnīcās </w:t>
      </w:r>
    </w:p>
    <w:p w:rsidR="00EC743A" w:rsidRPr="00DD7FD2" w:rsidRDefault="00EC743A" w:rsidP="00EC743A">
      <w:pPr>
        <w:spacing w:after="0"/>
        <w:jc w:val="both"/>
        <w:rPr>
          <w:rFonts w:ascii="Times New Roman" w:hAnsi="Times New Roman" w:cs="Times New Roman"/>
          <w:sz w:val="28"/>
          <w:szCs w:val="28"/>
          <w:lang w:val="lv-LV"/>
        </w:rPr>
      </w:pPr>
      <w:r>
        <w:rPr>
          <w:noProof/>
          <w:lang w:eastAsia="en-GB"/>
        </w:rPr>
        <w:drawing>
          <wp:inline distT="0" distB="0" distL="0" distR="0" wp14:anchorId="041E04DF" wp14:editId="0EAD9E8E">
            <wp:extent cx="6301105" cy="3424312"/>
            <wp:effectExtent l="0" t="0" r="23495" b="24130"/>
            <wp:docPr id="24" name="Chart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C8E2D22D-0AC2-42E6-A55F-04129F057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C743A" w:rsidRPr="00DD7FD2" w:rsidRDefault="00EC743A" w:rsidP="00EC743A">
      <w:pPr>
        <w:spacing w:after="0"/>
        <w:ind w:firstLine="720"/>
        <w:jc w:val="both"/>
        <w:rPr>
          <w:rFonts w:ascii="Times New Roman" w:hAnsi="Times New Roman" w:cs="Times New Roman"/>
          <w:sz w:val="28"/>
          <w:szCs w:val="28"/>
          <w:lang w:val="lv-LV"/>
        </w:rPr>
      </w:pPr>
    </w:p>
    <w:p w:rsidR="00EC743A" w:rsidRPr="00DD7FD2" w:rsidRDefault="00EC743A" w:rsidP="00EC743A">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Būtiski atzīmēt, ka, ņemot vērā iepriekšējā ziņojumā aprakstītos iespējamos </w:t>
      </w:r>
      <w:r w:rsidRPr="00DD7FD2">
        <w:rPr>
          <w:rFonts w:ascii="Times New Roman" w:hAnsi="Times New Roman" w:cs="Times New Roman"/>
          <w:sz w:val="28"/>
          <w:szCs w:val="28"/>
          <w:lang w:val="lv-LV"/>
        </w:rPr>
        <w:t xml:space="preserve">Covid-19 </w:t>
      </w:r>
      <w:r>
        <w:rPr>
          <w:rFonts w:ascii="Times New Roman" w:hAnsi="Times New Roman" w:cs="Times New Roman"/>
          <w:sz w:val="28"/>
          <w:szCs w:val="28"/>
          <w:lang w:val="lv-LV"/>
        </w:rPr>
        <w:t>attīstības scenārijus</w:t>
      </w:r>
      <w:r w:rsidRPr="00DD7FD2">
        <w:rPr>
          <w:rFonts w:ascii="Times New Roman" w:hAnsi="Times New Roman" w:cs="Times New Roman"/>
          <w:sz w:val="28"/>
          <w:szCs w:val="28"/>
          <w:lang w:val="lv-LV"/>
        </w:rPr>
        <w:t xml:space="preserve">, ārstniecības personām ir jābūt nodrošinātām ar visiem </w:t>
      </w:r>
      <w:r>
        <w:rPr>
          <w:rFonts w:ascii="Times New Roman" w:hAnsi="Times New Roman" w:cs="Times New Roman"/>
          <w:sz w:val="28"/>
          <w:szCs w:val="28"/>
          <w:lang w:val="lv-LV"/>
        </w:rPr>
        <w:t xml:space="preserve">nepieciešamajiem </w:t>
      </w:r>
      <w:r w:rsidRPr="00DD7FD2">
        <w:rPr>
          <w:rFonts w:ascii="Times New Roman" w:hAnsi="Times New Roman" w:cs="Times New Roman"/>
          <w:sz w:val="28"/>
          <w:szCs w:val="28"/>
          <w:lang w:val="lv-LV"/>
        </w:rPr>
        <w:t xml:space="preserve">IAL, līdz ar </w:t>
      </w:r>
      <w:r>
        <w:rPr>
          <w:rFonts w:ascii="Times New Roman" w:hAnsi="Times New Roman" w:cs="Times New Roman"/>
          <w:sz w:val="28"/>
          <w:szCs w:val="28"/>
          <w:lang w:val="lv-LV"/>
        </w:rPr>
        <w:t xml:space="preserve">to </w:t>
      </w:r>
      <w:r w:rsidRPr="00DD7FD2">
        <w:rPr>
          <w:rFonts w:ascii="Times New Roman" w:hAnsi="Times New Roman" w:cs="Times New Roman"/>
          <w:sz w:val="28"/>
          <w:szCs w:val="28"/>
          <w:lang w:val="lv-LV"/>
        </w:rPr>
        <w:t>Aizsardzības ministrijas Valsts aizsardzības militāro objektu un iepirkumu centram (VAMOIC), kā atbildīgajai institūcijai p</w:t>
      </w:r>
      <w:r>
        <w:rPr>
          <w:rFonts w:ascii="Times New Roman" w:hAnsi="Times New Roman" w:cs="Times New Roman"/>
          <w:sz w:val="28"/>
          <w:szCs w:val="28"/>
          <w:lang w:val="lv-LV"/>
        </w:rPr>
        <w:t xml:space="preserve">ar centralizēto iegāžu veikšanu, ir nozīmīga loma veselības aprūpes sistēmas gatavības spēju uzturēšanā un stiprināšanā. Paredzot, ka tiek paplašināts veselības aprūpes pakalpojumu klāsts, būtu jāparedz, ka palielināsies arī IAL patēriņš ārstniecības iestādēs. Saglabājoties IAL iegādes un piegādes problēmām gan starptautiskajā, gan vietējā tirgū, VAMOIC loma kā centralizētu IAL iegāžu veicējam būtu saglabājama līdz pat IAL tirgus stabilizācijai. </w:t>
      </w:r>
    </w:p>
    <w:p w:rsidR="00EC743A" w:rsidRDefault="00EC743A" w:rsidP="00EC743A">
      <w:pPr>
        <w:spacing w:after="0" w:line="240" w:lineRule="auto"/>
        <w:jc w:val="both"/>
        <w:rPr>
          <w:rFonts w:ascii="Times New Roman" w:hAnsi="Times New Roman"/>
          <w:sz w:val="28"/>
          <w:szCs w:val="28"/>
          <w:lang w:val="lv-LV"/>
        </w:rPr>
      </w:pPr>
    </w:p>
    <w:p w:rsidR="00EC743A" w:rsidRDefault="00EC743A" w:rsidP="00EC743A">
      <w:pPr>
        <w:spacing w:after="0" w:line="240" w:lineRule="auto"/>
        <w:jc w:val="both"/>
        <w:rPr>
          <w:rFonts w:ascii="Times New Roman" w:hAnsi="Times New Roman"/>
          <w:sz w:val="28"/>
          <w:szCs w:val="28"/>
          <w:lang w:val="lv-LV"/>
        </w:rPr>
      </w:pPr>
      <w:r>
        <w:rPr>
          <w:rFonts w:ascii="Times New Roman" w:hAnsi="Times New Roman" w:cs="Times New Roman"/>
          <w:sz w:val="28"/>
          <w:szCs w:val="28"/>
          <w:u w:val="single"/>
          <w:lang w:val="lv-LV" w:eastAsia="lv-LV"/>
        </w:rPr>
        <w:t xml:space="preserve">Pretgripas vakcinēšana kā veselības sistēmas atslogošana </w:t>
      </w:r>
    </w:p>
    <w:p w:rsidR="00EC743A" w:rsidRPr="00E336F6" w:rsidRDefault="00EC743A" w:rsidP="00EC743A">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Vēl v</w:t>
      </w:r>
      <w:r w:rsidRPr="00E336F6">
        <w:rPr>
          <w:rFonts w:ascii="Times New Roman" w:hAnsi="Times New Roman"/>
          <w:sz w:val="28"/>
          <w:szCs w:val="28"/>
          <w:lang w:val="lv-LV"/>
        </w:rPr>
        <w:t xml:space="preserve">iens no faktoriem, kam ir nozīmīga ietekme uz sabiedrības veselību, ir gripa. Gripai un Covid-19 ir līdzīgi izplatīšanās ceļi, kā arī šīs slimības skar vienas un tās pašas sabiedrības grupas - seniorus un cilvēkus ar hroniskām slimībām. Gan gripa, gan Covid-19 var izsaukt smagas pneimonijas un paasināt hronisko slimību gaitu, tādējādi radot </w:t>
      </w:r>
      <w:r>
        <w:rPr>
          <w:rFonts w:ascii="Times New Roman" w:hAnsi="Times New Roman"/>
          <w:sz w:val="28"/>
          <w:szCs w:val="28"/>
          <w:lang w:val="lv-LV"/>
        </w:rPr>
        <w:t>papildus slogu veselības sistēmai</w:t>
      </w:r>
      <w:r w:rsidRPr="00E336F6">
        <w:rPr>
          <w:rFonts w:ascii="Times New Roman" w:hAnsi="Times New Roman"/>
          <w:sz w:val="28"/>
          <w:szCs w:val="28"/>
          <w:lang w:val="lv-LV"/>
        </w:rPr>
        <w:t xml:space="preserve"> un veicinot mirstību. Katru gadu gripas sezona ir no oktobra līdz aprīlim, tādēļ pastāv risks, ka šī gada rudenī Covid-19 infekcijas </w:t>
      </w:r>
      <w:r>
        <w:rPr>
          <w:rFonts w:ascii="Times New Roman" w:hAnsi="Times New Roman"/>
          <w:sz w:val="28"/>
          <w:szCs w:val="28"/>
          <w:lang w:val="lv-LV"/>
        </w:rPr>
        <w:t xml:space="preserve">atkārtotais </w:t>
      </w:r>
      <w:r w:rsidRPr="00E336F6">
        <w:rPr>
          <w:rFonts w:ascii="Times New Roman" w:hAnsi="Times New Roman"/>
          <w:sz w:val="28"/>
          <w:szCs w:val="28"/>
          <w:lang w:val="lv-LV"/>
        </w:rPr>
        <w:t xml:space="preserve">vilnis var uzslāņoties gripas sezonai. </w:t>
      </w:r>
    </w:p>
    <w:p w:rsidR="00EC743A" w:rsidRPr="00E336F6" w:rsidRDefault="00EC743A" w:rsidP="00EC743A">
      <w:pPr>
        <w:spacing w:after="0" w:line="240" w:lineRule="auto"/>
        <w:ind w:firstLine="567"/>
        <w:jc w:val="both"/>
        <w:rPr>
          <w:rFonts w:ascii="Times New Roman" w:hAnsi="Times New Roman"/>
          <w:sz w:val="28"/>
          <w:szCs w:val="28"/>
          <w:lang w:val="lv-LV"/>
        </w:rPr>
      </w:pPr>
      <w:r w:rsidRPr="00E336F6">
        <w:rPr>
          <w:rFonts w:ascii="Times New Roman" w:hAnsi="Times New Roman"/>
          <w:sz w:val="28"/>
          <w:szCs w:val="28"/>
          <w:lang w:val="lv-LV"/>
        </w:rPr>
        <w:t xml:space="preserve">Pēc </w:t>
      </w:r>
      <w:r>
        <w:rPr>
          <w:rFonts w:ascii="Times New Roman" w:hAnsi="Times New Roman"/>
          <w:sz w:val="28"/>
          <w:szCs w:val="28"/>
          <w:lang w:val="lv-LV"/>
        </w:rPr>
        <w:t>Slimības profilakses un kontroles centra</w:t>
      </w:r>
      <w:r w:rsidRPr="00E336F6">
        <w:rPr>
          <w:rFonts w:ascii="Times New Roman" w:hAnsi="Times New Roman"/>
          <w:sz w:val="28"/>
          <w:szCs w:val="28"/>
          <w:lang w:val="lv-LV"/>
        </w:rPr>
        <w:t xml:space="preserve"> gripas monitoringa datiem, katru gadu ar gripu slimo no 20 000 līdz 50 000 un vairāk Latvijas iedzīvotāju. </w:t>
      </w:r>
      <w:r>
        <w:rPr>
          <w:rFonts w:ascii="Times New Roman" w:hAnsi="Times New Roman"/>
          <w:sz w:val="28"/>
          <w:szCs w:val="28"/>
          <w:lang w:val="lv-LV"/>
        </w:rPr>
        <w:t>Slimības profilakses un kontroles centra</w:t>
      </w:r>
      <w:r w:rsidRPr="00E336F6">
        <w:rPr>
          <w:rFonts w:ascii="Times New Roman" w:hAnsi="Times New Roman"/>
          <w:sz w:val="28"/>
          <w:szCs w:val="28"/>
          <w:lang w:val="lv-LV"/>
        </w:rPr>
        <w:t xml:space="preserve"> dati arī pierāda to, ka gripas sezonas laikā ir visaugstākie iknedēļas mirstības rādītāji, kā arī gripas sezonas laikā ievērojami palielinās ambulatoro un stacionāro veselības aprūpes pakalpojumu apjoms.</w:t>
      </w:r>
    </w:p>
    <w:p w:rsidR="00EC743A" w:rsidRPr="00E336F6" w:rsidRDefault="00EC743A" w:rsidP="00EC743A">
      <w:pPr>
        <w:spacing w:after="0" w:line="240" w:lineRule="auto"/>
        <w:ind w:firstLine="567"/>
        <w:jc w:val="both"/>
        <w:rPr>
          <w:rFonts w:ascii="Times New Roman" w:hAnsi="Times New Roman"/>
          <w:sz w:val="28"/>
          <w:szCs w:val="28"/>
          <w:lang w:val="lv-LV"/>
        </w:rPr>
      </w:pPr>
      <w:r w:rsidRPr="00E336F6">
        <w:rPr>
          <w:rFonts w:ascii="Times New Roman" w:hAnsi="Times New Roman"/>
          <w:sz w:val="28"/>
          <w:szCs w:val="28"/>
          <w:lang w:val="lv-LV"/>
        </w:rPr>
        <w:t xml:space="preserve">Lai stiprinātu veselības sektora spēju reaģēt Covid-19 uzliesmojuma gadījumā, ir jāsamazina riski gripas izplatībai un gripas izraisītiem smagiem veselības traucējumiem. Tādēļ ir jānodrošina, lai pēc iespējas lielāka sabiedrības daļa ir vakcinēta pret gripu, īpaši </w:t>
      </w:r>
      <w:r w:rsidRPr="00E336F6">
        <w:rPr>
          <w:rFonts w:ascii="Times New Roman" w:hAnsi="Times New Roman"/>
          <w:sz w:val="28"/>
          <w:szCs w:val="28"/>
          <w:lang w:val="lv-LV"/>
        </w:rPr>
        <w:lastRenderedPageBreak/>
        <w:t>veicinot riska grupu (cilvēku pēc 65 gadiem un cilvēku ar hroniskām slimībām) vakcināciju, kā arī nodrošinot to, lai pēc iespējas vairāk veselības aprūpes speciālistu ir vakcinēti pret gripu, kā rezultātā novērstu gripas izplatības riskus ārstniecības iestādēs. Šobrīd mazāk kā 5% sabiedrības vakcinējas pret gripu.</w:t>
      </w:r>
    </w:p>
    <w:p w:rsidR="00EC743A" w:rsidRPr="00E336F6" w:rsidRDefault="00EC743A" w:rsidP="00EC743A">
      <w:pPr>
        <w:spacing w:after="0" w:line="240" w:lineRule="auto"/>
        <w:ind w:firstLine="567"/>
        <w:jc w:val="both"/>
        <w:rPr>
          <w:lang w:val="lv-LV"/>
        </w:rPr>
      </w:pPr>
      <w:r w:rsidRPr="00E336F6">
        <w:rPr>
          <w:rFonts w:ascii="Times New Roman" w:hAnsi="Times New Roman"/>
          <w:sz w:val="28"/>
          <w:szCs w:val="28"/>
          <w:lang w:val="lv-LV"/>
        </w:rPr>
        <w:t xml:space="preserve">Šim nolūkam Veselības ministrijai ir jāveic pasākumi pretgripas vakcinācijas veicināšanai – jāuzlabo pretgripas vakcīnas pieejamība, jāpaplašina iedzīvotāju grupas, kam tiek nodrošināta valsts apmaksāta pretgripas vakcīna, veicot centralizēto vakcīnu iepirkumu. Tāpat ir svarīgi nodrošināt pietiekamas pretgripas vakcīnas rezerves valstī, šim nolūkam savlaicīgi uzsākot sarunas ar ražotājiem, lai pretgripas vakcīnas valstī būtu nepieciešamā apjomā. Lai veicinātu riska grupu vakcinēšanos pret gripu, ir jāpilnveido sabiedrības izpratne par vakcinācijas nozīmi, kā arī ir jāveicina ārstniecības personu izpratne par pretgripas vakcināciju. </w:t>
      </w:r>
    </w:p>
    <w:p w:rsidR="00EC743A" w:rsidRPr="00E336F6" w:rsidRDefault="00EC743A" w:rsidP="00EC743A">
      <w:pPr>
        <w:spacing w:after="0" w:line="240" w:lineRule="auto"/>
        <w:ind w:firstLine="567"/>
        <w:jc w:val="both"/>
        <w:rPr>
          <w:rFonts w:ascii="Times New Roman" w:hAnsi="Times New Roman"/>
          <w:sz w:val="28"/>
          <w:szCs w:val="28"/>
          <w:lang w:val="lv-LV"/>
        </w:rPr>
      </w:pPr>
      <w:r w:rsidRPr="00E336F6">
        <w:rPr>
          <w:rFonts w:ascii="Times New Roman" w:hAnsi="Times New Roman"/>
          <w:sz w:val="28"/>
          <w:szCs w:val="28"/>
          <w:lang w:val="lv-LV"/>
        </w:rPr>
        <w:t>Svarīgi ir arī augstā līmenī uzturēt vakcinācijas aptveri pret citām infekcijas slimībām. Tā kā šis rādītājs uz doto brīdi Latvijā ir pietiekami augsts un kopumā atbilst PVO rekomendācijām, vakcinācijas pret citām infekcijas slimībām veicināšanai īpaši pasākumi nav nepieciešami. Jāturpina vakcinācijas iestāžu darbs un jānodrošina pietiekamas vakcīnu rezerves valstī.</w:t>
      </w:r>
    </w:p>
    <w:p w:rsidR="00EC743A" w:rsidRPr="00DD7FD2" w:rsidRDefault="00EC743A" w:rsidP="00EC743A">
      <w:pPr>
        <w:spacing w:after="0" w:line="240" w:lineRule="auto"/>
        <w:rPr>
          <w:rFonts w:ascii="Times New Roman" w:hAnsi="Times New Roman" w:cs="Times New Roman"/>
          <w:b/>
          <w:bCs/>
          <w:sz w:val="28"/>
          <w:szCs w:val="28"/>
          <w:lang w:val="lv-LV" w:eastAsia="lv-LV"/>
        </w:rPr>
      </w:pPr>
    </w:p>
    <w:p w:rsidR="00EC743A" w:rsidRPr="00DD7FD2" w:rsidRDefault="00EC743A" w:rsidP="00EC743A">
      <w:pPr>
        <w:spacing w:after="0" w:line="240" w:lineRule="auto"/>
        <w:jc w:val="both"/>
        <w:rPr>
          <w:rFonts w:ascii="Times New Roman" w:hAnsi="Times New Roman" w:cs="Times New Roman"/>
          <w:bCs/>
          <w:sz w:val="28"/>
          <w:szCs w:val="28"/>
          <w:u w:val="single"/>
          <w:lang w:val="lv-LV" w:eastAsia="lv-LV"/>
        </w:rPr>
      </w:pPr>
      <w:r w:rsidRPr="00DD7FD2">
        <w:rPr>
          <w:rFonts w:ascii="Times New Roman" w:hAnsi="Times New Roman" w:cs="Times New Roman"/>
          <w:sz w:val="28"/>
          <w:szCs w:val="28"/>
          <w:u w:val="single"/>
          <w:lang w:val="lv-LV" w:eastAsia="lv-LV"/>
        </w:rPr>
        <w:t>Pamatprincipi, kas būtu nosakāmi ārstniecības iestādēm un sociālās aprūpes centriem ilgtermiņā, saglabājoties Covid-19 populācijā</w:t>
      </w:r>
    </w:p>
    <w:p w:rsidR="00EC743A" w:rsidRPr="00DD7FD2" w:rsidRDefault="00EC743A" w:rsidP="00EC743A">
      <w:pPr>
        <w:spacing w:after="0" w:line="240" w:lineRule="auto"/>
        <w:ind w:firstLine="720"/>
        <w:jc w:val="both"/>
        <w:rPr>
          <w:rFonts w:ascii="Times New Roman" w:hAnsi="Times New Roman" w:cs="Times New Roman"/>
          <w:sz w:val="28"/>
          <w:szCs w:val="28"/>
          <w:lang w:val="lv-LV" w:eastAsia="lv-LV"/>
        </w:rPr>
      </w:pPr>
      <w:r w:rsidRPr="00DD7FD2">
        <w:rPr>
          <w:rFonts w:ascii="Times New Roman" w:hAnsi="Times New Roman" w:cs="Times New Roman"/>
          <w:bCs/>
          <w:sz w:val="28"/>
          <w:szCs w:val="28"/>
          <w:lang w:val="lv-LV" w:eastAsia="lv-LV"/>
        </w:rPr>
        <w:t>Pamatuzdevums</w:t>
      </w:r>
      <w:r w:rsidRPr="00DD7FD2">
        <w:rPr>
          <w:rFonts w:ascii="Times New Roman" w:hAnsi="Times New Roman" w:cs="Times New Roman"/>
          <w:b/>
          <w:bCs/>
          <w:sz w:val="28"/>
          <w:szCs w:val="28"/>
          <w:lang w:val="lv-LV" w:eastAsia="lv-LV"/>
        </w:rPr>
        <w:t xml:space="preserve"> </w:t>
      </w:r>
      <w:r w:rsidRPr="00DD7FD2">
        <w:rPr>
          <w:rFonts w:ascii="Times New Roman" w:hAnsi="Times New Roman" w:cs="Times New Roman"/>
          <w:sz w:val="28"/>
          <w:szCs w:val="28"/>
          <w:lang w:val="lv-LV" w:eastAsia="lv-LV"/>
        </w:rPr>
        <w:t xml:space="preserve">- nodrošināt </w:t>
      </w:r>
      <w:r w:rsidRPr="00DD7FD2">
        <w:rPr>
          <w:rFonts w:ascii="Times New Roman" w:hAnsi="Times New Roman" w:cs="Times New Roman"/>
          <w:bCs/>
          <w:sz w:val="28"/>
          <w:szCs w:val="28"/>
          <w:lang w:val="lv-LV" w:eastAsia="lv-LV"/>
        </w:rPr>
        <w:t>personāla un pacientu/klientu drošību</w:t>
      </w:r>
      <w:r w:rsidRPr="00DD7FD2">
        <w:rPr>
          <w:rFonts w:ascii="Times New Roman" w:hAnsi="Times New Roman" w:cs="Times New Roman"/>
          <w:sz w:val="28"/>
          <w:szCs w:val="28"/>
          <w:lang w:val="lv-LV" w:eastAsia="lv-LV"/>
        </w:rPr>
        <w:t>, kam būtu nosakāmi sekojošie priekšnosacījumi</w:t>
      </w:r>
      <w:r w:rsidRPr="00DD7FD2">
        <w:rPr>
          <w:rFonts w:ascii="Times New Roman" w:hAnsi="Times New Roman" w:cs="Times New Roman"/>
          <w:sz w:val="28"/>
          <w:szCs w:val="28"/>
          <w:vertAlign w:val="superscript"/>
          <w:lang w:val="lv-LV" w:eastAsia="lv-LV"/>
        </w:rPr>
        <w:footnoteReference w:id="1"/>
      </w:r>
      <w:r w:rsidRPr="00DD7FD2">
        <w:rPr>
          <w:rFonts w:ascii="Times New Roman" w:hAnsi="Times New Roman" w:cs="Times New Roman"/>
          <w:sz w:val="28"/>
          <w:szCs w:val="28"/>
          <w:lang w:val="lv-LV" w:eastAsia="lv-LV"/>
        </w:rPr>
        <w:t>:</w:t>
      </w:r>
    </w:p>
    <w:p w:rsidR="00EC743A" w:rsidRPr="00DD7FD2" w:rsidRDefault="00EC743A" w:rsidP="00EC743A">
      <w:pPr>
        <w:spacing w:after="0" w:line="240" w:lineRule="auto"/>
        <w:ind w:firstLine="720"/>
        <w:jc w:val="both"/>
        <w:rPr>
          <w:rFonts w:ascii="Times New Roman" w:hAnsi="Times New Roman" w:cs="Times New Roman"/>
          <w:sz w:val="28"/>
          <w:szCs w:val="28"/>
          <w:lang w:val="lv-LV" w:eastAsia="lv-LV"/>
        </w:rPr>
      </w:pPr>
      <w:r w:rsidRPr="00DD7FD2">
        <w:rPr>
          <w:rFonts w:ascii="Times New Roman" w:hAnsi="Times New Roman" w:cs="Times New Roman"/>
          <w:sz w:val="28"/>
          <w:szCs w:val="28"/>
          <w:lang w:val="lv-LV" w:eastAsia="lv-LV"/>
        </w:rPr>
        <w:t xml:space="preserve">1. </w:t>
      </w:r>
      <w:r w:rsidRPr="00DD7FD2">
        <w:rPr>
          <w:rFonts w:ascii="Times New Roman" w:hAnsi="Times New Roman" w:cs="Times New Roman"/>
          <w:bCs/>
          <w:sz w:val="28"/>
          <w:szCs w:val="28"/>
          <w:lang w:val="lv-LV" w:eastAsia="lv-LV"/>
        </w:rPr>
        <w:t>Materiāltehniskais nodrošinājums:</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individuālie aizsardzības līdzekļi, kas nepieciešami darbam gan ar SARS-CoV-2 neinficētiem, gan inficētiem pacientiem/klientiem. Tās ir ķirurģiskās maskas, respiratori (FFP2 vai FFP3 standarts), sejas aizsegi, cimdi, priekšauti, vienreizlietojamie speciālie un standarta apģērbi. Precīzi jādefinē, kādās situācijās kādi individuālie aizsardzības līdzekļi jālieto un jānodrošina visa personāla attiecīga apmācība. Ārstniecības iestādēm un sociālās aprūpes centriem jārūpējas par individuālo aizsardzības līdzekļu rezervju un attiecīgu apmācību nodrošināšanu;</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lastRenderedPageBreak/>
        <w:t>dezinfekcijas līdzekļu pieejamība, kā arī to atbilstoša lietošana. Ārstniecības iestādes un sociālās aprūpes centri jānodrošina ar spirtu saturošām salvetēm fonendoskopu, tonometru tīrīšanai.</w:t>
      </w:r>
    </w:p>
    <w:p w:rsidR="00EC743A" w:rsidRPr="00DD7FD2" w:rsidRDefault="00EC743A" w:rsidP="00EC743A">
      <w:pPr>
        <w:spacing w:after="0" w:line="240" w:lineRule="auto"/>
        <w:ind w:firstLine="720"/>
        <w:jc w:val="both"/>
        <w:rPr>
          <w:rFonts w:ascii="Times New Roman" w:hAnsi="Times New Roman" w:cs="Times New Roman"/>
          <w:bCs/>
          <w:sz w:val="28"/>
          <w:szCs w:val="28"/>
          <w:lang w:val="lv-LV" w:eastAsia="lv-LV"/>
        </w:rPr>
      </w:pPr>
      <w:r w:rsidRPr="00DD7FD2">
        <w:rPr>
          <w:rFonts w:ascii="Times New Roman" w:hAnsi="Times New Roman" w:cs="Times New Roman"/>
          <w:sz w:val="28"/>
          <w:szCs w:val="28"/>
          <w:lang w:val="lv-LV" w:eastAsia="lv-LV"/>
        </w:rPr>
        <w:t xml:space="preserve">2. </w:t>
      </w:r>
      <w:r w:rsidRPr="00DD7FD2">
        <w:rPr>
          <w:rFonts w:ascii="Times New Roman" w:hAnsi="Times New Roman" w:cs="Times New Roman"/>
          <w:bCs/>
          <w:sz w:val="28"/>
          <w:szCs w:val="28"/>
          <w:lang w:val="lv-LV" w:eastAsia="lv-LV"/>
        </w:rPr>
        <w:t>Stingri infekciju kontroles standarti:</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personālam jāstrādā balstoties uz pieņēmumu, ka jebkurš pacients/klients vai kolēģis var būt inficēts. Pēc iespējas jānodrošina fiziskā distancēšanās (2 metru attālums) gan personāla, gan pacientu/klientu starpā, kā arī gultu starpā. Tuvāka kontakta gadījumā vienmēr jālieto medicīniskā maska (gan pacientam/klientam, gan personālam), kas nozīmē, ka personāls savstarpējā saskarsmē un ar pacientu visu laiku strādā medicīniskā maskā;</w:t>
      </w:r>
    </w:p>
    <w:p w:rsidR="00EC743A" w:rsidRPr="00DD7FD2" w:rsidRDefault="00EC743A" w:rsidP="00EC743A">
      <w:pPr>
        <w:numPr>
          <w:ilvl w:val="0"/>
          <w:numId w:val="1"/>
        </w:numPr>
        <w:spacing w:after="0" w:line="254" w:lineRule="auto"/>
        <w:contextualSpacing/>
        <w:jc w:val="both"/>
        <w:rPr>
          <w:rFonts w:ascii="Times New Roman" w:hAnsi="Times New Roman" w:cs="Times New Roman"/>
          <w:bCs/>
          <w:sz w:val="28"/>
          <w:szCs w:val="28"/>
          <w:lang w:val="lv-LV"/>
        </w:rPr>
      </w:pPr>
      <w:r w:rsidRPr="00DD7FD2">
        <w:rPr>
          <w:rFonts w:ascii="Times New Roman" w:hAnsi="Times New Roman" w:cs="Times New Roman"/>
          <w:sz w:val="28"/>
          <w:szCs w:val="28"/>
          <w:lang w:val="lv-LV"/>
        </w:rPr>
        <w:t>s</w:t>
      </w:r>
      <w:r w:rsidRPr="00DD7FD2">
        <w:rPr>
          <w:rFonts w:ascii="Times New Roman" w:hAnsi="Times New Roman" w:cs="Times New Roman"/>
          <w:bCs/>
          <w:sz w:val="28"/>
          <w:szCs w:val="28"/>
          <w:lang w:val="lv-LV"/>
        </w:rPr>
        <w:t>tingri jāievēro roku higiēna, kas nozīmē roku pareiza apstrāde ar roku dezinfekcijas šķīdumu vai roku mazgāšana ar ziepēm, ievērojot arī roku atbilstību (piemēram – bez lakotiem nagiem, gredzeniem, pulksteņiem u.c.). Jābūt pietiekamam skaitam dezinfekcijas līdzekļu dispanseriem un izlietnēm, kā arī jāveic regulāri standartizēti roku dezinfekcijas novērojami.</w:t>
      </w:r>
    </w:p>
    <w:p w:rsidR="00EC743A" w:rsidRPr="00DD7FD2" w:rsidRDefault="00EC743A" w:rsidP="00EC743A">
      <w:pPr>
        <w:spacing w:after="0" w:line="240" w:lineRule="auto"/>
        <w:ind w:firstLine="720"/>
        <w:jc w:val="both"/>
        <w:rPr>
          <w:rFonts w:ascii="Times New Roman" w:hAnsi="Times New Roman" w:cs="Times New Roman"/>
          <w:bCs/>
          <w:sz w:val="28"/>
          <w:szCs w:val="28"/>
          <w:lang w:val="lv-LV" w:eastAsia="lv-LV"/>
        </w:rPr>
      </w:pPr>
      <w:r w:rsidRPr="00DD7FD2">
        <w:rPr>
          <w:rFonts w:ascii="Times New Roman" w:hAnsi="Times New Roman" w:cs="Times New Roman"/>
          <w:sz w:val="28"/>
          <w:szCs w:val="28"/>
          <w:lang w:val="lv-LV" w:eastAsia="lv-LV"/>
        </w:rPr>
        <w:t xml:space="preserve">3. </w:t>
      </w:r>
      <w:r w:rsidRPr="00DD7FD2">
        <w:rPr>
          <w:rFonts w:ascii="Times New Roman" w:hAnsi="Times New Roman" w:cs="Times New Roman"/>
          <w:bCs/>
          <w:sz w:val="28"/>
          <w:szCs w:val="28"/>
          <w:lang w:val="lv-LV" w:eastAsia="lv-LV"/>
        </w:rPr>
        <w:t>Laboratorisko izmeklējumu pieejamība:</w:t>
      </w:r>
    </w:p>
    <w:p w:rsidR="00EC743A" w:rsidRPr="00DD7FD2" w:rsidRDefault="00EC743A" w:rsidP="00EC743A">
      <w:pPr>
        <w:numPr>
          <w:ilvl w:val="0"/>
          <w:numId w:val="1"/>
        </w:numPr>
        <w:spacing w:after="0" w:line="254" w:lineRule="auto"/>
        <w:contextualSpacing/>
        <w:jc w:val="both"/>
        <w:rPr>
          <w:rFonts w:ascii="Times New Roman" w:hAnsi="Times New Roman" w:cs="Times New Roman"/>
          <w:bCs/>
          <w:sz w:val="28"/>
          <w:szCs w:val="28"/>
          <w:lang w:val="lv-LV"/>
        </w:rPr>
      </w:pPr>
      <w:r w:rsidRPr="00DD7FD2">
        <w:rPr>
          <w:rFonts w:ascii="Times New Roman" w:hAnsi="Times New Roman" w:cs="Times New Roman"/>
          <w:bCs/>
          <w:sz w:val="28"/>
          <w:szCs w:val="28"/>
          <w:lang w:val="lv-LV"/>
        </w:rPr>
        <w:t>ārstniecības iestādē ir jābūt iespējai veikt Covid-19 testēšanu jebkurā laikā un jānodrošina paraugu transportēšana un rezultātu savlaicīga saņemšana. Nepieciešams skaidri definēt situācijas pacientu/klientu un personāla pārbaudēm, tai skaitā atkarībā no epidemioloģiskās situācijas;</w:t>
      </w:r>
    </w:p>
    <w:p w:rsidR="00EC743A" w:rsidRPr="00DD7FD2" w:rsidRDefault="00EC743A" w:rsidP="00EC743A">
      <w:pPr>
        <w:numPr>
          <w:ilvl w:val="0"/>
          <w:numId w:val="1"/>
        </w:numPr>
        <w:spacing w:after="0" w:line="254" w:lineRule="auto"/>
        <w:contextualSpacing/>
        <w:jc w:val="both"/>
        <w:rPr>
          <w:rFonts w:ascii="Times New Roman" w:hAnsi="Times New Roman" w:cs="Times New Roman"/>
          <w:bCs/>
          <w:sz w:val="28"/>
          <w:szCs w:val="28"/>
          <w:lang w:val="lv-LV"/>
        </w:rPr>
      </w:pPr>
      <w:r w:rsidRPr="00DD7FD2">
        <w:rPr>
          <w:rFonts w:ascii="Times New Roman" w:hAnsi="Times New Roman" w:cs="Times New Roman"/>
          <w:bCs/>
          <w:sz w:val="28"/>
          <w:szCs w:val="28"/>
          <w:lang w:val="lv-LV"/>
        </w:rPr>
        <w:t>Jānodrošina, ka ģimenes ārsti pacientiem ar aizdomām par Covid-19, veic telefoniskas konsultācijas, nosūta laboratorisko izmeklējumu veikšanai uz testēšanas punktiem (vai nodrošina paši paraugu ņemšanu).</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bCs/>
          <w:sz w:val="28"/>
          <w:szCs w:val="28"/>
          <w:lang w:val="lv-LV"/>
        </w:rPr>
        <w:t>sadarbībā ar Slimības profilakses un kontroles centru jānodrošina visu Covid-19 pozitīvo gadījumu uzskaite, identificējot primāro gadījumu (ja nepieciešams, veicot epidemioloģisko izmeklēšanu) un kontaktpersonas gan personāla, gan pacientu/klientu vidū. Visos gadījumos ārstniecības iestādei un sociālās aprūpes centram ir pienākums un atbildība apkopot informāciju par kontaktpersonām, kā arī  veikt nepieciešamos pasākumus, ieskaitot izolēšanu un ārstniecības iestādē izolēto pacientu medicīnisko novērošanu.</w:t>
      </w:r>
    </w:p>
    <w:p w:rsidR="00EC743A" w:rsidRPr="00DD7FD2" w:rsidRDefault="00EC743A" w:rsidP="00EC743A">
      <w:pPr>
        <w:spacing w:after="0" w:line="240" w:lineRule="auto"/>
        <w:ind w:firstLine="720"/>
        <w:jc w:val="both"/>
        <w:rPr>
          <w:rFonts w:ascii="Times New Roman" w:hAnsi="Times New Roman" w:cs="Times New Roman"/>
          <w:b/>
          <w:sz w:val="28"/>
          <w:szCs w:val="28"/>
          <w:lang w:val="lv-LV" w:eastAsia="lv-LV"/>
        </w:rPr>
      </w:pPr>
      <w:r w:rsidRPr="00DD7FD2">
        <w:rPr>
          <w:rFonts w:ascii="Times New Roman" w:hAnsi="Times New Roman" w:cs="Times New Roman"/>
          <w:bCs/>
          <w:sz w:val="28"/>
          <w:szCs w:val="28"/>
          <w:lang w:val="lv-LV" w:eastAsia="lv-LV"/>
        </w:rPr>
        <w:t>4. Infrastruktūra</w:t>
      </w:r>
      <w:r w:rsidRPr="00DD7FD2">
        <w:rPr>
          <w:rFonts w:ascii="Times New Roman" w:hAnsi="Times New Roman" w:cs="Times New Roman"/>
          <w:b/>
          <w:sz w:val="28"/>
          <w:szCs w:val="28"/>
          <w:lang w:val="lv-LV" w:eastAsia="lv-LV"/>
        </w:rPr>
        <w:t xml:space="preserve">: </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strādājot Covid-19 epidēmijas apstākļos, ir ļoti svarīgi atdalīt ambulatoro, plānveida un akūtās palīdzības pacientu plūsmas nodrošinot ar atsevišķu personālu, proti, personāls, kurš strādā ar ambulatorajiem pacientiem, nestrādā stacionārā. Maksimāli jāsamazina pacientu/klientu skaits palātās (optimāli – viens vai divi), un svarīga ir atsevišķu sanitāro mezglu pieejamība. Tualetēm jābūt atbilstoši aprīkotām, tām jābūt nodrošinātām ar dezinfekcijas līdzekļiem, šķidrajām ziepēm, papīra salvetēm un tualetes papīru;</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ārstniecības iestādēm un sociālās aprūpes centriem jāspēj nodrošināt atsevišķas telpas ar aizdomām vai apstiprinātu Covid-19 pacientu un viņu kontaktpersonu izolācijai. Ārstniecības iestādēm ambulatoro pacientu plūsmas mazināšanai, pirms katras ambulatorās konsultācijas klātienē ir jābūt notikušai attālinātai konsultācijai, lai mazinātu arī vizīšu skaitu.</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lastRenderedPageBreak/>
        <w:t>Nepieciešams izveidot vietas, kurās minimālo veselības aprūpes uzraudzību un palīdzību saņem Covid-19 pozitīvas personas, kurām nav nepieciešama uzturēšanās ārstniecības iestādē, bet dzīvesvietā, īslaicīgās uzturēšanās vietās, kā arī, ja sociālos aprūpes centros nav iespējams nodrošināt karantīnas režīmu.</w:t>
      </w:r>
    </w:p>
    <w:p w:rsidR="00EC743A" w:rsidRPr="00660AD7"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 xml:space="preserve">palielinoties strauji Covid-19 pacientu skaitam, pārsniedzot Universitātes </w:t>
      </w:r>
      <w:r>
        <w:rPr>
          <w:rFonts w:ascii="Times New Roman" w:hAnsi="Times New Roman" w:cs="Times New Roman"/>
          <w:sz w:val="28"/>
          <w:szCs w:val="28"/>
          <w:lang w:val="lv-LV"/>
        </w:rPr>
        <w:t xml:space="preserve">un reģionālo </w:t>
      </w:r>
      <w:r w:rsidRPr="00DD7FD2">
        <w:rPr>
          <w:rFonts w:ascii="Times New Roman" w:hAnsi="Times New Roman" w:cs="Times New Roman"/>
          <w:sz w:val="28"/>
          <w:szCs w:val="28"/>
          <w:lang w:val="lv-LV"/>
        </w:rPr>
        <w:t>slimnīcu resursu kapacitāti,</w:t>
      </w:r>
      <w:r w:rsidRPr="00163F7B">
        <w:rPr>
          <w:rFonts w:ascii="Times New Roman" w:hAnsi="Times New Roman" w:cs="Times New Roman"/>
          <w:sz w:val="28"/>
          <w:szCs w:val="28"/>
          <w:lang w:val="lv-LV"/>
        </w:rPr>
        <w:t xml:space="preserve"> </w:t>
      </w:r>
      <w:r>
        <w:rPr>
          <w:rFonts w:ascii="Times New Roman" w:hAnsi="Times New Roman" w:cs="Times New Roman"/>
          <w:sz w:val="28"/>
          <w:szCs w:val="28"/>
          <w:lang w:val="lv-LV"/>
        </w:rPr>
        <w:t xml:space="preserve">var tik izmantotas apzinātās kapacitātes un resursi zemāka līmeņa slimnīcās, kā arī privāto stacionāro un ambulatoro ārstniecības iestāžu resursi; kā arī apzinātas iespējas un nepieciešamie resursi, lai nepieciešamības gadījumā </w:t>
      </w:r>
      <w:r w:rsidRPr="00DD7FD2">
        <w:rPr>
          <w:rFonts w:ascii="Times New Roman" w:hAnsi="Times New Roman" w:cs="Times New Roman"/>
          <w:sz w:val="28"/>
          <w:szCs w:val="28"/>
          <w:lang w:val="lv-LV"/>
        </w:rPr>
        <w:t>nodrošināt</w:t>
      </w:r>
      <w:r>
        <w:rPr>
          <w:rFonts w:ascii="Times New Roman" w:hAnsi="Times New Roman" w:cs="Times New Roman"/>
          <w:sz w:val="28"/>
          <w:szCs w:val="28"/>
          <w:lang w:val="lv-LV"/>
        </w:rPr>
        <w:t>u</w:t>
      </w:r>
      <w:r w:rsidRPr="00DD7FD2">
        <w:rPr>
          <w:rFonts w:ascii="Times New Roman" w:hAnsi="Times New Roman" w:cs="Times New Roman"/>
          <w:sz w:val="28"/>
          <w:szCs w:val="28"/>
          <w:lang w:val="lv-LV"/>
        </w:rPr>
        <w:t xml:space="preserve"> pagaidu slimnīcu izvēršanu atbilstoši pielāgotās un aprīkotās telpās (piem. Biroja telpas, Pērnavas ielā 83, Rīga)</w:t>
      </w:r>
      <w:r>
        <w:rPr>
          <w:rFonts w:ascii="Times New Roman" w:hAnsi="Times New Roman" w:cs="Times New Roman"/>
          <w:sz w:val="28"/>
          <w:szCs w:val="28"/>
          <w:lang w:val="lv-LV"/>
        </w:rPr>
        <w:t>.</w:t>
      </w:r>
      <w:r w:rsidRPr="00DD7FD2">
        <w:rPr>
          <w:rFonts w:ascii="Times New Roman" w:hAnsi="Times New Roman" w:cs="Times New Roman"/>
          <w:sz w:val="28"/>
          <w:szCs w:val="28"/>
          <w:lang w:val="lv-LV"/>
        </w:rPr>
        <w:t xml:space="preserve"> </w:t>
      </w:r>
      <w:r w:rsidRPr="00163F7B">
        <w:rPr>
          <w:rFonts w:ascii="Times New Roman" w:hAnsi="Times New Roman" w:cs="Times New Roman"/>
          <w:sz w:val="28"/>
          <w:szCs w:val="28"/>
          <w:lang w:val="lv-LV"/>
        </w:rPr>
        <w:t>Pagaidu slimnīcā varētu tikt stacionēti divu veidu pacientu grupas: gados jauni pacienti ar Covid-19 bez riska faktoriem, kuriem dažas dienas nepieciešama novērošana; kā arī pacienti, kuri ir pārslimojuši Covi</w:t>
      </w:r>
      <w:r w:rsidRPr="00620478">
        <w:rPr>
          <w:rFonts w:ascii="Times New Roman" w:hAnsi="Times New Roman" w:cs="Times New Roman"/>
          <w:sz w:val="28"/>
          <w:szCs w:val="28"/>
          <w:lang w:val="lv-LV"/>
        </w:rPr>
        <w:t xml:space="preserve">d-19 pneimoniju, bet nav izrakstāmi sociālu vai citu iemeslu dēļ. Vairākās pasaules valstīs tiek veidotas pagaidu slimnīcas, lai samazinātu noslogojumu esošajās slimnīcās, kā piemēram, Ķīnā, ASV, Spānijā un citās valstīs. </w:t>
      </w:r>
    </w:p>
    <w:p w:rsidR="00EC743A" w:rsidRPr="00DD7FD2" w:rsidRDefault="00EC743A" w:rsidP="00EC743A">
      <w:pPr>
        <w:spacing w:after="0" w:line="240" w:lineRule="auto"/>
        <w:ind w:firstLine="720"/>
        <w:jc w:val="both"/>
        <w:rPr>
          <w:rFonts w:ascii="Times New Roman" w:hAnsi="Times New Roman" w:cs="Times New Roman"/>
          <w:b/>
          <w:sz w:val="28"/>
          <w:szCs w:val="28"/>
          <w:lang w:val="lv-LV" w:eastAsia="lv-LV"/>
        </w:rPr>
      </w:pPr>
      <w:r w:rsidRPr="00DD7FD2">
        <w:rPr>
          <w:rFonts w:ascii="Times New Roman" w:hAnsi="Times New Roman" w:cs="Times New Roman"/>
          <w:bCs/>
          <w:sz w:val="28"/>
          <w:szCs w:val="28"/>
          <w:lang w:val="lv-LV" w:eastAsia="lv-LV"/>
        </w:rPr>
        <w:t>5. Personāla apmācība</w:t>
      </w:r>
      <w:r w:rsidRPr="00DD7FD2">
        <w:rPr>
          <w:rFonts w:ascii="Times New Roman" w:hAnsi="Times New Roman" w:cs="Times New Roman"/>
          <w:b/>
          <w:sz w:val="28"/>
          <w:szCs w:val="28"/>
          <w:lang w:val="lv-LV" w:eastAsia="lv-LV"/>
        </w:rPr>
        <w:t xml:space="preserve">: </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jānodrošina regulāra personāla apmācība par fiziskās distancēšanās un  infekcijas kontroles principiem ārstniecības iestādē un sociālās aprūpes centrā. Personālām jāprot izvēlēties un pielietot atbilstošus individuālos aizsardzības līdzekļus atbilstoši situācijai. Katru dienu jāseko savai veselībai un jāmēra ķermeņa  temperatūra;</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ārstniecības iestādēs un sociālās aprūpes centros jābūt izstrādātai procedūrai/algoritmam saistībā ar aizdomām par COVID-19 gadījumu ar kuru personāls ir instruēts. Vēlams to darīt simulācijas apmācību veidā, kā arī veikt zināšanu novērtējuma testu. Svarīgi uzsvērt arī savstarpējās komunikācijas nozīmi.</w:t>
      </w:r>
    </w:p>
    <w:p w:rsidR="00EC743A" w:rsidRPr="00DD7FD2" w:rsidRDefault="00EC743A" w:rsidP="00EC743A">
      <w:pPr>
        <w:spacing w:after="0" w:line="240" w:lineRule="auto"/>
        <w:ind w:firstLine="720"/>
        <w:jc w:val="both"/>
        <w:rPr>
          <w:rFonts w:ascii="Times New Roman" w:hAnsi="Times New Roman" w:cs="Times New Roman"/>
          <w:b/>
          <w:sz w:val="28"/>
          <w:szCs w:val="28"/>
          <w:lang w:val="lv-LV" w:eastAsia="lv-LV"/>
        </w:rPr>
      </w:pPr>
      <w:r w:rsidRPr="00DD7FD2">
        <w:rPr>
          <w:rFonts w:ascii="Times New Roman" w:hAnsi="Times New Roman" w:cs="Times New Roman"/>
          <w:bCs/>
          <w:sz w:val="28"/>
          <w:szCs w:val="28"/>
          <w:lang w:val="lv-LV" w:eastAsia="lv-LV"/>
        </w:rPr>
        <w:t>6. Darba organizācija</w:t>
      </w:r>
      <w:r w:rsidRPr="00DD7FD2">
        <w:rPr>
          <w:rFonts w:ascii="Times New Roman" w:hAnsi="Times New Roman" w:cs="Times New Roman"/>
          <w:sz w:val="28"/>
          <w:szCs w:val="28"/>
          <w:lang w:val="lv-LV" w:eastAsia="lv-LV"/>
        </w:rPr>
        <w:t>:</w:t>
      </w:r>
      <w:r w:rsidRPr="00DD7FD2">
        <w:rPr>
          <w:rFonts w:ascii="Times New Roman" w:hAnsi="Times New Roman" w:cs="Times New Roman"/>
          <w:b/>
          <w:sz w:val="28"/>
          <w:szCs w:val="28"/>
          <w:lang w:val="lv-LV" w:eastAsia="lv-LV"/>
        </w:rPr>
        <w:t xml:space="preserve"> </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Nepieciešams pastāvīgi izvērtēt, aktualizēt, uzlabot un kontrolēt ārstniecības iestāžu higiēniskā un pretepidēmiskā režīma plānu, ņemot vērā iestādes darbību un sniegtos pakalpojumus. Jāveido slimnīcas infekciju kontroles komandas, kuras tieši pakļautas slimnīcas augstākai administrācijai. Jāorganizē veselības aprūpi tā, lai nošķirtu infekciozos pacientus no neinfekciozajiem, novērstu pacientu, darbinieku un apmeklētāju inficēšanās iespēju, kā arī vides piesārņošanu un koordinētu pretepidēmijas pasākumus Covid-19 gadījumā.</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t>Svarīgi ir organizēt darbinieku izglītošanu par ārstniecības iestādes un sociālās aprūpes centra pretepidēmijas pasākumiem Covid-19 gadījumā, plānot personāla darbu tā, lai pēc iespējas samazinātu savstarpēji kontaktējušo skaitu. Jāveic rūpīga dežūru plānošana, tajā skaitā, arī rezerves varianti saslimšanas gadījumā. Rūpīgi jāsinhronizē pieejamās kompetences, mazinot iesaistīto darbinieku skaitu. Jādefinē personāla skaits attiecība pret pacientu/klientu skaitu. Gadījumā, ja iztrūkst darbinieku, proporcionāli jāmazina pacientu/klientu skaits.</w:t>
      </w:r>
    </w:p>
    <w:p w:rsidR="00EC743A" w:rsidRPr="00DD7FD2" w:rsidRDefault="00EC743A" w:rsidP="00EC743A">
      <w:pPr>
        <w:numPr>
          <w:ilvl w:val="0"/>
          <w:numId w:val="1"/>
        </w:numPr>
        <w:spacing w:after="0" w:line="254" w:lineRule="auto"/>
        <w:contextualSpacing/>
        <w:jc w:val="both"/>
        <w:rPr>
          <w:rFonts w:ascii="Times New Roman" w:hAnsi="Times New Roman" w:cs="Times New Roman"/>
          <w:sz w:val="28"/>
          <w:szCs w:val="28"/>
          <w:lang w:val="lv-LV"/>
        </w:rPr>
      </w:pPr>
      <w:r w:rsidRPr="00DD7FD2">
        <w:rPr>
          <w:rFonts w:ascii="Times New Roman" w:hAnsi="Times New Roman" w:cs="Times New Roman"/>
          <w:sz w:val="28"/>
          <w:szCs w:val="28"/>
          <w:lang w:val="lv-LV"/>
        </w:rPr>
        <w:lastRenderedPageBreak/>
        <w:t>Ambulatoro pacientu vizītēm jāieplāno ilgāks pieņemšanas laiks, lai novērstu pacientu pulcēšanos uzgaidāmajās telpās.</w:t>
      </w:r>
    </w:p>
    <w:p w:rsidR="00EC743A" w:rsidRDefault="00EC743A" w:rsidP="00EC743A">
      <w:pPr>
        <w:spacing w:after="0" w:line="240" w:lineRule="auto"/>
        <w:jc w:val="both"/>
        <w:rPr>
          <w:rFonts w:ascii="Times New Roman" w:hAnsi="Times New Roman"/>
          <w:sz w:val="28"/>
          <w:szCs w:val="28"/>
          <w:lang w:val="lv-LV"/>
        </w:rPr>
      </w:pPr>
    </w:p>
    <w:p w:rsidR="00EC743A" w:rsidRDefault="00EC743A" w:rsidP="00EC743A">
      <w:pPr>
        <w:spacing w:after="0"/>
        <w:jc w:val="both"/>
        <w:rPr>
          <w:rFonts w:ascii="Times New Roman" w:hAnsi="Times New Roman" w:cs="Times New Roman"/>
          <w:sz w:val="28"/>
          <w:szCs w:val="28"/>
          <w:lang w:val="lv-LV"/>
        </w:rPr>
      </w:pPr>
    </w:p>
    <w:p w:rsidR="00EC743A" w:rsidRPr="007E5F4D" w:rsidRDefault="00EC743A" w:rsidP="00EC743A">
      <w:pPr>
        <w:spacing w:after="0"/>
        <w:jc w:val="both"/>
        <w:rPr>
          <w:rFonts w:ascii="Times New Roman" w:hAnsi="Times New Roman" w:cs="Times New Roman"/>
          <w:i/>
          <w:sz w:val="28"/>
          <w:szCs w:val="28"/>
          <w:lang w:val="lv-LV"/>
        </w:rPr>
      </w:pPr>
      <w:r w:rsidRPr="007E5F4D">
        <w:rPr>
          <w:rFonts w:ascii="Times New Roman" w:hAnsi="Times New Roman" w:cs="Times New Roman"/>
          <w:i/>
          <w:sz w:val="28"/>
          <w:szCs w:val="28"/>
          <w:lang w:val="lv-LV"/>
        </w:rPr>
        <w:t>*Sagatavots izmantojot Veselīb</w:t>
      </w:r>
      <w:r>
        <w:rPr>
          <w:rFonts w:ascii="Times New Roman" w:hAnsi="Times New Roman" w:cs="Times New Roman"/>
          <w:i/>
          <w:sz w:val="28"/>
          <w:szCs w:val="28"/>
          <w:lang w:val="lv-LV"/>
        </w:rPr>
        <w:t xml:space="preserve">as ministrijas un </w:t>
      </w:r>
      <w:r w:rsidRPr="000D3671">
        <w:rPr>
          <w:rFonts w:ascii="Times New Roman" w:hAnsi="Times New Roman" w:cs="Times New Roman"/>
          <w:i/>
          <w:sz w:val="28"/>
          <w:szCs w:val="28"/>
          <w:lang w:val="lv-LV"/>
        </w:rPr>
        <w:t xml:space="preserve">Neatliekamās </w:t>
      </w:r>
      <w:r>
        <w:rPr>
          <w:rFonts w:ascii="Times New Roman" w:hAnsi="Times New Roman" w:cs="Times New Roman"/>
          <w:i/>
          <w:sz w:val="28"/>
          <w:szCs w:val="28"/>
          <w:lang w:val="lv-LV"/>
        </w:rPr>
        <w:t xml:space="preserve">medicīniskās palīdzības dienesta  </w:t>
      </w:r>
      <w:r w:rsidRPr="007E5F4D">
        <w:rPr>
          <w:rFonts w:ascii="Times New Roman" w:hAnsi="Times New Roman" w:cs="Times New Roman"/>
          <w:i/>
          <w:sz w:val="28"/>
          <w:szCs w:val="28"/>
          <w:lang w:val="lv-LV"/>
        </w:rPr>
        <w:t>sniegto informāciju</w:t>
      </w:r>
    </w:p>
    <w:p w:rsidR="00EC743A" w:rsidRDefault="00EC743A" w:rsidP="00EC743A">
      <w:pPr>
        <w:spacing w:after="0"/>
        <w:jc w:val="both"/>
        <w:rPr>
          <w:rFonts w:ascii="Times New Roman" w:hAnsi="Times New Roman" w:cs="Times New Roman"/>
          <w:sz w:val="28"/>
          <w:szCs w:val="28"/>
          <w:lang w:val="lv-LV"/>
        </w:rPr>
      </w:pPr>
    </w:p>
    <w:p w:rsidR="00EC743A" w:rsidRDefault="00EC743A" w:rsidP="00EC743A">
      <w:pPr>
        <w:spacing w:after="0"/>
        <w:jc w:val="both"/>
        <w:rPr>
          <w:rFonts w:ascii="Times New Roman" w:hAnsi="Times New Roman" w:cs="Times New Roman"/>
          <w:sz w:val="28"/>
          <w:szCs w:val="28"/>
          <w:lang w:val="lv-LV"/>
        </w:rPr>
      </w:pPr>
    </w:p>
    <w:p w:rsidR="00EC743A" w:rsidRDefault="00EC743A" w:rsidP="00EC743A">
      <w:pPr>
        <w:spacing w:after="0"/>
        <w:jc w:val="both"/>
        <w:rPr>
          <w:rFonts w:ascii="Times New Roman" w:hAnsi="Times New Roman" w:cs="Times New Roman"/>
          <w:sz w:val="28"/>
          <w:szCs w:val="28"/>
          <w:lang w:val="lv-LV"/>
        </w:rPr>
      </w:pPr>
    </w:p>
    <w:p w:rsidR="00EC743A" w:rsidRDefault="00EC743A" w:rsidP="00EC743A">
      <w:pPr>
        <w:spacing w:after="0"/>
        <w:jc w:val="both"/>
        <w:rPr>
          <w:rFonts w:ascii="Times New Roman" w:hAnsi="Times New Roman" w:cs="Times New Roman"/>
          <w:sz w:val="28"/>
          <w:szCs w:val="28"/>
          <w:lang w:val="lv-LV"/>
        </w:rPr>
      </w:pPr>
    </w:p>
    <w:p w:rsidR="00EC743A" w:rsidRPr="00146202" w:rsidRDefault="00EC743A" w:rsidP="00EC743A">
      <w:pPr>
        <w:spacing w:after="0"/>
        <w:jc w:val="both"/>
        <w:rPr>
          <w:rFonts w:ascii="Times New Roman" w:hAnsi="Times New Roman" w:cs="Times New Roman"/>
          <w:sz w:val="28"/>
          <w:szCs w:val="28"/>
          <w:lang w:val="lv-LV"/>
        </w:rPr>
      </w:pPr>
    </w:p>
    <w:p w:rsidR="00EC743A" w:rsidRPr="007E4B9F" w:rsidRDefault="00EC743A" w:rsidP="00EC743A">
      <w:pPr>
        <w:spacing w:after="0"/>
        <w:jc w:val="both"/>
        <w:rPr>
          <w:rFonts w:ascii="Times New Roman" w:hAnsi="Times New Roman" w:cs="Times New Roman"/>
          <w:sz w:val="28"/>
          <w:szCs w:val="28"/>
          <w:lang w:val="lv-LV"/>
        </w:rPr>
      </w:pPr>
      <w:r w:rsidRPr="007E4B9F">
        <w:rPr>
          <w:rFonts w:ascii="Times New Roman" w:hAnsi="Times New Roman" w:cs="Times New Roman"/>
          <w:sz w:val="28"/>
          <w:szCs w:val="28"/>
          <w:lang w:val="lv-LV"/>
        </w:rPr>
        <w:t xml:space="preserve">Krīzes vadības padomes sekretariāta </w:t>
      </w:r>
    </w:p>
    <w:p w:rsidR="00EC743A" w:rsidRPr="007E4B9F" w:rsidRDefault="00EC743A" w:rsidP="00EC743A">
      <w:pPr>
        <w:spacing w:after="0"/>
        <w:jc w:val="both"/>
        <w:rPr>
          <w:rFonts w:ascii="Times New Roman" w:hAnsi="Times New Roman" w:cs="Times New Roman"/>
          <w:sz w:val="28"/>
          <w:szCs w:val="28"/>
          <w:lang w:val="lv-LV"/>
        </w:rPr>
      </w:pPr>
      <w:r w:rsidRPr="007E4B9F">
        <w:rPr>
          <w:rFonts w:ascii="Times New Roman" w:hAnsi="Times New Roman" w:cs="Times New Roman"/>
          <w:sz w:val="28"/>
          <w:szCs w:val="28"/>
          <w:lang w:val="lv-LV"/>
        </w:rPr>
        <w:t>vadītāja pienākumu izpildītājs</w:t>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t xml:space="preserve">   </w:t>
      </w:r>
      <w:r w:rsidRPr="007E4B9F">
        <w:rPr>
          <w:rFonts w:ascii="Times New Roman" w:hAnsi="Times New Roman" w:cs="Times New Roman"/>
          <w:sz w:val="28"/>
          <w:szCs w:val="28"/>
          <w:lang w:val="lv-LV"/>
        </w:rPr>
        <w:tab/>
        <w:t>K.Druvaskalns</w:t>
      </w:r>
    </w:p>
    <w:p w:rsidR="00EC743A" w:rsidRDefault="00EC743A" w:rsidP="00EC743A">
      <w:pPr>
        <w:spacing w:after="0"/>
        <w:jc w:val="both"/>
        <w:rPr>
          <w:rFonts w:ascii="Times New Roman" w:hAnsi="Times New Roman" w:cs="Times New Roman"/>
          <w:sz w:val="28"/>
          <w:szCs w:val="28"/>
          <w:lang w:val="lv-LV"/>
        </w:rPr>
      </w:pPr>
    </w:p>
    <w:p w:rsidR="00EC743A" w:rsidRDefault="00EC743A" w:rsidP="00EC743A">
      <w:pPr>
        <w:spacing w:after="0"/>
        <w:jc w:val="both"/>
        <w:rPr>
          <w:rFonts w:ascii="Times New Roman" w:hAnsi="Times New Roman" w:cs="Times New Roman"/>
          <w:sz w:val="28"/>
          <w:szCs w:val="28"/>
          <w:lang w:val="lv-LV"/>
        </w:rPr>
      </w:pPr>
    </w:p>
    <w:p w:rsidR="00EC743A" w:rsidRDefault="00EC743A" w:rsidP="00EC743A">
      <w:pPr>
        <w:spacing w:after="0"/>
        <w:jc w:val="both"/>
        <w:rPr>
          <w:rFonts w:ascii="Times New Roman" w:hAnsi="Times New Roman" w:cs="Times New Roman"/>
          <w:sz w:val="28"/>
          <w:szCs w:val="28"/>
          <w:lang w:val="lv-LV"/>
        </w:rPr>
      </w:pPr>
    </w:p>
    <w:p w:rsidR="00EC743A" w:rsidRDefault="00EC743A" w:rsidP="00EC743A">
      <w:pPr>
        <w:spacing w:after="0"/>
        <w:jc w:val="both"/>
        <w:rPr>
          <w:rFonts w:ascii="Times New Roman" w:hAnsi="Times New Roman" w:cs="Times New Roman"/>
          <w:sz w:val="28"/>
          <w:szCs w:val="28"/>
          <w:lang w:val="lv-LV"/>
        </w:rPr>
      </w:pPr>
    </w:p>
    <w:p w:rsidR="00EC743A" w:rsidRPr="007E4B9F" w:rsidRDefault="00EC743A" w:rsidP="00EC743A">
      <w:pPr>
        <w:spacing w:after="0"/>
        <w:jc w:val="both"/>
        <w:rPr>
          <w:rFonts w:ascii="Times New Roman" w:hAnsi="Times New Roman" w:cs="Times New Roman"/>
          <w:sz w:val="28"/>
          <w:szCs w:val="28"/>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Default="00EC743A" w:rsidP="00EC743A">
      <w:pPr>
        <w:spacing w:after="0" w:line="240" w:lineRule="auto"/>
        <w:jc w:val="center"/>
        <w:rPr>
          <w:rFonts w:ascii="Times New Roman" w:eastAsia="Times New Roman" w:hAnsi="Times New Roman" w:cs="Times New Roman"/>
          <w:sz w:val="24"/>
          <w:szCs w:val="24"/>
          <w:lang w:val="lv-LV"/>
        </w:rPr>
      </w:pPr>
    </w:p>
    <w:p w:rsidR="00EC743A" w:rsidRPr="007E4B9F" w:rsidRDefault="00EC743A" w:rsidP="00EC743A">
      <w:pPr>
        <w:spacing w:after="0" w:line="240" w:lineRule="auto"/>
        <w:jc w:val="center"/>
        <w:rPr>
          <w:rFonts w:ascii="Times New Roman" w:eastAsia="Times New Roman" w:hAnsi="Times New Roman" w:cs="Times New Roman"/>
          <w:sz w:val="24"/>
          <w:szCs w:val="24"/>
          <w:lang w:val="lv-LV"/>
        </w:rPr>
      </w:pPr>
    </w:p>
    <w:p w:rsidR="002C0793" w:rsidRPr="00EC743A" w:rsidRDefault="00EC743A" w:rsidP="00EC743A">
      <w:pPr>
        <w:spacing w:after="0" w:line="240" w:lineRule="auto"/>
        <w:jc w:val="center"/>
        <w:rPr>
          <w:rFonts w:ascii="Times New Roman" w:eastAsia="Times New Roman" w:hAnsi="Times New Roman" w:cs="Times New Roman"/>
          <w:sz w:val="24"/>
          <w:szCs w:val="24"/>
          <w:lang w:val="lv-LV"/>
        </w:rPr>
      </w:pPr>
      <w:r w:rsidRPr="007E4B9F">
        <w:rPr>
          <w:rFonts w:ascii="Times New Roman" w:eastAsia="Times New Roman" w:hAnsi="Times New Roman" w:cs="Times New Roman"/>
          <w:sz w:val="24"/>
          <w:szCs w:val="24"/>
          <w:lang w:val="lv-LV"/>
        </w:rPr>
        <w:t>ŠIS DOKUMENTS IR ELEKTRONISKI PARAKSTĪTS AR DROŠU ELEKTRONISKO PARAKSTU UN SATUR LAIKA ZĪMOGU</w:t>
      </w:r>
    </w:p>
    <w:sectPr w:rsidR="002C0793" w:rsidRPr="00EC743A" w:rsidSect="002C0793">
      <w:headerReference w:type="default" r:id="rId17"/>
      <w:pgSz w:w="11906" w:h="16838"/>
      <w:pgMar w:top="709" w:right="849"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0B3" w:rsidRDefault="00B070B3" w:rsidP="00580C19">
      <w:pPr>
        <w:spacing w:after="0" w:line="240" w:lineRule="auto"/>
      </w:pPr>
      <w:r>
        <w:separator/>
      </w:r>
    </w:p>
  </w:endnote>
  <w:endnote w:type="continuationSeparator" w:id="0">
    <w:p w:rsidR="00B070B3" w:rsidRDefault="00B070B3" w:rsidP="0058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0B3" w:rsidRDefault="00B070B3" w:rsidP="00580C19">
      <w:pPr>
        <w:spacing w:after="0" w:line="240" w:lineRule="auto"/>
      </w:pPr>
      <w:r>
        <w:separator/>
      </w:r>
    </w:p>
  </w:footnote>
  <w:footnote w:type="continuationSeparator" w:id="0">
    <w:p w:rsidR="00B070B3" w:rsidRDefault="00B070B3" w:rsidP="00580C19">
      <w:pPr>
        <w:spacing w:after="0" w:line="240" w:lineRule="auto"/>
      </w:pPr>
      <w:r>
        <w:continuationSeparator/>
      </w:r>
    </w:p>
  </w:footnote>
  <w:footnote w:id="1">
    <w:p w:rsidR="00EC743A" w:rsidRPr="003273D0" w:rsidRDefault="00EC743A" w:rsidP="00EC743A">
      <w:pPr>
        <w:pStyle w:val="Vresteksts"/>
        <w:rPr>
          <w:u w:val="single"/>
          <w:lang w:val="lv-LV"/>
        </w:rPr>
      </w:pPr>
      <w:r w:rsidRPr="003273D0">
        <w:rPr>
          <w:rStyle w:val="Vresatsauce"/>
        </w:rPr>
        <w:footnoteRef/>
      </w:r>
      <w:r w:rsidRPr="003273D0">
        <w:rPr>
          <w:u w:val="single"/>
          <w:lang w:val="lv-LV"/>
        </w:rPr>
        <w:t xml:space="preserve"> Izmantotie materiāli:</w:t>
      </w:r>
    </w:p>
    <w:p w:rsidR="00EC743A" w:rsidRPr="00085B70" w:rsidRDefault="00EC743A" w:rsidP="00EC743A">
      <w:pPr>
        <w:pStyle w:val="Vresteksts"/>
        <w:rPr>
          <w:lang w:val="lv-LV"/>
        </w:rPr>
      </w:pPr>
      <w:r w:rsidRPr="00085B70">
        <w:rPr>
          <w:lang w:val="lv-LV"/>
        </w:rPr>
        <w:t>Contact traci</w:t>
      </w:r>
      <w:r>
        <w:rPr>
          <w:lang w:val="lv-LV"/>
        </w:rPr>
        <w:t xml:space="preserve">ng: public health management of </w:t>
      </w:r>
      <w:r w:rsidRPr="00085B70">
        <w:rPr>
          <w:lang w:val="lv-LV"/>
        </w:rPr>
        <w:t>persons, inclu</w:t>
      </w:r>
      <w:r>
        <w:rPr>
          <w:lang w:val="lv-LV"/>
        </w:rPr>
        <w:t xml:space="preserve">ding healthcare workers, having </w:t>
      </w:r>
      <w:r w:rsidRPr="00085B70">
        <w:rPr>
          <w:lang w:val="lv-LV"/>
        </w:rPr>
        <w:t>had contact with</w:t>
      </w:r>
      <w:r>
        <w:rPr>
          <w:lang w:val="lv-LV"/>
        </w:rPr>
        <w:t xml:space="preserve"> COVID-19 cases in the European </w:t>
      </w:r>
      <w:r w:rsidRPr="00085B70">
        <w:rPr>
          <w:lang w:val="lv-LV"/>
        </w:rPr>
        <w:t>Union – second update</w:t>
      </w:r>
      <w:r>
        <w:rPr>
          <w:lang w:val="lv-LV"/>
        </w:rPr>
        <w:t xml:space="preserve"> // </w:t>
      </w:r>
      <w:hyperlink r:id="rId1" w:history="1">
        <w:r w:rsidRPr="00F9521D">
          <w:rPr>
            <w:rStyle w:val="Hipersaite"/>
            <w:lang w:val="lv-LV"/>
          </w:rPr>
          <w:t>https://www.ecdc.europa.eu/sites/default/files/documents/Contact-tracing-Public-health-management-persons-including-healthcare-workers-having-had-contact-with-COVID-19-cases-in-the-European-Union%E2%80%93second-update_0.pdf</w:t>
        </w:r>
      </w:hyperlink>
      <w:r>
        <w:rPr>
          <w:lang w:val="lv-LV"/>
        </w:rPr>
        <w:t xml:space="preserve"> </w:t>
      </w:r>
    </w:p>
    <w:p w:rsidR="00EC743A" w:rsidRPr="00085B70" w:rsidRDefault="00EC743A" w:rsidP="00EC743A">
      <w:pPr>
        <w:pStyle w:val="Vresteksts"/>
        <w:rPr>
          <w:lang w:val="lv-LV"/>
        </w:rPr>
      </w:pPr>
      <w:r w:rsidRPr="00085B70">
        <w:rPr>
          <w:lang w:val="lv-LV"/>
        </w:rPr>
        <w:t>Infec</w:t>
      </w:r>
      <w:r>
        <w:rPr>
          <w:lang w:val="lv-LV"/>
        </w:rPr>
        <w:t xml:space="preserve">tion prevention and control and </w:t>
      </w:r>
      <w:r w:rsidRPr="00085B70">
        <w:rPr>
          <w:lang w:val="lv-LV"/>
        </w:rPr>
        <w:t>prepared</w:t>
      </w:r>
      <w:r>
        <w:rPr>
          <w:lang w:val="lv-LV"/>
        </w:rPr>
        <w:t xml:space="preserve">ness for COVID-19 in healthcare </w:t>
      </w:r>
      <w:r w:rsidRPr="00085B70">
        <w:rPr>
          <w:lang w:val="lv-LV"/>
        </w:rPr>
        <w:t>settings</w:t>
      </w:r>
      <w:r>
        <w:rPr>
          <w:lang w:val="lv-LV"/>
        </w:rPr>
        <w:t xml:space="preserve"> // </w:t>
      </w:r>
      <w:hyperlink r:id="rId2" w:history="1">
        <w:r w:rsidRPr="00F9521D">
          <w:rPr>
            <w:rStyle w:val="Hipersaite"/>
            <w:lang w:val="lv-LV"/>
          </w:rPr>
          <w:t>https://www.ecdc.europa.eu/sites/default/files/documents/Infection-prevention-control-for-the-care-of-patients-with-2019-nCoV-healthcare-settings_update-31-March-2020.pdf</w:t>
        </w:r>
      </w:hyperlink>
      <w:r>
        <w:rPr>
          <w:lang w:val="lv-LV"/>
        </w:rPr>
        <w:t xml:space="preserve"> </w:t>
      </w:r>
    </w:p>
    <w:p w:rsidR="00EC743A" w:rsidRPr="00085B70" w:rsidRDefault="00EC743A" w:rsidP="00EC743A">
      <w:pPr>
        <w:pStyle w:val="Vresteksts"/>
        <w:rPr>
          <w:lang w:val="lv-LV"/>
        </w:rPr>
      </w:pPr>
      <w:r w:rsidRPr="00085B70">
        <w:rPr>
          <w:lang w:val="lv-LV"/>
        </w:rPr>
        <w:t>Guidanc</w:t>
      </w:r>
      <w:r>
        <w:rPr>
          <w:lang w:val="lv-LV"/>
        </w:rPr>
        <w:t xml:space="preserve">e for health system contingency </w:t>
      </w:r>
      <w:r w:rsidRPr="00085B70">
        <w:rPr>
          <w:lang w:val="lv-LV"/>
        </w:rPr>
        <w:t>planning during w</w:t>
      </w:r>
      <w:r>
        <w:rPr>
          <w:lang w:val="lv-LV"/>
        </w:rPr>
        <w:t xml:space="preserve">idespread transmission of </w:t>
      </w:r>
      <w:r w:rsidRPr="00085B70">
        <w:rPr>
          <w:lang w:val="lv-LV"/>
        </w:rPr>
        <w:t>SARS-CoV-2</w:t>
      </w:r>
      <w:r>
        <w:rPr>
          <w:lang w:val="lv-LV"/>
        </w:rPr>
        <w:t xml:space="preserve"> with high impact on healthcare </w:t>
      </w:r>
      <w:r w:rsidRPr="00085B70">
        <w:rPr>
          <w:lang w:val="lv-LV"/>
        </w:rPr>
        <w:t>services</w:t>
      </w:r>
      <w:r>
        <w:rPr>
          <w:lang w:val="lv-LV"/>
        </w:rPr>
        <w:t xml:space="preserve"> // </w:t>
      </w:r>
      <w:hyperlink r:id="rId3" w:history="1">
        <w:r w:rsidRPr="00F9521D">
          <w:rPr>
            <w:rStyle w:val="Hipersaite"/>
            <w:lang w:val="lv-LV"/>
          </w:rPr>
          <w:t>https://www.ecdc.europa.eu/sites/default/files/documents/COVID-19-guidance-health-systems-contingency-planning.pdf</w:t>
        </w:r>
      </w:hyperlink>
      <w:r>
        <w:rPr>
          <w:lang w:val="lv-LV"/>
        </w:rPr>
        <w:t xml:space="preserve"> </w:t>
      </w:r>
    </w:p>
    <w:p w:rsidR="00EC743A" w:rsidRPr="00085B70" w:rsidRDefault="00EC743A" w:rsidP="00EC743A">
      <w:pPr>
        <w:pStyle w:val="Vresteksts"/>
        <w:rPr>
          <w:lang w:val="lv-LV"/>
        </w:rPr>
      </w:pPr>
      <w:r w:rsidRPr="00085B70">
        <w:rPr>
          <w:lang w:val="lv-LV"/>
        </w:rPr>
        <w:t>Interim Infection Prevention and Control Recommendations for Patients with Suspected or Confirmed Coronavirus Disease 2019 (COVID-19) in Healthcare Settings</w:t>
      </w:r>
      <w:r>
        <w:rPr>
          <w:lang w:val="lv-LV"/>
        </w:rPr>
        <w:t xml:space="preserve"> // </w:t>
      </w:r>
      <w:hyperlink r:id="rId4" w:history="1">
        <w:r w:rsidRPr="00F9521D">
          <w:rPr>
            <w:rStyle w:val="Hipersaite"/>
            <w:lang w:val="lv-LV"/>
          </w:rPr>
          <w:t>https://www.cdc.gov/coronavirus/2019-ncov/hcp/infection-control-recommendations.html</w:t>
        </w:r>
      </w:hyperlink>
      <w:r>
        <w:rPr>
          <w:lang w:val="lv-LV"/>
        </w:rPr>
        <w:t xml:space="preserve"> </w:t>
      </w:r>
    </w:p>
    <w:p w:rsidR="00EC743A" w:rsidRPr="00085B70" w:rsidRDefault="00EC743A" w:rsidP="00EC743A">
      <w:pPr>
        <w:pStyle w:val="Vresteksts"/>
        <w:rPr>
          <w:lang w:val="lv-LV"/>
        </w:rPr>
      </w:pPr>
      <w:r>
        <w:t>Zarzaur BL, Stahl CC, Greenberg JA, Savage SA, Minter RM. Blueprint for Restructuring a Department of Surgery in Concert With the Health Care System During a Pandemic: The University of Wisconsin Experience. JAMA Surg. 2020 Apr 14. doi: 10.1001/jamasurg.2020.1386.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978326"/>
      <w:docPartObj>
        <w:docPartGallery w:val="Page Numbers (Top of Page)"/>
        <w:docPartUnique/>
      </w:docPartObj>
    </w:sdtPr>
    <w:sdtEndPr/>
    <w:sdtContent>
      <w:p w:rsidR="002C0793" w:rsidRDefault="002C0793">
        <w:pPr>
          <w:pStyle w:val="Galvene"/>
          <w:jc w:val="center"/>
        </w:pPr>
        <w:r w:rsidRPr="002C0793">
          <w:rPr>
            <w:rFonts w:ascii="Times New Roman" w:hAnsi="Times New Roman" w:cs="Times New Roman"/>
            <w:sz w:val="24"/>
            <w:szCs w:val="24"/>
          </w:rPr>
          <w:fldChar w:fldCharType="begin"/>
        </w:r>
        <w:r w:rsidRPr="002C0793">
          <w:rPr>
            <w:rFonts w:ascii="Times New Roman" w:hAnsi="Times New Roman" w:cs="Times New Roman"/>
            <w:sz w:val="24"/>
            <w:szCs w:val="24"/>
          </w:rPr>
          <w:instrText>PAGE   \* MERGEFORMAT</w:instrText>
        </w:r>
        <w:r w:rsidRPr="002C0793">
          <w:rPr>
            <w:rFonts w:ascii="Times New Roman" w:hAnsi="Times New Roman" w:cs="Times New Roman"/>
            <w:sz w:val="24"/>
            <w:szCs w:val="24"/>
          </w:rPr>
          <w:fldChar w:fldCharType="separate"/>
        </w:r>
        <w:r w:rsidR="00400B14" w:rsidRPr="00400B14">
          <w:rPr>
            <w:rFonts w:ascii="Times New Roman" w:hAnsi="Times New Roman" w:cs="Times New Roman"/>
            <w:noProof/>
            <w:sz w:val="24"/>
            <w:szCs w:val="24"/>
            <w:lang w:val="lv-LV"/>
          </w:rPr>
          <w:t>8</w:t>
        </w:r>
        <w:r w:rsidRPr="002C0793">
          <w:rPr>
            <w:rFonts w:ascii="Times New Roman" w:hAnsi="Times New Roman" w:cs="Times New Roman"/>
            <w:sz w:val="24"/>
            <w:szCs w:val="24"/>
          </w:rPr>
          <w:fldChar w:fldCharType="end"/>
        </w:r>
      </w:p>
    </w:sdtContent>
  </w:sdt>
  <w:p w:rsidR="002C0793" w:rsidRDefault="002C079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F1C6C"/>
    <w:multiLevelType w:val="hybridMultilevel"/>
    <w:tmpl w:val="A676A370"/>
    <w:lvl w:ilvl="0" w:tplc="604E0A4E">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91"/>
    <w:rsid w:val="000A1BB0"/>
    <w:rsid w:val="000D3671"/>
    <w:rsid w:val="00114843"/>
    <w:rsid w:val="00146202"/>
    <w:rsid w:val="001E0EE9"/>
    <w:rsid w:val="002C0793"/>
    <w:rsid w:val="002E2EFF"/>
    <w:rsid w:val="003331F8"/>
    <w:rsid w:val="003D30C6"/>
    <w:rsid w:val="00400B14"/>
    <w:rsid w:val="00427EC7"/>
    <w:rsid w:val="00580C19"/>
    <w:rsid w:val="006C3580"/>
    <w:rsid w:val="00757F7C"/>
    <w:rsid w:val="00767C96"/>
    <w:rsid w:val="007E600F"/>
    <w:rsid w:val="00921733"/>
    <w:rsid w:val="00A17AD6"/>
    <w:rsid w:val="00A30D69"/>
    <w:rsid w:val="00A46A29"/>
    <w:rsid w:val="00A97787"/>
    <w:rsid w:val="00AD4126"/>
    <w:rsid w:val="00B070B3"/>
    <w:rsid w:val="00C64389"/>
    <w:rsid w:val="00CC325C"/>
    <w:rsid w:val="00E25791"/>
    <w:rsid w:val="00E309FA"/>
    <w:rsid w:val="00EC743A"/>
    <w:rsid w:val="00ED4A78"/>
    <w:rsid w:val="00F46BCE"/>
    <w:rsid w:val="00F8536C"/>
    <w:rsid w:val="00F93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49A62-299A-4EC3-9061-410E78CE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743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580C1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80C19"/>
    <w:rPr>
      <w:sz w:val="20"/>
      <w:szCs w:val="20"/>
    </w:rPr>
  </w:style>
  <w:style w:type="character" w:styleId="Vresatsauce">
    <w:name w:val="footnote reference"/>
    <w:basedOn w:val="Noklusjumarindkopasfonts"/>
    <w:uiPriority w:val="99"/>
    <w:semiHidden/>
    <w:unhideWhenUsed/>
    <w:rsid w:val="00580C19"/>
    <w:rPr>
      <w:vertAlign w:val="superscript"/>
    </w:rPr>
  </w:style>
  <w:style w:type="character" w:styleId="Hipersaite">
    <w:name w:val="Hyperlink"/>
    <w:basedOn w:val="Noklusjumarindkopasfonts"/>
    <w:uiPriority w:val="99"/>
    <w:unhideWhenUsed/>
    <w:rsid w:val="00580C19"/>
    <w:rPr>
      <w:color w:val="0563C1" w:themeColor="hyperlink"/>
      <w:u w:val="single"/>
    </w:rPr>
  </w:style>
  <w:style w:type="paragraph" w:styleId="Galvene">
    <w:name w:val="header"/>
    <w:basedOn w:val="Parasts"/>
    <w:link w:val="GalveneRakstz"/>
    <w:uiPriority w:val="99"/>
    <w:unhideWhenUsed/>
    <w:rsid w:val="002C079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C0793"/>
  </w:style>
  <w:style w:type="paragraph" w:styleId="Kjene">
    <w:name w:val="footer"/>
    <w:basedOn w:val="Parasts"/>
    <w:link w:val="KjeneRakstz"/>
    <w:uiPriority w:val="99"/>
    <w:unhideWhenUsed/>
    <w:rsid w:val="002C079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C0793"/>
  </w:style>
  <w:style w:type="paragraph" w:styleId="Sarakstarindkopa">
    <w:name w:val="List Paragraph"/>
    <w:basedOn w:val="Parasts"/>
    <w:uiPriority w:val="34"/>
    <w:qFormat/>
    <w:rsid w:val="00E30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3" Type="http://schemas.openxmlformats.org/officeDocument/2006/relationships/hyperlink" Target="https://www.ecdc.europa.eu/sites/default/files/documents/COVID-19-guidance-health-systems-contingency-planning.pdf" TargetMode="External"/><Relationship Id="rId2" Type="http://schemas.openxmlformats.org/officeDocument/2006/relationships/hyperlink" Target="https://www.ecdc.europa.eu/sites/default/files/documents/Infection-prevention-control-for-the-care-of-patients-with-2019-nCoV-healthcare-settings_update-31-March-2020.pdf" TargetMode="External"/><Relationship Id="rId1" Type="http://schemas.openxmlformats.org/officeDocument/2006/relationships/hyperlink" Target="https://www.ecdc.europa.eu/sites/default/files/documents/Contact-tracing-Public-health-management-persons-including-healthcare-workers-having-had-contact-with-COVID-19-cases-in-the-European-Union%E2%80%93second-update_0.pdf" TargetMode="External"/><Relationship Id="rId4" Type="http://schemas.openxmlformats.org/officeDocument/2006/relationships/hyperlink" Target="https://www.cdc.gov/coronavirus/2019-ncov/hcp/infection-control-recommendations.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lapa1.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lapa2.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darblapa3.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'Sagatavoti 260420'!$A$3</c:f>
              <c:strCache>
                <c:ptCount val="1"/>
                <c:pt idx="0">
                  <c:v> Ienākošie zvani '113'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'Sagatavoti 260420'!$B$2:$BE$2</c:f>
              <c:numCache>
                <c:formatCode>m/d/yyyy</c:formatCode>
                <c:ptCount val="56"/>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numCache>
            </c:numRef>
          </c:cat>
          <c:val>
            <c:numRef>
              <c:f>'Sagatavoti 260420'!$B$3:$BE$3</c:f>
              <c:numCache>
                <c:formatCode>General</c:formatCode>
                <c:ptCount val="56"/>
                <c:pt idx="0">
                  <c:v>1649</c:v>
                </c:pt>
                <c:pt idx="1">
                  <c:v>1823</c:v>
                </c:pt>
                <c:pt idx="2">
                  <c:v>1787</c:v>
                </c:pt>
                <c:pt idx="3">
                  <c:v>1646</c:v>
                </c:pt>
                <c:pt idx="4">
                  <c:v>1718</c:v>
                </c:pt>
                <c:pt idx="5">
                  <c:v>1717</c:v>
                </c:pt>
                <c:pt idx="6">
                  <c:v>1819</c:v>
                </c:pt>
                <c:pt idx="7">
                  <c:v>1760</c:v>
                </c:pt>
                <c:pt idx="8">
                  <c:v>1869</c:v>
                </c:pt>
                <c:pt idx="9">
                  <c:v>1688</c:v>
                </c:pt>
                <c:pt idx="10">
                  <c:v>1985</c:v>
                </c:pt>
                <c:pt idx="11">
                  <c:v>3309</c:v>
                </c:pt>
                <c:pt idx="12">
                  <c:v>3538</c:v>
                </c:pt>
                <c:pt idx="13">
                  <c:v>3968</c:v>
                </c:pt>
                <c:pt idx="14">
                  <c:v>3291</c:v>
                </c:pt>
                <c:pt idx="15">
                  <c:v>4870</c:v>
                </c:pt>
                <c:pt idx="16">
                  <c:v>4068</c:v>
                </c:pt>
                <c:pt idx="17">
                  <c:v>3132</c:v>
                </c:pt>
                <c:pt idx="18">
                  <c:v>2221</c:v>
                </c:pt>
                <c:pt idx="19">
                  <c:v>2127</c:v>
                </c:pt>
                <c:pt idx="20">
                  <c:v>2074</c:v>
                </c:pt>
                <c:pt idx="21">
                  <c:v>2068</c:v>
                </c:pt>
                <c:pt idx="22">
                  <c:v>2081</c:v>
                </c:pt>
                <c:pt idx="23">
                  <c:v>1703</c:v>
                </c:pt>
                <c:pt idx="24">
                  <c:v>1665</c:v>
                </c:pt>
                <c:pt idx="25">
                  <c:v>1664</c:v>
                </c:pt>
                <c:pt idx="26">
                  <c:v>1628</c:v>
                </c:pt>
                <c:pt idx="27">
                  <c:v>1789</c:v>
                </c:pt>
                <c:pt idx="28">
                  <c:v>1523</c:v>
                </c:pt>
                <c:pt idx="29">
                  <c:v>1595</c:v>
                </c:pt>
                <c:pt idx="30">
                  <c:v>1606</c:v>
                </c:pt>
                <c:pt idx="31">
                  <c:v>1443</c:v>
                </c:pt>
                <c:pt idx="32">
                  <c:v>1570</c:v>
                </c:pt>
                <c:pt idx="33">
                  <c:v>1583</c:v>
                </c:pt>
                <c:pt idx="34">
                  <c:v>1700</c:v>
                </c:pt>
                <c:pt idx="35">
                  <c:v>1563</c:v>
                </c:pt>
                <c:pt idx="36">
                  <c:v>1756</c:v>
                </c:pt>
                <c:pt idx="37">
                  <c:v>1574</c:v>
                </c:pt>
                <c:pt idx="38">
                  <c:v>1552</c:v>
                </c:pt>
                <c:pt idx="39">
                  <c:v>1581</c:v>
                </c:pt>
                <c:pt idx="40">
                  <c:v>1517</c:v>
                </c:pt>
                <c:pt idx="41">
                  <c:v>1707</c:v>
                </c:pt>
                <c:pt idx="42">
                  <c:v>1505</c:v>
                </c:pt>
                <c:pt idx="43">
                  <c:v>1405</c:v>
                </c:pt>
                <c:pt idx="44">
                  <c:v>1476</c:v>
                </c:pt>
                <c:pt idx="45">
                  <c:v>1446</c:v>
                </c:pt>
                <c:pt idx="46">
                  <c:v>1461</c:v>
                </c:pt>
                <c:pt idx="47">
                  <c:v>1561</c:v>
                </c:pt>
                <c:pt idx="48">
                  <c:v>1678</c:v>
                </c:pt>
                <c:pt idx="49">
                  <c:v>1527</c:v>
                </c:pt>
                <c:pt idx="50">
                  <c:v>1617</c:v>
                </c:pt>
                <c:pt idx="51">
                  <c:v>1534</c:v>
                </c:pt>
                <c:pt idx="52">
                  <c:v>1633</c:v>
                </c:pt>
                <c:pt idx="53">
                  <c:v>1575</c:v>
                </c:pt>
                <c:pt idx="54">
                  <c:v>1415</c:v>
                </c:pt>
                <c:pt idx="55">
                  <c:v>1698</c:v>
                </c:pt>
              </c:numCache>
            </c:numRef>
          </c:val>
          <c:smooth val="0"/>
        </c:ser>
        <c:ser>
          <c:idx val="1"/>
          <c:order val="1"/>
          <c:tx>
            <c:strRef>
              <c:f>'Sagatavoti 260420'!$A$4</c:f>
              <c:strCache>
                <c:ptCount val="1"/>
                <c:pt idx="0">
                  <c:v> Ienākošie zvani 66016001 (ārstu konsultācijas)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'Sagatavoti 260420'!$B$2:$BE$2</c:f>
              <c:numCache>
                <c:formatCode>m/d/yyyy</c:formatCode>
                <c:ptCount val="56"/>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numCache>
            </c:numRef>
          </c:cat>
          <c:val>
            <c:numRef>
              <c:f>'Sagatavoti 260420'!$B$4:$BE$4</c:f>
              <c:numCache>
                <c:formatCode>General</c:formatCode>
                <c:ptCount val="56"/>
                <c:pt idx="0">
                  <c:v>720</c:v>
                </c:pt>
                <c:pt idx="1">
                  <c:v>353</c:v>
                </c:pt>
                <c:pt idx="2">
                  <c:v>386</c:v>
                </c:pt>
                <c:pt idx="3">
                  <c:v>318</c:v>
                </c:pt>
                <c:pt idx="4">
                  <c:v>368</c:v>
                </c:pt>
                <c:pt idx="5">
                  <c:v>315</c:v>
                </c:pt>
                <c:pt idx="6">
                  <c:v>665</c:v>
                </c:pt>
                <c:pt idx="7">
                  <c:v>573</c:v>
                </c:pt>
                <c:pt idx="8">
                  <c:v>270</c:v>
                </c:pt>
                <c:pt idx="9">
                  <c:v>313</c:v>
                </c:pt>
                <c:pt idx="10">
                  <c:v>358</c:v>
                </c:pt>
                <c:pt idx="11">
                  <c:v>608</c:v>
                </c:pt>
                <c:pt idx="12">
                  <c:v>1771</c:v>
                </c:pt>
                <c:pt idx="13">
                  <c:v>1155</c:v>
                </c:pt>
                <c:pt idx="14">
                  <c:v>1543</c:v>
                </c:pt>
                <c:pt idx="15">
                  <c:v>607</c:v>
                </c:pt>
                <c:pt idx="16">
                  <c:v>653</c:v>
                </c:pt>
                <c:pt idx="17">
                  <c:v>547</c:v>
                </c:pt>
                <c:pt idx="18">
                  <c:v>748</c:v>
                </c:pt>
                <c:pt idx="19">
                  <c:v>748</c:v>
                </c:pt>
                <c:pt idx="20">
                  <c:v>1026</c:v>
                </c:pt>
                <c:pt idx="21">
                  <c:v>951</c:v>
                </c:pt>
                <c:pt idx="22">
                  <c:v>594</c:v>
                </c:pt>
                <c:pt idx="23">
                  <c:v>618</c:v>
                </c:pt>
                <c:pt idx="24">
                  <c:v>620</c:v>
                </c:pt>
                <c:pt idx="25">
                  <c:v>549</c:v>
                </c:pt>
                <c:pt idx="26">
                  <c:v>593</c:v>
                </c:pt>
                <c:pt idx="27">
                  <c:v>880</c:v>
                </c:pt>
                <c:pt idx="28">
                  <c:v>747</c:v>
                </c:pt>
                <c:pt idx="29">
                  <c:v>608</c:v>
                </c:pt>
                <c:pt idx="30">
                  <c:v>553</c:v>
                </c:pt>
                <c:pt idx="31">
                  <c:v>600</c:v>
                </c:pt>
                <c:pt idx="32">
                  <c:v>550</c:v>
                </c:pt>
                <c:pt idx="33">
                  <c:v>552</c:v>
                </c:pt>
                <c:pt idx="34">
                  <c:v>787</c:v>
                </c:pt>
                <c:pt idx="35">
                  <c:v>709</c:v>
                </c:pt>
                <c:pt idx="36">
                  <c:v>542</c:v>
                </c:pt>
                <c:pt idx="37">
                  <c:v>439</c:v>
                </c:pt>
                <c:pt idx="38">
                  <c:v>418</c:v>
                </c:pt>
                <c:pt idx="39">
                  <c:v>548</c:v>
                </c:pt>
                <c:pt idx="40">
                  <c:v>773</c:v>
                </c:pt>
                <c:pt idx="41">
                  <c:v>836</c:v>
                </c:pt>
                <c:pt idx="42">
                  <c:v>763</c:v>
                </c:pt>
                <c:pt idx="43">
                  <c:v>700</c:v>
                </c:pt>
                <c:pt idx="44">
                  <c:v>527</c:v>
                </c:pt>
                <c:pt idx="45">
                  <c:v>450</c:v>
                </c:pt>
                <c:pt idx="46">
                  <c:v>479</c:v>
                </c:pt>
                <c:pt idx="47">
                  <c:v>420</c:v>
                </c:pt>
                <c:pt idx="48">
                  <c:v>748</c:v>
                </c:pt>
                <c:pt idx="49">
                  <c:v>653</c:v>
                </c:pt>
                <c:pt idx="50">
                  <c:v>411</c:v>
                </c:pt>
                <c:pt idx="51">
                  <c:v>387</c:v>
                </c:pt>
                <c:pt idx="52">
                  <c:v>457</c:v>
                </c:pt>
                <c:pt idx="53">
                  <c:v>390</c:v>
                </c:pt>
                <c:pt idx="54">
                  <c:v>431</c:v>
                </c:pt>
                <c:pt idx="55">
                  <c:v>602</c:v>
                </c:pt>
              </c:numCache>
            </c:numRef>
          </c:val>
          <c:smooth val="0"/>
        </c:ser>
        <c:ser>
          <c:idx val="2"/>
          <c:order val="2"/>
          <c:tx>
            <c:strRef>
              <c:f>'Sagatavoti 260420'!$A$5</c:f>
              <c:strCache>
                <c:ptCount val="1"/>
                <c:pt idx="0">
                  <c:v>Ienākošo zvanu riska robeža</c:v>
                </c:pt>
              </c:strCache>
            </c:strRef>
          </c:tx>
          <c:spPr>
            <a:ln w="15875" cap="rnd">
              <a:solidFill>
                <a:srgbClr val="FF0000"/>
              </a:solidFill>
              <a:round/>
            </a:ln>
            <a:effectLst/>
          </c:spPr>
          <c:marker>
            <c:symbol val="none"/>
          </c:marker>
          <c:cat>
            <c:numRef>
              <c:f>'Sagatavoti 260420'!$B$2:$BE$2</c:f>
              <c:numCache>
                <c:formatCode>m/d/yyyy</c:formatCode>
                <c:ptCount val="56"/>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numCache>
            </c:numRef>
          </c:cat>
          <c:val>
            <c:numRef>
              <c:f>'Sagatavoti 260420'!$B$5:$BE$5</c:f>
              <c:numCache>
                <c:formatCode>General</c:formatCode>
                <c:ptCount val="56"/>
                <c:pt idx="0">
                  <c:v>1700</c:v>
                </c:pt>
                <c:pt idx="1">
                  <c:v>1700</c:v>
                </c:pt>
                <c:pt idx="2">
                  <c:v>1700</c:v>
                </c:pt>
                <c:pt idx="3">
                  <c:v>1700</c:v>
                </c:pt>
                <c:pt idx="4">
                  <c:v>1700</c:v>
                </c:pt>
                <c:pt idx="5">
                  <c:v>1700</c:v>
                </c:pt>
                <c:pt idx="6">
                  <c:v>1700</c:v>
                </c:pt>
                <c:pt idx="7">
                  <c:v>1700</c:v>
                </c:pt>
                <c:pt idx="8">
                  <c:v>1700</c:v>
                </c:pt>
                <c:pt idx="9">
                  <c:v>1700</c:v>
                </c:pt>
                <c:pt idx="10">
                  <c:v>1700</c:v>
                </c:pt>
                <c:pt idx="11">
                  <c:v>1700</c:v>
                </c:pt>
                <c:pt idx="12">
                  <c:v>1700</c:v>
                </c:pt>
                <c:pt idx="13">
                  <c:v>1700</c:v>
                </c:pt>
                <c:pt idx="14">
                  <c:v>1700</c:v>
                </c:pt>
                <c:pt idx="15">
                  <c:v>1700</c:v>
                </c:pt>
                <c:pt idx="16">
                  <c:v>1700</c:v>
                </c:pt>
                <c:pt idx="17">
                  <c:v>1700</c:v>
                </c:pt>
                <c:pt idx="18">
                  <c:v>1700</c:v>
                </c:pt>
                <c:pt idx="19">
                  <c:v>1700</c:v>
                </c:pt>
                <c:pt idx="20">
                  <c:v>1700</c:v>
                </c:pt>
                <c:pt idx="21">
                  <c:v>1700</c:v>
                </c:pt>
                <c:pt idx="22">
                  <c:v>1700</c:v>
                </c:pt>
                <c:pt idx="23">
                  <c:v>1700</c:v>
                </c:pt>
                <c:pt idx="24">
                  <c:v>1700</c:v>
                </c:pt>
                <c:pt idx="25">
                  <c:v>1700</c:v>
                </c:pt>
                <c:pt idx="26">
                  <c:v>1700</c:v>
                </c:pt>
                <c:pt idx="27">
                  <c:v>1700</c:v>
                </c:pt>
                <c:pt idx="28">
                  <c:v>1700</c:v>
                </c:pt>
                <c:pt idx="29">
                  <c:v>1700</c:v>
                </c:pt>
                <c:pt idx="30">
                  <c:v>1700</c:v>
                </c:pt>
                <c:pt idx="31">
                  <c:v>1700</c:v>
                </c:pt>
                <c:pt idx="32">
                  <c:v>1700</c:v>
                </c:pt>
                <c:pt idx="33">
                  <c:v>1700</c:v>
                </c:pt>
                <c:pt idx="34">
                  <c:v>1700</c:v>
                </c:pt>
                <c:pt idx="35">
                  <c:v>1700</c:v>
                </c:pt>
                <c:pt idx="36">
                  <c:v>1700</c:v>
                </c:pt>
                <c:pt idx="37">
                  <c:v>1700</c:v>
                </c:pt>
                <c:pt idx="38">
                  <c:v>1700</c:v>
                </c:pt>
                <c:pt idx="39">
                  <c:v>1700</c:v>
                </c:pt>
                <c:pt idx="40">
                  <c:v>1700</c:v>
                </c:pt>
                <c:pt idx="41">
                  <c:v>1700</c:v>
                </c:pt>
                <c:pt idx="42">
                  <c:v>1700</c:v>
                </c:pt>
                <c:pt idx="43">
                  <c:v>1700</c:v>
                </c:pt>
                <c:pt idx="44">
                  <c:v>1700</c:v>
                </c:pt>
                <c:pt idx="45">
                  <c:v>1700</c:v>
                </c:pt>
                <c:pt idx="46">
                  <c:v>1700</c:v>
                </c:pt>
                <c:pt idx="47">
                  <c:v>1700</c:v>
                </c:pt>
                <c:pt idx="48">
                  <c:v>1700</c:v>
                </c:pt>
                <c:pt idx="49">
                  <c:v>1700</c:v>
                </c:pt>
                <c:pt idx="50">
                  <c:v>1700</c:v>
                </c:pt>
                <c:pt idx="51">
                  <c:v>1700</c:v>
                </c:pt>
                <c:pt idx="52">
                  <c:v>1700</c:v>
                </c:pt>
                <c:pt idx="53">
                  <c:v>1700</c:v>
                </c:pt>
                <c:pt idx="54">
                  <c:v>1700</c:v>
                </c:pt>
                <c:pt idx="55">
                  <c:v>1700</c:v>
                </c:pt>
              </c:numCache>
            </c:numRef>
          </c:val>
          <c:smooth val="0"/>
        </c:ser>
        <c:dLbls>
          <c:showLegendKey val="0"/>
          <c:showVal val="0"/>
          <c:showCatName val="0"/>
          <c:showSerName val="0"/>
          <c:showPercent val="0"/>
          <c:showBubbleSize val="0"/>
        </c:dLbls>
        <c:marker val="1"/>
        <c:smooth val="0"/>
        <c:axId val="227459760"/>
        <c:axId val="227464464"/>
      </c:lineChart>
      <c:dateAx>
        <c:axId val="22745976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27464464"/>
        <c:crosses val="autoZero"/>
        <c:auto val="1"/>
        <c:lblOffset val="100"/>
        <c:baseTimeUnit val="days"/>
      </c:dateAx>
      <c:valAx>
        <c:axId val="22746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2745976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553004277022943E-2"/>
          <c:y val="0.22282482825682387"/>
          <c:w val="0.94464713183511106"/>
          <c:h val="0.59311429570080387"/>
        </c:manualLayout>
      </c:layout>
      <c:barChart>
        <c:barDir val="col"/>
        <c:grouping val="clustered"/>
        <c:varyColors val="0"/>
        <c:dLbls>
          <c:showLegendKey val="0"/>
          <c:showVal val="0"/>
          <c:showCatName val="0"/>
          <c:showSerName val="0"/>
          <c:showPercent val="0"/>
          <c:showBubbleSize val="0"/>
        </c:dLbls>
        <c:gapWidth val="150"/>
        <c:axId val="190180328"/>
        <c:axId val="190176800"/>
        <c:extLst>
          <c:ext xmlns:c15="http://schemas.microsoft.com/office/drawing/2012/chart" uri="{02D57815-91ED-43cb-92C2-25804820EDAC}">
            <c15:filteredBarSeries>
              <c15:ser>
                <c:idx val="1"/>
                <c:order val="1"/>
                <c:tx>
                  <c:strRef>
                    <c:extLst>
                      <c:ext uri="{02D57815-91ED-43cb-92C2-25804820EDAC}">
                        <c15:formulaRef>
                          <c15:sqref>'Sagatavoti 260220'!$A$6</c15:sqref>
                        </c15:formulaRef>
                      </c:ext>
                    </c:extLst>
                    <c:strCache>
                      <c:ptCount val="1"/>
                      <c:pt idx="0">
                        <c:v>Izpildīto izsaukumu skaits ar akūtu elpceļu saslimšanu t.sk. iespējamu/apstiprinātu COVID-19</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'Sagatavoti 260220'!$B$2:$BE$2</c15:sqref>
                        </c15:formulaRef>
                      </c:ext>
                    </c:extLst>
                    <c:numCache>
                      <c:formatCode>m/d/yyyy</c:formatCode>
                      <c:ptCount val="56"/>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numCache>
                  </c:numRef>
                </c:cat>
                <c:val>
                  <c:numRef>
                    <c:extLst>
                      <c:ext uri="{02D57815-91ED-43cb-92C2-25804820EDAC}">
                        <c15:formulaRef>
                          <c15:sqref>'Sagatavoti 260220'!$B$6:$BE$6</c15:sqref>
                        </c15:formulaRef>
                      </c:ext>
                    </c:extLst>
                    <c:numCache>
                      <c:formatCode>General</c:formatCode>
                      <c:ptCount val="56"/>
                      <c:pt idx="0">
                        <c:v>106</c:v>
                      </c:pt>
                      <c:pt idx="1">
                        <c:v>120</c:v>
                      </c:pt>
                      <c:pt idx="2">
                        <c:v>93</c:v>
                      </c:pt>
                      <c:pt idx="3">
                        <c:v>92</c:v>
                      </c:pt>
                      <c:pt idx="4">
                        <c:v>85</c:v>
                      </c:pt>
                      <c:pt idx="5">
                        <c:v>95</c:v>
                      </c:pt>
                      <c:pt idx="6">
                        <c:v>93</c:v>
                      </c:pt>
                      <c:pt idx="7">
                        <c:v>93</c:v>
                      </c:pt>
                      <c:pt idx="8">
                        <c:v>93</c:v>
                      </c:pt>
                      <c:pt idx="9">
                        <c:v>93</c:v>
                      </c:pt>
                      <c:pt idx="10">
                        <c:v>117</c:v>
                      </c:pt>
                      <c:pt idx="11">
                        <c:v>126</c:v>
                      </c:pt>
                      <c:pt idx="12">
                        <c:v>127</c:v>
                      </c:pt>
                      <c:pt idx="13">
                        <c:v>119</c:v>
                      </c:pt>
                      <c:pt idx="14">
                        <c:v>161</c:v>
                      </c:pt>
                      <c:pt idx="15">
                        <c:v>138</c:v>
                      </c:pt>
                      <c:pt idx="16">
                        <c:v>130</c:v>
                      </c:pt>
                      <c:pt idx="17">
                        <c:v>137</c:v>
                      </c:pt>
                      <c:pt idx="18">
                        <c:v>90</c:v>
                      </c:pt>
                      <c:pt idx="19">
                        <c:v>112</c:v>
                      </c:pt>
                      <c:pt idx="20">
                        <c:v>107</c:v>
                      </c:pt>
                      <c:pt idx="21">
                        <c:v>97</c:v>
                      </c:pt>
                      <c:pt idx="22">
                        <c:v>104</c:v>
                      </c:pt>
                      <c:pt idx="23">
                        <c:v>79</c:v>
                      </c:pt>
                      <c:pt idx="24">
                        <c:v>82</c:v>
                      </c:pt>
                      <c:pt idx="25">
                        <c:v>71</c:v>
                      </c:pt>
                      <c:pt idx="26">
                        <c:v>76</c:v>
                      </c:pt>
                      <c:pt idx="27">
                        <c:v>64</c:v>
                      </c:pt>
                      <c:pt idx="28">
                        <c:v>72</c:v>
                      </c:pt>
                      <c:pt idx="29">
                        <c:v>79</c:v>
                      </c:pt>
                      <c:pt idx="30">
                        <c:v>87</c:v>
                      </c:pt>
                      <c:pt idx="31">
                        <c:v>80</c:v>
                      </c:pt>
                      <c:pt idx="32">
                        <c:v>69</c:v>
                      </c:pt>
                      <c:pt idx="33">
                        <c:v>69</c:v>
                      </c:pt>
                      <c:pt idx="34">
                        <c:v>58</c:v>
                      </c:pt>
                      <c:pt idx="35">
                        <c:v>60</c:v>
                      </c:pt>
                      <c:pt idx="36">
                        <c:v>52</c:v>
                      </c:pt>
                      <c:pt idx="37">
                        <c:v>51</c:v>
                      </c:pt>
                      <c:pt idx="38">
                        <c:v>54</c:v>
                      </c:pt>
                      <c:pt idx="39">
                        <c:v>60</c:v>
                      </c:pt>
                      <c:pt idx="40">
                        <c:v>44</c:v>
                      </c:pt>
                      <c:pt idx="41">
                        <c:v>50</c:v>
                      </c:pt>
                      <c:pt idx="42">
                        <c:v>43</c:v>
                      </c:pt>
                      <c:pt idx="43">
                        <c:v>63</c:v>
                      </c:pt>
                      <c:pt idx="44">
                        <c:v>46</c:v>
                      </c:pt>
                      <c:pt idx="45">
                        <c:v>58</c:v>
                      </c:pt>
                      <c:pt idx="46">
                        <c:v>30</c:v>
                      </c:pt>
                      <c:pt idx="47">
                        <c:v>52</c:v>
                      </c:pt>
                      <c:pt idx="48">
                        <c:v>52</c:v>
                      </c:pt>
                      <c:pt idx="49">
                        <c:v>47</c:v>
                      </c:pt>
                      <c:pt idx="50">
                        <c:v>46</c:v>
                      </c:pt>
                      <c:pt idx="51">
                        <c:v>44</c:v>
                      </c:pt>
                      <c:pt idx="52">
                        <c:v>40</c:v>
                      </c:pt>
                      <c:pt idx="53">
                        <c:v>43</c:v>
                      </c:pt>
                      <c:pt idx="54">
                        <c:v>42</c:v>
                      </c:pt>
                      <c:pt idx="55">
                        <c:v>47</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'Sagatavoti 260220'!$A$7</c15:sqref>
                        </c15:formulaRef>
                      </c:ext>
                    </c:extLst>
                    <c:strCache>
                      <c:ptCount val="1"/>
                      <c:pt idx="0">
                        <c:v>Nogādāti stacionārā ar akūtu elpceļu saslimšanu t.sk. iespējamu/apstiprinātu COVID-19</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'Sagatavoti 260220'!$B$2:$BE$2</c15:sqref>
                        </c15:formulaRef>
                      </c:ext>
                    </c:extLst>
                    <c:numCache>
                      <c:formatCode>m/d/yyyy</c:formatCode>
                      <c:ptCount val="56"/>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numCache>
                  </c:numRef>
                </c:cat>
                <c:val>
                  <c:numRef>
                    <c:extLst xmlns:c15="http://schemas.microsoft.com/office/drawing/2012/chart">
                      <c:ext xmlns:c15="http://schemas.microsoft.com/office/drawing/2012/chart" uri="{02D57815-91ED-43cb-92C2-25804820EDAC}">
                        <c15:formulaRef>
                          <c15:sqref>'Sagatavoti 260220'!$B$7:$BE$7</c15:sqref>
                        </c15:formulaRef>
                      </c:ext>
                    </c:extLst>
                    <c:numCache>
                      <c:formatCode>General</c:formatCode>
                      <c:ptCount val="56"/>
                      <c:pt idx="0">
                        <c:v>70</c:v>
                      </c:pt>
                      <c:pt idx="1">
                        <c:v>67</c:v>
                      </c:pt>
                      <c:pt idx="2">
                        <c:v>58</c:v>
                      </c:pt>
                      <c:pt idx="3">
                        <c:v>57</c:v>
                      </c:pt>
                      <c:pt idx="4">
                        <c:v>54</c:v>
                      </c:pt>
                      <c:pt idx="5">
                        <c:v>66</c:v>
                      </c:pt>
                      <c:pt idx="6">
                        <c:v>42</c:v>
                      </c:pt>
                      <c:pt idx="7">
                        <c:v>59</c:v>
                      </c:pt>
                      <c:pt idx="8">
                        <c:v>61</c:v>
                      </c:pt>
                      <c:pt idx="9">
                        <c:v>62</c:v>
                      </c:pt>
                      <c:pt idx="10">
                        <c:v>76</c:v>
                      </c:pt>
                      <c:pt idx="11">
                        <c:v>78</c:v>
                      </c:pt>
                      <c:pt idx="12">
                        <c:v>73</c:v>
                      </c:pt>
                      <c:pt idx="13">
                        <c:v>60</c:v>
                      </c:pt>
                      <c:pt idx="14">
                        <c:v>72</c:v>
                      </c:pt>
                      <c:pt idx="15">
                        <c:v>68</c:v>
                      </c:pt>
                      <c:pt idx="16">
                        <c:v>70</c:v>
                      </c:pt>
                      <c:pt idx="17">
                        <c:v>71</c:v>
                      </c:pt>
                      <c:pt idx="18">
                        <c:v>46</c:v>
                      </c:pt>
                      <c:pt idx="19">
                        <c:v>61</c:v>
                      </c:pt>
                      <c:pt idx="20">
                        <c:v>55</c:v>
                      </c:pt>
                      <c:pt idx="21">
                        <c:v>42</c:v>
                      </c:pt>
                      <c:pt idx="22">
                        <c:v>54</c:v>
                      </c:pt>
                      <c:pt idx="23">
                        <c:v>48</c:v>
                      </c:pt>
                      <c:pt idx="24">
                        <c:v>53</c:v>
                      </c:pt>
                      <c:pt idx="25">
                        <c:v>41</c:v>
                      </c:pt>
                      <c:pt idx="26">
                        <c:v>38</c:v>
                      </c:pt>
                      <c:pt idx="27">
                        <c:v>33</c:v>
                      </c:pt>
                      <c:pt idx="28">
                        <c:v>32</c:v>
                      </c:pt>
                      <c:pt idx="29">
                        <c:v>50</c:v>
                      </c:pt>
                      <c:pt idx="30">
                        <c:v>54</c:v>
                      </c:pt>
                      <c:pt idx="31">
                        <c:v>47</c:v>
                      </c:pt>
                      <c:pt idx="32">
                        <c:v>40</c:v>
                      </c:pt>
                      <c:pt idx="33">
                        <c:v>40</c:v>
                      </c:pt>
                      <c:pt idx="34">
                        <c:v>37</c:v>
                      </c:pt>
                      <c:pt idx="35">
                        <c:v>33</c:v>
                      </c:pt>
                      <c:pt idx="36">
                        <c:v>28</c:v>
                      </c:pt>
                      <c:pt idx="37">
                        <c:v>32</c:v>
                      </c:pt>
                      <c:pt idx="38">
                        <c:v>30</c:v>
                      </c:pt>
                      <c:pt idx="39">
                        <c:v>37</c:v>
                      </c:pt>
                      <c:pt idx="40">
                        <c:v>24</c:v>
                      </c:pt>
                      <c:pt idx="41">
                        <c:v>26</c:v>
                      </c:pt>
                      <c:pt idx="42">
                        <c:v>22</c:v>
                      </c:pt>
                      <c:pt idx="43">
                        <c:v>42</c:v>
                      </c:pt>
                      <c:pt idx="44">
                        <c:v>29</c:v>
                      </c:pt>
                      <c:pt idx="45">
                        <c:v>32</c:v>
                      </c:pt>
                      <c:pt idx="46">
                        <c:v>18</c:v>
                      </c:pt>
                      <c:pt idx="47">
                        <c:v>27</c:v>
                      </c:pt>
                      <c:pt idx="48">
                        <c:v>35</c:v>
                      </c:pt>
                      <c:pt idx="49">
                        <c:v>29</c:v>
                      </c:pt>
                      <c:pt idx="50">
                        <c:v>28</c:v>
                      </c:pt>
                      <c:pt idx="51">
                        <c:v>27</c:v>
                      </c:pt>
                      <c:pt idx="52">
                        <c:v>25</c:v>
                      </c:pt>
                      <c:pt idx="53">
                        <c:v>28</c:v>
                      </c:pt>
                      <c:pt idx="54">
                        <c:v>28</c:v>
                      </c:pt>
                      <c:pt idx="55">
                        <c:v>29</c:v>
                      </c:pt>
                    </c:numCache>
                  </c:numRef>
                </c:val>
              </c15:ser>
            </c15:filteredBarSeries>
          </c:ext>
        </c:extLst>
      </c:barChart>
      <c:lineChart>
        <c:grouping val="standard"/>
        <c:varyColors val="0"/>
        <c:ser>
          <c:idx val="0"/>
          <c:order val="0"/>
          <c:tx>
            <c:strRef>
              <c:f>'Sagatavoti 260220'!$A$5</c:f>
              <c:strCache>
                <c:ptCount val="1"/>
                <c:pt idx="0">
                  <c:v>Izpildīto izsaukumu skaits, kopā NMPD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'Sagatavoti 260220'!$B$2:$BE$2</c:f>
              <c:numCache>
                <c:formatCode>m/d/yyyy</c:formatCode>
                <c:ptCount val="56"/>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numCache>
            </c:numRef>
          </c:cat>
          <c:val>
            <c:numRef>
              <c:f>'Sagatavoti 260220'!$B$5:$BE$5</c:f>
              <c:numCache>
                <c:formatCode>#\ ##0;\(#\ ##0\)</c:formatCode>
                <c:ptCount val="56"/>
                <c:pt idx="0">
                  <c:v>1006</c:v>
                </c:pt>
                <c:pt idx="1">
                  <c:v>1100</c:v>
                </c:pt>
                <c:pt idx="2">
                  <c:v>1017</c:v>
                </c:pt>
                <c:pt idx="3">
                  <c:v>1093</c:v>
                </c:pt>
                <c:pt idx="4">
                  <c:v>1049</c:v>
                </c:pt>
                <c:pt idx="5">
                  <c:v>1025</c:v>
                </c:pt>
                <c:pt idx="6">
                  <c:v>1034</c:v>
                </c:pt>
                <c:pt idx="7">
                  <c:v>1035</c:v>
                </c:pt>
                <c:pt idx="8">
                  <c:v>1053</c:v>
                </c:pt>
                <c:pt idx="9">
                  <c:v>1017</c:v>
                </c:pt>
                <c:pt idx="10">
                  <c:v>1060</c:v>
                </c:pt>
                <c:pt idx="11">
                  <c:v>1125</c:v>
                </c:pt>
                <c:pt idx="12">
                  <c:v>1067</c:v>
                </c:pt>
                <c:pt idx="13">
                  <c:v>1114</c:v>
                </c:pt>
                <c:pt idx="14">
                  <c:v>1045</c:v>
                </c:pt>
                <c:pt idx="15">
                  <c:v>1008</c:v>
                </c:pt>
                <c:pt idx="16">
                  <c:v>1101</c:v>
                </c:pt>
                <c:pt idx="17">
                  <c:v>1017</c:v>
                </c:pt>
                <c:pt idx="18">
                  <c:v>1093</c:v>
                </c:pt>
                <c:pt idx="19">
                  <c:v>1048</c:v>
                </c:pt>
                <c:pt idx="20">
                  <c:v>1023</c:v>
                </c:pt>
                <c:pt idx="21">
                  <c:v>1034</c:v>
                </c:pt>
                <c:pt idx="22">
                  <c:v>1035</c:v>
                </c:pt>
                <c:pt idx="23">
                  <c:v>1053</c:v>
                </c:pt>
                <c:pt idx="24">
                  <c:v>1017</c:v>
                </c:pt>
                <c:pt idx="25">
                  <c:v>1059</c:v>
                </c:pt>
                <c:pt idx="26">
                  <c:v>1125</c:v>
                </c:pt>
                <c:pt idx="27">
                  <c:v>1067</c:v>
                </c:pt>
                <c:pt idx="28">
                  <c:v>1111</c:v>
                </c:pt>
                <c:pt idx="29" formatCode="General">
                  <c:v>1045</c:v>
                </c:pt>
                <c:pt idx="30" formatCode="General">
                  <c:v>1114</c:v>
                </c:pt>
                <c:pt idx="31" formatCode="General">
                  <c:v>1052</c:v>
                </c:pt>
                <c:pt idx="32" formatCode="General">
                  <c:v>1003</c:v>
                </c:pt>
                <c:pt idx="33" formatCode="General">
                  <c:v>919</c:v>
                </c:pt>
                <c:pt idx="34" formatCode="General">
                  <c:v>1026</c:v>
                </c:pt>
                <c:pt idx="35" formatCode="General">
                  <c:v>914</c:v>
                </c:pt>
                <c:pt idx="36" formatCode="General">
                  <c:v>980</c:v>
                </c:pt>
                <c:pt idx="37" formatCode="General">
                  <c:v>984</c:v>
                </c:pt>
                <c:pt idx="38" formatCode="General">
                  <c:v>839</c:v>
                </c:pt>
                <c:pt idx="39" formatCode="General">
                  <c:v>812</c:v>
                </c:pt>
                <c:pt idx="40" formatCode="General">
                  <c:v>839</c:v>
                </c:pt>
                <c:pt idx="41" formatCode="General">
                  <c:v>849</c:v>
                </c:pt>
                <c:pt idx="42" formatCode="General">
                  <c:v>892</c:v>
                </c:pt>
                <c:pt idx="43" formatCode="General">
                  <c:v>723</c:v>
                </c:pt>
                <c:pt idx="44" formatCode="General">
                  <c:v>829</c:v>
                </c:pt>
                <c:pt idx="45" formatCode="General">
                  <c:v>887</c:v>
                </c:pt>
                <c:pt idx="46" formatCode="General">
                  <c:v>811</c:v>
                </c:pt>
                <c:pt idx="47" formatCode="General">
                  <c:v>863</c:v>
                </c:pt>
                <c:pt idx="48" formatCode="General">
                  <c:v>895</c:v>
                </c:pt>
                <c:pt idx="49" formatCode="General">
                  <c:v>789</c:v>
                </c:pt>
                <c:pt idx="50" formatCode="General">
                  <c:v>938</c:v>
                </c:pt>
                <c:pt idx="51" formatCode="General">
                  <c:v>842</c:v>
                </c:pt>
                <c:pt idx="52" formatCode="General">
                  <c:v>894</c:v>
                </c:pt>
                <c:pt idx="53" formatCode="General">
                  <c:v>925</c:v>
                </c:pt>
                <c:pt idx="54" formatCode="General">
                  <c:v>854</c:v>
                </c:pt>
                <c:pt idx="55" formatCode="General">
                  <c:v>805</c:v>
                </c:pt>
              </c:numCache>
            </c:numRef>
          </c:val>
          <c:smooth val="0"/>
        </c:ser>
        <c:dLbls>
          <c:showLegendKey val="0"/>
          <c:showVal val="0"/>
          <c:showCatName val="0"/>
          <c:showSerName val="0"/>
          <c:showPercent val="0"/>
          <c:showBubbleSize val="0"/>
        </c:dLbls>
        <c:marker val="1"/>
        <c:smooth val="0"/>
        <c:axId val="190180328"/>
        <c:axId val="190176800"/>
      </c:lineChart>
      <c:dateAx>
        <c:axId val="19018032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0176800"/>
        <c:crosses val="autoZero"/>
        <c:auto val="1"/>
        <c:lblOffset val="100"/>
        <c:baseTimeUnit val="days"/>
      </c:dateAx>
      <c:valAx>
        <c:axId val="190176800"/>
        <c:scaling>
          <c:orientation val="minMax"/>
          <c:min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0180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553004277022943E-2"/>
          <c:y val="0.22282482825682387"/>
          <c:w val="0.94464713183511106"/>
          <c:h val="0.41898025589965937"/>
        </c:manualLayout>
      </c:layout>
      <c:barChart>
        <c:barDir val="col"/>
        <c:grouping val="clustered"/>
        <c:varyColors val="0"/>
        <c:ser>
          <c:idx val="1"/>
          <c:order val="1"/>
          <c:tx>
            <c:strRef>
              <c:f>'Sagatavoti 260220'!$A$6</c:f>
              <c:strCache>
                <c:ptCount val="1"/>
                <c:pt idx="0">
                  <c:v>Izpildīto izsaukumu skaits ar akūtu elpceļu saslimšanu t.sk. iespējamu/apstiprinātu COVID-19</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'Sagatavoti 260220'!$B$2:$BE$2</c:f>
              <c:numCache>
                <c:formatCode>m/d/yyyy</c:formatCode>
                <c:ptCount val="56"/>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numCache>
            </c:numRef>
          </c:cat>
          <c:val>
            <c:numRef>
              <c:f>'Sagatavoti 260220'!$B$6:$BE$6</c:f>
              <c:numCache>
                <c:formatCode>General</c:formatCode>
                <c:ptCount val="56"/>
                <c:pt idx="0">
                  <c:v>106</c:v>
                </c:pt>
                <c:pt idx="1">
                  <c:v>120</c:v>
                </c:pt>
                <c:pt idx="2">
                  <c:v>93</c:v>
                </c:pt>
                <c:pt idx="3">
                  <c:v>92</c:v>
                </c:pt>
                <c:pt idx="4">
                  <c:v>85</c:v>
                </c:pt>
                <c:pt idx="5">
                  <c:v>95</c:v>
                </c:pt>
                <c:pt idx="6">
                  <c:v>93</c:v>
                </c:pt>
                <c:pt idx="7">
                  <c:v>93</c:v>
                </c:pt>
                <c:pt idx="8">
                  <c:v>93</c:v>
                </c:pt>
                <c:pt idx="9">
                  <c:v>93</c:v>
                </c:pt>
                <c:pt idx="10">
                  <c:v>117</c:v>
                </c:pt>
                <c:pt idx="11">
                  <c:v>126</c:v>
                </c:pt>
                <c:pt idx="12">
                  <c:v>127</c:v>
                </c:pt>
                <c:pt idx="13">
                  <c:v>119</c:v>
                </c:pt>
                <c:pt idx="14">
                  <c:v>161</c:v>
                </c:pt>
                <c:pt idx="15">
                  <c:v>138</c:v>
                </c:pt>
                <c:pt idx="16">
                  <c:v>130</c:v>
                </c:pt>
                <c:pt idx="17">
                  <c:v>137</c:v>
                </c:pt>
                <c:pt idx="18">
                  <c:v>90</c:v>
                </c:pt>
                <c:pt idx="19">
                  <c:v>112</c:v>
                </c:pt>
                <c:pt idx="20">
                  <c:v>107</c:v>
                </c:pt>
                <c:pt idx="21">
                  <c:v>97</c:v>
                </c:pt>
                <c:pt idx="22">
                  <c:v>104</c:v>
                </c:pt>
                <c:pt idx="23">
                  <c:v>79</c:v>
                </c:pt>
                <c:pt idx="24">
                  <c:v>82</c:v>
                </c:pt>
                <c:pt idx="25">
                  <c:v>71</c:v>
                </c:pt>
                <c:pt idx="26">
                  <c:v>76</c:v>
                </c:pt>
                <c:pt idx="27">
                  <c:v>64</c:v>
                </c:pt>
                <c:pt idx="28">
                  <c:v>72</c:v>
                </c:pt>
                <c:pt idx="29">
                  <c:v>79</c:v>
                </c:pt>
                <c:pt idx="30">
                  <c:v>87</c:v>
                </c:pt>
                <c:pt idx="31">
                  <c:v>80</c:v>
                </c:pt>
                <c:pt idx="32">
                  <c:v>69</c:v>
                </c:pt>
                <c:pt idx="33">
                  <c:v>69</c:v>
                </c:pt>
                <c:pt idx="34">
                  <c:v>58</c:v>
                </c:pt>
                <c:pt idx="35">
                  <c:v>60</c:v>
                </c:pt>
                <c:pt idx="36">
                  <c:v>52</c:v>
                </c:pt>
                <c:pt idx="37">
                  <c:v>51</c:v>
                </c:pt>
                <c:pt idx="38">
                  <c:v>54</c:v>
                </c:pt>
                <c:pt idx="39">
                  <c:v>60</c:v>
                </c:pt>
                <c:pt idx="40">
                  <c:v>44</c:v>
                </c:pt>
                <c:pt idx="41">
                  <c:v>50</c:v>
                </c:pt>
                <c:pt idx="42">
                  <c:v>43</c:v>
                </c:pt>
                <c:pt idx="43">
                  <c:v>63</c:v>
                </c:pt>
                <c:pt idx="44">
                  <c:v>46</c:v>
                </c:pt>
                <c:pt idx="45">
                  <c:v>58</c:v>
                </c:pt>
                <c:pt idx="46">
                  <c:v>30</c:v>
                </c:pt>
                <c:pt idx="47">
                  <c:v>52</c:v>
                </c:pt>
                <c:pt idx="48">
                  <c:v>52</c:v>
                </c:pt>
                <c:pt idx="49">
                  <c:v>47</c:v>
                </c:pt>
                <c:pt idx="50">
                  <c:v>46</c:v>
                </c:pt>
                <c:pt idx="51">
                  <c:v>44</c:v>
                </c:pt>
                <c:pt idx="52">
                  <c:v>40</c:v>
                </c:pt>
                <c:pt idx="53">
                  <c:v>43</c:v>
                </c:pt>
                <c:pt idx="54">
                  <c:v>42</c:v>
                </c:pt>
                <c:pt idx="55">
                  <c:v>47</c:v>
                </c:pt>
              </c:numCache>
            </c:numRef>
          </c:val>
        </c:ser>
        <c:ser>
          <c:idx val="2"/>
          <c:order val="2"/>
          <c:tx>
            <c:strRef>
              <c:f>'Sagatavoti 260220'!$A$7</c:f>
              <c:strCache>
                <c:ptCount val="1"/>
                <c:pt idx="0">
                  <c:v>Nogādāti stacionārā ar akūtu elpceļu saslimšanu t.sk. iespējamu/apstiprinātu COVID-19</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'Sagatavoti 260220'!$B$2:$BE$2</c:f>
              <c:numCache>
                <c:formatCode>m/d/yyyy</c:formatCode>
                <c:ptCount val="56"/>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numCache>
            </c:numRef>
          </c:cat>
          <c:val>
            <c:numRef>
              <c:f>'Sagatavoti 260220'!$B$7:$BE$7</c:f>
              <c:numCache>
                <c:formatCode>General</c:formatCode>
                <c:ptCount val="56"/>
                <c:pt idx="0">
                  <c:v>70</c:v>
                </c:pt>
                <c:pt idx="1">
                  <c:v>67</c:v>
                </c:pt>
                <c:pt idx="2">
                  <c:v>58</c:v>
                </c:pt>
                <c:pt idx="3">
                  <c:v>57</c:v>
                </c:pt>
                <c:pt idx="4">
                  <c:v>54</c:v>
                </c:pt>
                <c:pt idx="5">
                  <c:v>66</c:v>
                </c:pt>
                <c:pt idx="6">
                  <c:v>42</c:v>
                </c:pt>
                <c:pt idx="7">
                  <c:v>59</c:v>
                </c:pt>
                <c:pt idx="8">
                  <c:v>61</c:v>
                </c:pt>
                <c:pt idx="9">
                  <c:v>62</c:v>
                </c:pt>
                <c:pt idx="10">
                  <c:v>76</c:v>
                </c:pt>
                <c:pt idx="11">
                  <c:v>78</c:v>
                </c:pt>
                <c:pt idx="12">
                  <c:v>73</c:v>
                </c:pt>
                <c:pt idx="13">
                  <c:v>60</c:v>
                </c:pt>
                <c:pt idx="14">
                  <c:v>72</c:v>
                </c:pt>
                <c:pt idx="15">
                  <c:v>68</c:v>
                </c:pt>
                <c:pt idx="16">
                  <c:v>70</c:v>
                </c:pt>
                <c:pt idx="17">
                  <c:v>71</c:v>
                </c:pt>
                <c:pt idx="18">
                  <c:v>46</c:v>
                </c:pt>
                <c:pt idx="19">
                  <c:v>61</c:v>
                </c:pt>
                <c:pt idx="20">
                  <c:v>55</c:v>
                </c:pt>
                <c:pt idx="21">
                  <c:v>42</c:v>
                </c:pt>
                <c:pt idx="22">
                  <c:v>54</c:v>
                </c:pt>
                <c:pt idx="23">
                  <c:v>48</c:v>
                </c:pt>
                <c:pt idx="24">
                  <c:v>53</c:v>
                </c:pt>
                <c:pt idx="25">
                  <c:v>41</c:v>
                </c:pt>
                <c:pt idx="26">
                  <c:v>38</c:v>
                </c:pt>
                <c:pt idx="27">
                  <c:v>33</c:v>
                </c:pt>
                <c:pt idx="28">
                  <c:v>32</c:v>
                </c:pt>
                <c:pt idx="29">
                  <c:v>50</c:v>
                </c:pt>
                <c:pt idx="30">
                  <c:v>54</c:v>
                </c:pt>
                <c:pt idx="31">
                  <c:v>47</c:v>
                </c:pt>
                <c:pt idx="32">
                  <c:v>40</c:v>
                </c:pt>
                <c:pt idx="33">
                  <c:v>40</c:v>
                </c:pt>
                <c:pt idx="34">
                  <c:v>37</c:v>
                </c:pt>
                <c:pt idx="35">
                  <c:v>33</c:v>
                </c:pt>
                <c:pt idx="36">
                  <c:v>28</c:v>
                </c:pt>
                <c:pt idx="37">
                  <c:v>32</c:v>
                </c:pt>
                <c:pt idx="38">
                  <c:v>30</c:v>
                </c:pt>
                <c:pt idx="39">
                  <c:v>37</c:v>
                </c:pt>
                <c:pt idx="40">
                  <c:v>24</c:v>
                </c:pt>
                <c:pt idx="41">
                  <c:v>26</c:v>
                </c:pt>
                <c:pt idx="42">
                  <c:v>22</c:v>
                </c:pt>
                <c:pt idx="43">
                  <c:v>42</c:v>
                </c:pt>
                <c:pt idx="44">
                  <c:v>29</c:v>
                </c:pt>
                <c:pt idx="45">
                  <c:v>32</c:v>
                </c:pt>
                <c:pt idx="46">
                  <c:v>18</c:v>
                </c:pt>
                <c:pt idx="47">
                  <c:v>27</c:v>
                </c:pt>
                <c:pt idx="48">
                  <c:v>35</c:v>
                </c:pt>
                <c:pt idx="49">
                  <c:v>29</c:v>
                </c:pt>
                <c:pt idx="50">
                  <c:v>28</c:v>
                </c:pt>
                <c:pt idx="51">
                  <c:v>27</c:v>
                </c:pt>
                <c:pt idx="52">
                  <c:v>25</c:v>
                </c:pt>
                <c:pt idx="53">
                  <c:v>28</c:v>
                </c:pt>
                <c:pt idx="54">
                  <c:v>28</c:v>
                </c:pt>
                <c:pt idx="55">
                  <c:v>29</c:v>
                </c:pt>
              </c:numCache>
            </c:numRef>
          </c:val>
        </c:ser>
        <c:dLbls>
          <c:showLegendKey val="0"/>
          <c:showVal val="0"/>
          <c:showCatName val="0"/>
          <c:showSerName val="0"/>
          <c:showPercent val="0"/>
          <c:showBubbleSize val="0"/>
        </c:dLbls>
        <c:gapWidth val="150"/>
        <c:axId val="190179152"/>
        <c:axId val="190175624"/>
      </c:barChart>
      <c:lineChart>
        <c:grouping val="standard"/>
        <c:varyColors val="0"/>
        <c:dLbls>
          <c:showLegendKey val="0"/>
          <c:showVal val="0"/>
          <c:showCatName val="0"/>
          <c:showSerName val="0"/>
          <c:showPercent val="0"/>
          <c:showBubbleSize val="0"/>
        </c:dLbls>
        <c:marker val="1"/>
        <c:smooth val="0"/>
        <c:axId val="190179152"/>
        <c:axId val="190175624"/>
        <c:extLst>
          <c:ext xmlns:c15="http://schemas.microsoft.com/office/drawing/2012/chart" uri="{02D57815-91ED-43cb-92C2-25804820EDAC}">
            <c15:filteredLineSeries>
              <c15:ser>
                <c:idx val="0"/>
                <c:order val="0"/>
                <c:tx>
                  <c:strRef>
                    <c:extLst>
                      <c:ext uri="{02D57815-91ED-43cb-92C2-25804820EDAC}">
                        <c15:formulaRef>
                          <c15:sqref>'Sagatavoti 260220'!$A$5</c15:sqref>
                        </c15:formulaRef>
                      </c:ext>
                    </c:extLst>
                    <c:strCache>
                      <c:ptCount val="1"/>
                      <c:pt idx="0">
                        <c:v>Izpildīto izsaukumu skaits, kopā NMPD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'Sagatavoti 260220'!$B$2:$BE$2</c15:sqref>
                        </c15:formulaRef>
                      </c:ext>
                    </c:extLst>
                    <c:numCache>
                      <c:formatCode>m/d/yyyy</c:formatCode>
                      <c:ptCount val="56"/>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numCache>
                  </c:numRef>
                </c:cat>
                <c:val>
                  <c:numRef>
                    <c:extLst>
                      <c:ext uri="{02D57815-91ED-43cb-92C2-25804820EDAC}">
                        <c15:formulaRef>
                          <c15:sqref>'Sagatavoti 260220'!$B$5:$BE$5</c15:sqref>
                        </c15:formulaRef>
                      </c:ext>
                    </c:extLst>
                    <c:numCache>
                      <c:formatCode>#\ ##0;\(#\ ##0\)</c:formatCode>
                      <c:ptCount val="56"/>
                      <c:pt idx="0">
                        <c:v>1006</c:v>
                      </c:pt>
                      <c:pt idx="1">
                        <c:v>1100</c:v>
                      </c:pt>
                      <c:pt idx="2">
                        <c:v>1017</c:v>
                      </c:pt>
                      <c:pt idx="3">
                        <c:v>1093</c:v>
                      </c:pt>
                      <c:pt idx="4">
                        <c:v>1049</c:v>
                      </c:pt>
                      <c:pt idx="5">
                        <c:v>1025</c:v>
                      </c:pt>
                      <c:pt idx="6">
                        <c:v>1034</c:v>
                      </c:pt>
                      <c:pt idx="7">
                        <c:v>1035</c:v>
                      </c:pt>
                      <c:pt idx="8">
                        <c:v>1053</c:v>
                      </c:pt>
                      <c:pt idx="9">
                        <c:v>1017</c:v>
                      </c:pt>
                      <c:pt idx="10">
                        <c:v>1060</c:v>
                      </c:pt>
                      <c:pt idx="11">
                        <c:v>1125</c:v>
                      </c:pt>
                      <c:pt idx="12">
                        <c:v>1067</c:v>
                      </c:pt>
                      <c:pt idx="13">
                        <c:v>1114</c:v>
                      </c:pt>
                      <c:pt idx="14">
                        <c:v>1045</c:v>
                      </c:pt>
                      <c:pt idx="15">
                        <c:v>1008</c:v>
                      </c:pt>
                      <c:pt idx="16">
                        <c:v>1101</c:v>
                      </c:pt>
                      <c:pt idx="17">
                        <c:v>1017</c:v>
                      </c:pt>
                      <c:pt idx="18">
                        <c:v>1093</c:v>
                      </c:pt>
                      <c:pt idx="19">
                        <c:v>1048</c:v>
                      </c:pt>
                      <c:pt idx="20">
                        <c:v>1023</c:v>
                      </c:pt>
                      <c:pt idx="21">
                        <c:v>1034</c:v>
                      </c:pt>
                      <c:pt idx="22">
                        <c:v>1035</c:v>
                      </c:pt>
                      <c:pt idx="23">
                        <c:v>1053</c:v>
                      </c:pt>
                      <c:pt idx="24">
                        <c:v>1017</c:v>
                      </c:pt>
                      <c:pt idx="25">
                        <c:v>1059</c:v>
                      </c:pt>
                      <c:pt idx="26">
                        <c:v>1125</c:v>
                      </c:pt>
                      <c:pt idx="27">
                        <c:v>1067</c:v>
                      </c:pt>
                      <c:pt idx="28">
                        <c:v>1111</c:v>
                      </c:pt>
                      <c:pt idx="29" formatCode="General">
                        <c:v>1045</c:v>
                      </c:pt>
                      <c:pt idx="30" formatCode="General">
                        <c:v>1114</c:v>
                      </c:pt>
                      <c:pt idx="31" formatCode="General">
                        <c:v>1052</c:v>
                      </c:pt>
                      <c:pt idx="32" formatCode="General">
                        <c:v>1003</c:v>
                      </c:pt>
                      <c:pt idx="33" formatCode="General">
                        <c:v>919</c:v>
                      </c:pt>
                      <c:pt idx="34" formatCode="General">
                        <c:v>1026</c:v>
                      </c:pt>
                      <c:pt idx="35" formatCode="General">
                        <c:v>914</c:v>
                      </c:pt>
                      <c:pt idx="36" formatCode="General">
                        <c:v>980</c:v>
                      </c:pt>
                      <c:pt idx="37" formatCode="General">
                        <c:v>984</c:v>
                      </c:pt>
                      <c:pt idx="38" formatCode="General">
                        <c:v>839</c:v>
                      </c:pt>
                      <c:pt idx="39" formatCode="General">
                        <c:v>812</c:v>
                      </c:pt>
                      <c:pt idx="40" formatCode="General">
                        <c:v>839</c:v>
                      </c:pt>
                      <c:pt idx="41" formatCode="General">
                        <c:v>849</c:v>
                      </c:pt>
                      <c:pt idx="42" formatCode="General">
                        <c:v>892</c:v>
                      </c:pt>
                      <c:pt idx="43" formatCode="General">
                        <c:v>723</c:v>
                      </c:pt>
                      <c:pt idx="44" formatCode="General">
                        <c:v>829</c:v>
                      </c:pt>
                      <c:pt idx="45" formatCode="General">
                        <c:v>887</c:v>
                      </c:pt>
                      <c:pt idx="46" formatCode="General">
                        <c:v>811</c:v>
                      </c:pt>
                      <c:pt idx="47" formatCode="General">
                        <c:v>863</c:v>
                      </c:pt>
                      <c:pt idx="48" formatCode="General">
                        <c:v>895</c:v>
                      </c:pt>
                      <c:pt idx="49" formatCode="General">
                        <c:v>789</c:v>
                      </c:pt>
                      <c:pt idx="50" formatCode="General">
                        <c:v>938</c:v>
                      </c:pt>
                      <c:pt idx="51" formatCode="General">
                        <c:v>842</c:v>
                      </c:pt>
                      <c:pt idx="52" formatCode="General">
                        <c:v>894</c:v>
                      </c:pt>
                      <c:pt idx="53" formatCode="General">
                        <c:v>925</c:v>
                      </c:pt>
                      <c:pt idx="54" formatCode="General">
                        <c:v>854</c:v>
                      </c:pt>
                      <c:pt idx="55" formatCode="General">
                        <c:v>805</c:v>
                      </c:pt>
                    </c:numCache>
                  </c:numRef>
                </c:val>
                <c:smooth val="0"/>
              </c15:ser>
            </c15:filteredLineSeries>
          </c:ext>
        </c:extLst>
      </c:lineChart>
      <c:dateAx>
        <c:axId val="19017915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0175624"/>
        <c:crosses val="autoZero"/>
        <c:auto val="1"/>
        <c:lblOffset val="100"/>
        <c:baseTimeUnit val="days"/>
      </c:dateAx>
      <c:valAx>
        <c:axId val="190175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0179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437749340716648E-2"/>
          <c:y val="8.6188910572467609E-2"/>
          <c:w val="0.92496258188695368"/>
          <c:h val="0.80137157636528478"/>
        </c:manualLayout>
      </c:layout>
      <c:barChart>
        <c:barDir val="col"/>
        <c:grouping val="clustered"/>
        <c:varyColors val="0"/>
        <c:ser>
          <c:idx val="0"/>
          <c:order val="0"/>
          <c:spPr>
            <a:ln w="28575" cap="rnd">
              <a:solidFill>
                <a:srgbClr val="4472C4"/>
              </a:solidFill>
              <a:prstDash val="solid"/>
              <a:round/>
            </a:ln>
          </c:spPr>
          <c:invertIfNegative val="0"/>
          <c:dLbls>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C04-4238-B4DD-3D62EBD08136}"/>
                </c:ext>
                <c:ext xmlns:c15="http://schemas.microsoft.com/office/drawing/2012/chart" uri="{CE6537A1-D6FC-4f65-9D91-7224C49458BB}">
                  <c15:layout/>
                </c:ext>
              </c:extLst>
            </c:dLbl>
            <c:spPr>
              <a:noFill/>
              <a:ln>
                <a:noFill/>
              </a:ln>
              <a:effectLst/>
            </c:spPr>
            <c:txPr>
              <a:bodyPr rot="-5400000" vert="horz" lIns="0" tIns="0" rIns="0" bIns="0"/>
              <a:lstStyle/>
              <a:p>
                <a:pPr marL="0" marR="0" indent="0" algn="ctr" defTabSz="914400" fontAlgn="auto" hangingPunct="1">
                  <a:lnSpc>
                    <a:spcPct val="100000"/>
                  </a:lnSpc>
                  <a:spcBef>
                    <a:spcPts val="0"/>
                  </a:spcBef>
                  <a:spcAft>
                    <a:spcPts val="0"/>
                  </a:spcAft>
                  <a:tabLst/>
                  <a:defRPr sz="1050" b="0" i="0" u="none" strike="noStrike" kern="1200" baseline="0">
                    <a:solidFill>
                      <a:srgbClr val="404040"/>
                    </a:solidFill>
                    <a:latin typeface="Calibri"/>
                  </a:defRPr>
                </a:pPr>
                <a:endParaRPr lang="en-US"/>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0"/>
              </c:ext>
            </c:extLst>
          </c:dLbls>
          <c:cat>
            <c:strRef>
              <c:f>Respiratori!$B$23:$AA$23</c:f>
              <c:strCache>
                <c:ptCount val="26"/>
                <c:pt idx="0">
                  <c:v>01.04.</c:v>
                </c:pt>
                <c:pt idx="1">
                  <c:v>02.04.</c:v>
                </c:pt>
                <c:pt idx="2">
                  <c:v>03.04.</c:v>
                </c:pt>
                <c:pt idx="3">
                  <c:v>04.04.</c:v>
                </c:pt>
                <c:pt idx="4">
                  <c:v>05.04.</c:v>
                </c:pt>
                <c:pt idx="5">
                  <c:v>06.04.</c:v>
                </c:pt>
                <c:pt idx="6">
                  <c:v>07.04.</c:v>
                </c:pt>
                <c:pt idx="7">
                  <c:v>08.04.</c:v>
                </c:pt>
                <c:pt idx="8">
                  <c:v>09.04.</c:v>
                </c:pt>
                <c:pt idx="9">
                  <c:v>10.04.</c:v>
                </c:pt>
                <c:pt idx="10">
                  <c:v>11.04.</c:v>
                </c:pt>
                <c:pt idx="11">
                  <c:v>12.04.</c:v>
                </c:pt>
                <c:pt idx="12">
                  <c:v>13.04.</c:v>
                </c:pt>
                <c:pt idx="13">
                  <c:v>14.04.</c:v>
                </c:pt>
                <c:pt idx="14">
                  <c:v>15.04.</c:v>
                </c:pt>
                <c:pt idx="15">
                  <c:v>16.04.</c:v>
                </c:pt>
                <c:pt idx="16">
                  <c:v>17.04.</c:v>
                </c:pt>
                <c:pt idx="17">
                  <c:v>18.04.</c:v>
                </c:pt>
                <c:pt idx="18">
                  <c:v>19.04.</c:v>
                </c:pt>
                <c:pt idx="19">
                  <c:v>20.04.</c:v>
                </c:pt>
                <c:pt idx="20">
                  <c:v>21.04.</c:v>
                </c:pt>
                <c:pt idx="21">
                  <c:v>22.04.</c:v>
                </c:pt>
                <c:pt idx="22">
                  <c:v>23.04.</c:v>
                </c:pt>
                <c:pt idx="23">
                  <c:v>24.04.</c:v>
                </c:pt>
                <c:pt idx="24">
                  <c:v>25.04.</c:v>
                </c:pt>
                <c:pt idx="25">
                  <c:v>26.04.</c:v>
                </c:pt>
              </c:strCache>
            </c:strRef>
          </c:cat>
          <c:val>
            <c:numRef>
              <c:f>Respiratori!$B$24:$AA$24</c:f>
              <c:numCache>
                <c:formatCode>General</c:formatCode>
                <c:ptCount val="26"/>
                <c:pt idx="0">
                  <c:v>27094</c:v>
                </c:pt>
                <c:pt idx="1">
                  <c:v>26459</c:v>
                </c:pt>
                <c:pt idx="2">
                  <c:v>20770</c:v>
                </c:pt>
                <c:pt idx="3">
                  <c:v>22227</c:v>
                </c:pt>
                <c:pt idx="4">
                  <c:v>22249</c:v>
                </c:pt>
                <c:pt idx="5">
                  <c:v>21875</c:v>
                </c:pt>
                <c:pt idx="6">
                  <c:v>22469</c:v>
                </c:pt>
                <c:pt idx="7">
                  <c:v>31079</c:v>
                </c:pt>
                <c:pt idx="8">
                  <c:v>35940</c:v>
                </c:pt>
                <c:pt idx="9">
                  <c:v>30623</c:v>
                </c:pt>
                <c:pt idx="10">
                  <c:v>32603</c:v>
                </c:pt>
                <c:pt idx="11">
                  <c:v>32684</c:v>
                </c:pt>
                <c:pt idx="12">
                  <c:v>31963</c:v>
                </c:pt>
                <c:pt idx="13">
                  <c:v>33308</c:v>
                </c:pt>
                <c:pt idx="14">
                  <c:v>32056</c:v>
                </c:pt>
                <c:pt idx="15">
                  <c:v>31515</c:v>
                </c:pt>
                <c:pt idx="16">
                  <c:v>29183</c:v>
                </c:pt>
                <c:pt idx="17">
                  <c:v>35772</c:v>
                </c:pt>
                <c:pt idx="18">
                  <c:v>35763</c:v>
                </c:pt>
                <c:pt idx="19">
                  <c:v>31039</c:v>
                </c:pt>
                <c:pt idx="20">
                  <c:v>37100</c:v>
                </c:pt>
                <c:pt idx="21">
                  <c:v>38282</c:v>
                </c:pt>
                <c:pt idx="22">
                  <c:v>36737</c:v>
                </c:pt>
                <c:pt idx="23">
                  <c:v>39029</c:v>
                </c:pt>
                <c:pt idx="24">
                  <c:v>33788</c:v>
                </c:pt>
                <c:pt idx="25">
                  <c:v>32881</c:v>
                </c:pt>
              </c:numCache>
            </c:numRef>
          </c:val>
          <c:extLst xmlns:c16r2="http://schemas.microsoft.com/office/drawing/2015/06/chart">
            <c:ext xmlns:c16="http://schemas.microsoft.com/office/drawing/2014/chart" uri="{C3380CC4-5D6E-409C-BE32-E72D297353CC}">
              <c16:uniqueId val="{00000001-9C04-4238-B4DD-3D62EBD08136}"/>
            </c:ext>
          </c:extLst>
        </c:ser>
        <c:dLbls>
          <c:showLegendKey val="0"/>
          <c:showVal val="0"/>
          <c:showCatName val="0"/>
          <c:showSerName val="0"/>
          <c:showPercent val="0"/>
          <c:showBubbleSize val="0"/>
        </c:dLbls>
        <c:gapWidth val="150"/>
        <c:axId val="190177192"/>
        <c:axId val="190176408"/>
      </c:barChart>
      <c:valAx>
        <c:axId val="190176408"/>
        <c:scaling>
          <c:orientation val="minMax"/>
        </c:scaling>
        <c:delete val="0"/>
        <c:axPos val="l"/>
        <c:majorGridlines>
          <c:spPr>
            <a:ln w="9528" cap="flat">
              <a:solidFill>
                <a:srgbClr val="D9D9D9"/>
              </a:solidFill>
              <a:prstDash val="solid"/>
              <a:round/>
            </a:ln>
          </c:spPr>
        </c:majorGridlines>
        <c:numFmt formatCode="General"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endParaRPr lang="en-US"/>
          </a:p>
        </c:txPr>
        <c:crossAx val="190177192"/>
        <c:crosses val="autoZero"/>
        <c:crossBetween val="between"/>
      </c:valAx>
      <c:catAx>
        <c:axId val="190177192"/>
        <c:scaling>
          <c:orientation val="minMax"/>
        </c:scaling>
        <c:delete val="0"/>
        <c:axPos val="b"/>
        <c:numFmt formatCode="m/d/yyyy" sourceLinked="0"/>
        <c:majorTickMark val="none"/>
        <c:minorTickMark val="none"/>
        <c:tickLblPos val="nextTo"/>
        <c:spPr>
          <a:noFill/>
          <a:ln w="9528" cap="flat">
            <a:solidFill>
              <a:srgbClr val="D9D9D9"/>
            </a:solidFill>
            <a:prstDash val="solid"/>
            <a:round/>
          </a:ln>
        </c:spPr>
        <c:txPr>
          <a:bodyPr rot="-3000000" vert="horz"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endParaRPr lang="en-US"/>
          </a:p>
        </c:txPr>
        <c:crossAx val="190176408"/>
        <c:crosses val="autoZero"/>
        <c:auto val="1"/>
        <c:lblAlgn val="ctr"/>
        <c:lblOffset val="100"/>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909465255653749E-2"/>
          <c:y val="0.12294718127477743"/>
          <c:w val="0.91304886283386477"/>
          <c:h val="0.81976584608909397"/>
        </c:manualLayout>
      </c:layout>
      <c:barChart>
        <c:barDir val="col"/>
        <c:grouping val="clustered"/>
        <c:varyColors val="0"/>
        <c:ser>
          <c:idx val="0"/>
          <c:order val="0"/>
          <c:spPr>
            <a:ln w="28575" cap="rnd">
              <a:solidFill>
                <a:srgbClr val="4472C4"/>
              </a:solidFill>
              <a:prstDash val="solid"/>
              <a:round/>
            </a:ln>
          </c:spPr>
          <c:invertIfNegative val="0"/>
          <c:dLbls>
            <c:spPr>
              <a:noFill/>
              <a:ln>
                <a:noFill/>
              </a:ln>
              <a:effectLst/>
            </c:spPr>
            <c:txPr>
              <a:bodyPr rot="-5400000" vertOverflow="overflow" horzOverflow="overflow" vert="horz" anchor="ctr" anchorCtr="1">
                <a:spAutoFit/>
              </a:bodyPr>
              <a:lstStyle/>
              <a:p>
                <a:pPr algn="ctr">
                  <a:defRPr/>
                </a:pPr>
                <a:endParaRPr lang="en-US"/>
              </a:p>
            </c:txPr>
            <c:dLblPos val="outEnd"/>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ext>
            </c:extLst>
          </c:dLbls>
          <c:cat>
            <c:strRef>
              <c:f>Ķirurģiskās_maskas!$B$22:$AA$22</c:f>
              <c:strCache>
                <c:ptCount val="26"/>
                <c:pt idx="0">
                  <c:v>01.04.</c:v>
                </c:pt>
                <c:pt idx="1">
                  <c:v>02.04.</c:v>
                </c:pt>
                <c:pt idx="2">
                  <c:v>03.04.</c:v>
                </c:pt>
                <c:pt idx="3">
                  <c:v>04.04.</c:v>
                </c:pt>
                <c:pt idx="4">
                  <c:v>05.04.</c:v>
                </c:pt>
                <c:pt idx="5">
                  <c:v>06.04.</c:v>
                </c:pt>
                <c:pt idx="6">
                  <c:v>07.04.</c:v>
                </c:pt>
                <c:pt idx="7">
                  <c:v>08.04.</c:v>
                </c:pt>
                <c:pt idx="8">
                  <c:v>09.04.</c:v>
                </c:pt>
                <c:pt idx="9">
                  <c:v>10.04.</c:v>
                </c:pt>
                <c:pt idx="10">
                  <c:v>11.04.</c:v>
                </c:pt>
                <c:pt idx="11">
                  <c:v>12.04.</c:v>
                </c:pt>
                <c:pt idx="12">
                  <c:v>13.04.</c:v>
                </c:pt>
                <c:pt idx="13">
                  <c:v>14.04.</c:v>
                </c:pt>
                <c:pt idx="14">
                  <c:v>15.04.</c:v>
                </c:pt>
                <c:pt idx="15">
                  <c:v>16.04.</c:v>
                </c:pt>
                <c:pt idx="16">
                  <c:v>17.04.</c:v>
                </c:pt>
                <c:pt idx="17">
                  <c:v>18.04.</c:v>
                </c:pt>
                <c:pt idx="18">
                  <c:v>19.04.</c:v>
                </c:pt>
                <c:pt idx="19">
                  <c:v>20.04.</c:v>
                </c:pt>
                <c:pt idx="20">
                  <c:v>21.04.</c:v>
                </c:pt>
                <c:pt idx="21">
                  <c:v>22.04.</c:v>
                </c:pt>
                <c:pt idx="22">
                  <c:v>23.04.</c:v>
                </c:pt>
                <c:pt idx="23">
                  <c:v>24.04.</c:v>
                </c:pt>
                <c:pt idx="24">
                  <c:v>25.04.</c:v>
                </c:pt>
                <c:pt idx="25">
                  <c:v>26.04.</c:v>
                </c:pt>
              </c:strCache>
            </c:strRef>
          </c:cat>
          <c:val>
            <c:numRef>
              <c:f>Ķirurģiskās_maskas!$B$23:$AA$23</c:f>
              <c:numCache>
                <c:formatCode>General</c:formatCode>
                <c:ptCount val="26"/>
                <c:pt idx="0">
                  <c:v>209066</c:v>
                </c:pt>
                <c:pt idx="1">
                  <c:v>289535</c:v>
                </c:pt>
                <c:pt idx="2">
                  <c:v>244733</c:v>
                </c:pt>
                <c:pt idx="3" formatCode="#,##0">
                  <c:v>237839</c:v>
                </c:pt>
                <c:pt idx="4" formatCode="#,##0">
                  <c:v>236916</c:v>
                </c:pt>
                <c:pt idx="5" formatCode="#,##0">
                  <c:v>236694</c:v>
                </c:pt>
                <c:pt idx="6" formatCode="#,##0">
                  <c:v>309986</c:v>
                </c:pt>
                <c:pt idx="7">
                  <c:v>365887</c:v>
                </c:pt>
                <c:pt idx="8">
                  <c:v>398800</c:v>
                </c:pt>
                <c:pt idx="9">
                  <c:v>388749</c:v>
                </c:pt>
                <c:pt idx="10">
                  <c:v>392590</c:v>
                </c:pt>
                <c:pt idx="11">
                  <c:v>391156</c:v>
                </c:pt>
                <c:pt idx="12">
                  <c:v>389521</c:v>
                </c:pt>
                <c:pt idx="13">
                  <c:v>377293</c:v>
                </c:pt>
                <c:pt idx="14">
                  <c:v>362797</c:v>
                </c:pt>
                <c:pt idx="15">
                  <c:v>350415</c:v>
                </c:pt>
                <c:pt idx="16">
                  <c:v>337977</c:v>
                </c:pt>
                <c:pt idx="17">
                  <c:v>332608</c:v>
                </c:pt>
                <c:pt idx="18">
                  <c:v>331942</c:v>
                </c:pt>
                <c:pt idx="19">
                  <c:v>341562</c:v>
                </c:pt>
                <c:pt idx="20">
                  <c:v>313713</c:v>
                </c:pt>
                <c:pt idx="21">
                  <c:v>295699</c:v>
                </c:pt>
                <c:pt idx="22">
                  <c:v>319712</c:v>
                </c:pt>
                <c:pt idx="23">
                  <c:v>311758</c:v>
                </c:pt>
                <c:pt idx="24">
                  <c:v>294797</c:v>
                </c:pt>
                <c:pt idx="25">
                  <c:v>297615</c:v>
                </c:pt>
              </c:numCache>
            </c:numRef>
          </c:val>
          <c:extLst xmlns:c16r2="http://schemas.microsoft.com/office/drawing/2015/06/chart">
            <c:ext xmlns:c16="http://schemas.microsoft.com/office/drawing/2014/chart" uri="{C3380CC4-5D6E-409C-BE32-E72D297353CC}">
              <c16:uniqueId val="{00000000-ED24-49BF-9432-1972F226E6E0}"/>
            </c:ext>
          </c:extLst>
        </c:ser>
        <c:dLbls>
          <c:showLegendKey val="0"/>
          <c:showVal val="0"/>
          <c:showCatName val="0"/>
          <c:showSerName val="0"/>
          <c:showPercent val="0"/>
          <c:showBubbleSize val="0"/>
        </c:dLbls>
        <c:gapWidth val="150"/>
        <c:axId val="190174056"/>
        <c:axId val="190174840"/>
      </c:barChart>
      <c:valAx>
        <c:axId val="190174840"/>
        <c:scaling>
          <c:orientation val="minMax"/>
        </c:scaling>
        <c:delete val="0"/>
        <c:axPos val="l"/>
        <c:majorGridlines>
          <c:spPr>
            <a:ln w="9528" cap="flat">
              <a:solidFill>
                <a:srgbClr val="D9D9D9"/>
              </a:solidFill>
              <a:prstDash val="solid"/>
              <a:round/>
            </a:ln>
          </c:spPr>
        </c:majorGridlines>
        <c:numFmt formatCode="General" sourceLinked="1"/>
        <c:majorTickMark val="none"/>
        <c:minorTickMark val="none"/>
        <c:tickLblPos val="nextTo"/>
        <c:spPr>
          <a:noFill/>
          <a:ln>
            <a:noFill/>
          </a:ln>
        </c:spPr>
        <c:crossAx val="190174056"/>
        <c:crosses val="autoZero"/>
        <c:crossBetween val="between"/>
      </c:valAx>
      <c:catAx>
        <c:axId val="190174056"/>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crossAx val="190174840"/>
        <c:crosses val="autoZero"/>
        <c:auto val="1"/>
        <c:lblAlgn val="ctr"/>
        <c:lblOffset val="100"/>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rot="0" vert="horz" lIns="0" tIns="0" rIns="0" bIns="0" anchor="ctr" anchorCtr="1"/>
    <a:lstStyle/>
    <a:p>
      <a:pPr marL="0" marR="0" indent="0" defTabSz="914400" fontAlgn="auto" hangingPunct="1">
        <a:lnSpc>
          <a:spcPct val="100000"/>
        </a:lnSpc>
        <a:spcBef>
          <a:spcPts val="0"/>
        </a:spcBef>
        <a:spcAft>
          <a:spcPts val="0"/>
        </a:spcAft>
        <a:tabLst/>
        <a:defRPr lang="en-US" sz="1000" b="0" i="0" u="none" strike="noStrike" kern="1200" baseline="0">
          <a:ln>
            <a:noFill/>
          </a:ln>
          <a:solidFill>
            <a:srgbClr val="000000"/>
          </a:solidFill>
          <a:latin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371816279569067E-2"/>
          <c:y val="6.4626055259609169E-2"/>
          <c:w val="0.93868038182771452"/>
          <c:h val="0.855718611866523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Ķermeņa_aizsarglīdzekļi!$B$23:$AA$23</c:f>
              <c:strCache>
                <c:ptCount val="26"/>
                <c:pt idx="0">
                  <c:v>01.04.</c:v>
                </c:pt>
                <c:pt idx="1">
                  <c:v>02.04.</c:v>
                </c:pt>
                <c:pt idx="2">
                  <c:v>03.04.</c:v>
                </c:pt>
                <c:pt idx="3">
                  <c:v>04.04.</c:v>
                </c:pt>
                <c:pt idx="4">
                  <c:v>05.04.</c:v>
                </c:pt>
                <c:pt idx="5">
                  <c:v>06.04.</c:v>
                </c:pt>
                <c:pt idx="6">
                  <c:v>07.04.</c:v>
                </c:pt>
                <c:pt idx="7">
                  <c:v>08.04.</c:v>
                </c:pt>
                <c:pt idx="8">
                  <c:v>09.04.</c:v>
                </c:pt>
                <c:pt idx="9">
                  <c:v>10.04.</c:v>
                </c:pt>
                <c:pt idx="10">
                  <c:v>11.04.</c:v>
                </c:pt>
                <c:pt idx="11">
                  <c:v>12.04.</c:v>
                </c:pt>
                <c:pt idx="12">
                  <c:v>13.04.</c:v>
                </c:pt>
                <c:pt idx="13">
                  <c:v>14.04.</c:v>
                </c:pt>
                <c:pt idx="14">
                  <c:v>15.04.</c:v>
                </c:pt>
                <c:pt idx="15">
                  <c:v>16.04.</c:v>
                </c:pt>
                <c:pt idx="16">
                  <c:v>17.04.</c:v>
                </c:pt>
                <c:pt idx="17">
                  <c:v>18.04.</c:v>
                </c:pt>
                <c:pt idx="18">
                  <c:v>19.04.</c:v>
                </c:pt>
                <c:pt idx="19">
                  <c:v>20.04.</c:v>
                </c:pt>
                <c:pt idx="20">
                  <c:v>21.04.</c:v>
                </c:pt>
                <c:pt idx="21">
                  <c:v>22.04.</c:v>
                </c:pt>
                <c:pt idx="22">
                  <c:v>23.04.</c:v>
                </c:pt>
                <c:pt idx="23">
                  <c:v>24.04.</c:v>
                </c:pt>
                <c:pt idx="24">
                  <c:v>25.04.</c:v>
                </c:pt>
                <c:pt idx="25">
                  <c:v>26.04.</c:v>
                </c:pt>
              </c:strCache>
            </c:strRef>
          </c:cat>
          <c:val>
            <c:numRef>
              <c:f>Ķermeņa_aizsarglīdzekļi!$B$24:$AA$24</c:f>
              <c:numCache>
                <c:formatCode>General</c:formatCode>
                <c:ptCount val="26"/>
                <c:pt idx="0">
                  <c:v>203216</c:v>
                </c:pt>
                <c:pt idx="1">
                  <c:v>202476</c:v>
                </c:pt>
                <c:pt idx="2">
                  <c:v>208743</c:v>
                </c:pt>
                <c:pt idx="3">
                  <c:v>198621</c:v>
                </c:pt>
                <c:pt idx="4">
                  <c:v>198464</c:v>
                </c:pt>
                <c:pt idx="5">
                  <c:v>203675</c:v>
                </c:pt>
                <c:pt idx="6">
                  <c:v>204481</c:v>
                </c:pt>
                <c:pt idx="7">
                  <c:v>198066</c:v>
                </c:pt>
                <c:pt idx="8">
                  <c:v>198080</c:v>
                </c:pt>
                <c:pt idx="9">
                  <c:v>193036</c:v>
                </c:pt>
                <c:pt idx="10">
                  <c:v>217521</c:v>
                </c:pt>
                <c:pt idx="11">
                  <c:v>218173</c:v>
                </c:pt>
                <c:pt idx="12">
                  <c:v>217301</c:v>
                </c:pt>
                <c:pt idx="13">
                  <c:v>213279</c:v>
                </c:pt>
                <c:pt idx="14">
                  <c:v>210680</c:v>
                </c:pt>
                <c:pt idx="15">
                  <c:v>206561</c:v>
                </c:pt>
                <c:pt idx="16">
                  <c:v>197704</c:v>
                </c:pt>
                <c:pt idx="17">
                  <c:v>195193</c:v>
                </c:pt>
                <c:pt idx="18">
                  <c:v>195000</c:v>
                </c:pt>
                <c:pt idx="19">
                  <c:v>192998</c:v>
                </c:pt>
                <c:pt idx="20">
                  <c:v>196081</c:v>
                </c:pt>
                <c:pt idx="21">
                  <c:v>196671</c:v>
                </c:pt>
                <c:pt idx="22">
                  <c:v>195700</c:v>
                </c:pt>
                <c:pt idx="23">
                  <c:v>227056</c:v>
                </c:pt>
                <c:pt idx="24">
                  <c:v>220105</c:v>
                </c:pt>
                <c:pt idx="25">
                  <c:v>207071</c:v>
                </c:pt>
              </c:numCache>
            </c:numRef>
          </c:val>
          <c:extLst xmlns:c16r2="http://schemas.microsoft.com/office/drawing/2015/06/chart">
            <c:ext xmlns:c16="http://schemas.microsoft.com/office/drawing/2014/chart" uri="{C3380CC4-5D6E-409C-BE32-E72D297353CC}">
              <c16:uniqueId val="{00000000-4460-4FD5-A806-73D1A31970DA}"/>
            </c:ext>
          </c:extLst>
        </c:ser>
        <c:dLbls>
          <c:showLegendKey val="0"/>
          <c:showVal val="0"/>
          <c:showCatName val="0"/>
          <c:showSerName val="0"/>
          <c:showPercent val="0"/>
          <c:showBubbleSize val="0"/>
        </c:dLbls>
        <c:gapWidth val="150"/>
        <c:axId val="109927456"/>
        <c:axId val="109926280"/>
      </c:barChart>
      <c:catAx>
        <c:axId val="10992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09926280"/>
        <c:crosses val="autoZero"/>
        <c:auto val="1"/>
        <c:lblAlgn val="ctr"/>
        <c:lblOffset val="100"/>
        <c:noMultiLvlLbl val="0"/>
      </c:catAx>
      <c:valAx>
        <c:axId val="109926280"/>
        <c:scaling>
          <c:orientation val="minMax"/>
          <c:min val="17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099274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TotalTime>
  <Pages>12</Pages>
  <Words>3102</Words>
  <Characters>17687</Characters>
  <Application>Microsoft Office Word</Application>
  <DocSecurity>0</DocSecurity>
  <Lines>147</Lines>
  <Paragraphs>41</Paragraphs>
  <ScaleCrop>false</ScaleCrop>
  <HeadingPairs>
    <vt:vector size="2" baseType="variant">
      <vt:variant>
        <vt:lpstr>Nosaukums</vt:lpstr>
      </vt:variant>
      <vt:variant>
        <vt:i4>1</vt:i4>
      </vt:variant>
    </vt:vector>
  </HeadingPairs>
  <TitlesOfParts>
    <vt:vector size="1" baseType="lpstr">
      <vt:lpstr/>
    </vt:vector>
  </TitlesOfParts>
  <Company>Valsts policija</Company>
  <LinksUpToDate>false</LinksUpToDate>
  <CharactersWithSpaces>20748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Druvaskalns</dc:creator>
  <cp:keywords/>
  <dc:description/>
  <cp:lastModifiedBy>Kaspars Druvaskalns</cp:lastModifiedBy>
  <cp:revision>21</cp:revision>
  <dcterms:created xsi:type="dcterms:W3CDTF">2020-04-25T09:06:00Z</dcterms:created>
  <dcterms:modified xsi:type="dcterms:W3CDTF">2020-04-27T09:03:00Z</dcterms:modified>
</cp:coreProperties>
</file>