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drawings/drawing10.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11.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drawings/drawing12.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drawings/drawing13.xml" ContentType="application/vnd.openxmlformats-officedocument.drawingml.chartshapes+xml"/>
  <Override PartName="/word/charts/chart14.xml" ContentType="application/vnd.openxmlformats-officedocument.drawingml.chart+xml"/>
  <Override PartName="/word/theme/themeOverride14.xml" ContentType="application/vnd.openxmlformats-officedocument.themeOverride+xml"/>
  <Override PartName="/word/drawings/drawing14.xml" ContentType="application/vnd.openxmlformats-officedocument.drawingml.chartshapes+xml"/>
  <Override PartName="/word/charts/chart15.xml" ContentType="application/vnd.openxmlformats-officedocument.drawingml.chart+xml"/>
  <Override PartName="/word/theme/themeOverride15.xml" ContentType="application/vnd.openxmlformats-officedocument.themeOverride+xml"/>
  <Override PartName="/word/drawings/drawing15.xml" ContentType="application/vnd.openxmlformats-officedocument.drawingml.chartshapes+xml"/>
  <Override PartName="/word/charts/chart16.xml" ContentType="application/vnd.openxmlformats-officedocument.drawingml.chart+xml"/>
  <Override PartName="/word/theme/themeOverride16.xml" ContentType="application/vnd.openxmlformats-officedocument.themeOverride+xml"/>
  <Override PartName="/word/drawings/drawing16.xml" ContentType="application/vnd.openxmlformats-officedocument.drawingml.chartshapes+xml"/>
  <Override PartName="/word/charts/chart17.xml" ContentType="application/vnd.openxmlformats-officedocument.drawingml.chart+xml"/>
  <Override PartName="/word/theme/themeOverride17.xml" ContentType="application/vnd.openxmlformats-officedocument.themeOverride+xml"/>
  <Override PartName="/word/drawings/drawing17.xml" ContentType="application/vnd.openxmlformats-officedocument.drawingml.chartshapes+xml"/>
  <Override PartName="/word/charts/chart18.xml" ContentType="application/vnd.openxmlformats-officedocument.drawingml.chart+xml"/>
  <Override PartName="/word/theme/themeOverride18.xml" ContentType="application/vnd.openxmlformats-officedocument.themeOverride+xml"/>
  <Override PartName="/word/drawings/drawing18.xml" ContentType="application/vnd.openxmlformats-officedocument.drawingml.chartshapes+xml"/>
  <Override PartName="/word/charts/chart19.xml" ContentType="application/vnd.openxmlformats-officedocument.drawingml.chart+xml"/>
  <Override PartName="/word/theme/themeOverride19.xml" ContentType="application/vnd.openxmlformats-officedocument.themeOverride+xml"/>
  <Override PartName="/word/drawings/drawing19.xml" ContentType="application/vnd.openxmlformats-officedocument.drawingml.chartshapes+xml"/>
  <Override PartName="/word/charts/chart20.xml" ContentType="application/vnd.openxmlformats-officedocument.drawingml.chart+xml"/>
  <Override PartName="/word/theme/themeOverride20.xml" ContentType="application/vnd.openxmlformats-officedocument.themeOverride+xml"/>
  <Override PartName="/word/drawings/drawing20.xml" ContentType="application/vnd.openxmlformats-officedocument.drawingml.chartshapes+xml"/>
  <Override PartName="/word/charts/chart21.xml" ContentType="application/vnd.openxmlformats-officedocument.drawingml.chart+xml"/>
  <Override PartName="/word/theme/themeOverride21.xml" ContentType="application/vnd.openxmlformats-officedocument.themeOverride+xml"/>
  <Override PartName="/word/drawings/drawing21.xml" ContentType="application/vnd.openxmlformats-officedocument.drawingml.chartshapes+xml"/>
  <Override PartName="/word/charts/chart22.xml" ContentType="application/vnd.openxmlformats-officedocument.drawingml.chart+xml"/>
  <Override PartName="/word/theme/themeOverride22.xml" ContentType="application/vnd.openxmlformats-officedocument.themeOverride+xml"/>
  <Override PartName="/word/drawings/drawing22.xml" ContentType="application/vnd.openxmlformats-officedocument.drawingml.chartshapes+xml"/>
  <Override PartName="/word/charts/chart23.xml" ContentType="application/vnd.openxmlformats-officedocument.drawingml.chart+xml"/>
  <Override PartName="/word/theme/themeOverride23.xml" ContentType="application/vnd.openxmlformats-officedocument.themeOverride+xml"/>
  <Override PartName="/word/drawings/drawing23.xml" ContentType="application/vnd.openxmlformats-officedocument.drawingml.chartshapes+xml"/>
  <Override PartName="/word/charts/chart24.xml" ContentType="application/vnd.openxmlformats-officedocument.drawingml.chart+xml"/>
  <Override PartName="/word/theme/themeOverride24.xml" ContentType="application/vnd.openxmlformats-officedocument.themeOverride+xml"/>
  <Override PartName="/word/drawings/drawing24.xml" ContentType="application/vnd.openxmlformats-officedocument.drawingml.chartshapes+xml"/>
  <Override PartName="/word/charts/chart25.xml" ContentType="application/vnd.openxmlformats-officedocument.drawingml.chart+xml"/>
  <Override PartName="/word/theme/themeOverride25.xml" ContentType="application/vnd.openxmlformats-officedocument.themeOverride+xml"/>
  <Override PartName="/word/drawings/drawing25.xml" ContentType="application/vnd.openxmlformats-officedocument.drawingml.chartshapes+xml"/>
  <Override PartName="/word/charts/chart26.xml" ContentType="application/vnd.openxmlformats-officedocument.drawingml.chart+xml"/>
  <Override PartName="/word/theme/themeOverride26.xml" ContentType="application/vnd.openxmlformats-officedocument.themeOverride+xml"/>
  <Override PartName="/word/drawings/drawing26.xml" ContentType="application/vnd.openxmlformats-officedocument.drawingml.chartshapes+xml"/>
  <Override PartName="/word/charts/chart27.xml" ContentType="application/vnd.openxmlformats-officedocument.drawingml.chart+xml"/>
  <Override PartName="/word/theme/themeOverride27.xml" ContentType="application/vnd.openxmlformats-officedocument.themeOverride+xml"/>
  <Override PartName="/word/drawings/drawing27.xml" ContentType="application/vnd.openxmlformats-officedocument.drawingml.chartshapes+xml"/>
  <Override PartName="/word/charts/chart28.xml" ContentType="application/vnd.openxmlformats-officedocument.drawingml.chart+xml"/>
  <Override PartName="/word/theme/themeOverride28.xml" ContentType="application/vnd.openxmlformats-officedocument.themeOverride+xml"/>
  <Override PartName="/word/drawings/drawing28.xml" ContentType="application/vnd.openxmlformats-officedocument.drawingml.chartshapes+xml"/>
  <Override PartName="/word/charts/chart29.xml" ContentType="application/vnd.openxmlformats-officedocument.drawingml.chart+xml"/>
  <Override PartName="/word/theme/themeOverride29.xml" ContentType="application/vnd.openxmlformats-officedocument.themeOverride+xml"/>
  <Override PartName="/word/drawings/drawing29.xml" ContentType="application/vnd.openxmlformats-officedocument.drawingml.chartshapes+xml"/>
  <Override PartName="/word/charts/chart30.xml" ContentType="application/vnd.openxmlformats-officedocument.drawingml.chart+xml"/>
  <Override PartName="/word/theme/themeOverride30.xml" ContentType="application/vnd.openxmlformats-officedocument.themeOverride+xml"/>
  <Override PartName="/word/drawings/drawing30.xml" ContentType="application/vnd.openxmlformats-officedocument.drawingml.chartshapes+xml"/>
  <Override PartName="/word/charts/chart31.xml" ContentType="application/vnd.openxmlformats-officedocument.drawingml.chart+xml"/>
  <Override PartName="/word/theme/themeOverride31.xml" ContentType="application/vnd.openxmlformats-officedocument.themeOverride+xml"/>
  <Override PartName="/word/drawings/drawing31.xml" ContentType="application/vnd.openxmlformats-officedocument.drawingml.chartshapes+xml"/>
  <Override PartName="/word/charts/chart32.xml" ContentType="application/vnd.openxmlformats-officedocument.drawingml.chart+xml"/>
  <Override PartName="/word/theme/themeOverride32.xml" ContentType="application/vnd.openxmlformats-officedocument.themeOverride+xml"/>
  <Override PartName="/word/drawings/drawing32.xml" ContentType="application/vnd.openxmlformats-officedocument.drawingml.chartshapes+xml"/>
  <Override PartName="/word/charts/chart33.xml" ContentType="application/vnd.openxmlformats-officedocument.drawingml.chart+xml"/>
  <Override PartName="/word/theme/themeOverride33.xml" ContentType="application/vnd.openxmlformats-officedocument.themeOverride+xml"/>
  <Override PartName="/word/drawings/drawing33.xml" ContentType="application/vnd.openxmlformats-officedocument.drawingml.chartshapes+xml"/>
  <Override PartName="/word/charts/chart34.xml" ContentType="application/vnd.openxmlformats-officedocument.drawingml.chart+xml"/>
  <Override PartName="/word/theme/themeOverride34.xml" ContentType="application/vnd.openxmlformats-officedocument.themeOverride+xml"/>
  <Override PartName="/word/drawings/drawing34.xml" ContentType="application/vnd.openxmlformats-officedocument.drawingml.chartshapes+xml"/>
  <Override PartName="/word/charts/chart35.xml" ContentType="application/vnd.openxmlformats-officedocument.drawingml.chart+xml"/>
  <Override PartName="/word/theme/themeOverride35.xml" ContentType="application/vnd.openxmlformats-officedocument.themeOverride+xml"/>
  <Override PartName="/word/drawings/drawing35.xml" ContentType="application/vnd.openxmlformats-officedocument.drawingml.chartshapes+xml"/>
  <Override PartName="/word/charts/chart36.xml" ContentType="application/vnd.openxmlformats-officedocument.drawingml.chart+xml"/>
  <Override PartName="/word/theme/themeOverride36.xml" ContentType="application/vnd.openxmlformats-officedocument.themeOverride+xml"/>
  <Override PartName="/word/drawings/drawing36.xml" ContentType="application/vnd.openxmlformats-officedocument.drawingml.chartshapes+xml"/>
  <Override PartName="/word/charts/chart37.xml" ContentType="application/vnd.openxmlformats-officedocument.drawingml.chart+xml"/>
  <Override PartName="/word/theme/themeOverride37.xml" ContentType="application/vnd.openxmlformats-officedocument.themeOverride+xml"/>
  <Override PartName="/word/drawings/drawing37.xml" ContentType="application/vnd.openxmlformats-officedocument.drawingml.chartshapes+xml"/>
  <Override PartName="/word/charts/chart38.xml" ContentType="application/vnd.openxmlformats-officedocument.drawingml.chart+xml"/>
  <Override PartName="/word/theme/themeOverride38.xml" ContentType="application/vnd.openxmlformats-officedocument.themeOverride+xml"/>
  <Override PartName="/word/drawings/drawing38.xml" ContentType="application/vnd.openxmlformats-officedocument.drawingml.chartshapes+xml"/>
  <Override PartName="/word/charts/chart39.xml" ContentType="application/vnd.openxmlformats-officedocument.drawingml.chart+xml"/>
  <Override PartName="/word/theme/themeOverride39.xml" ContentType="application/vnd.openxmlformats-officedocument.themeOverride+xml"/>
  <Override PartName="/word/drawings/drawing39.xml" ContentType="application/vnd.openxmlformats-officedocument.drawingml.chartshapes+xml"/>
  <Override PartName="/word/charts/chart40.xml" ContentType="application/vnd.openxmlformats-officedocument.drawingml.chart+xml"/>
  <Override PartName="/word/theme/themeOverride40.xml" ContentType="application/vnd.openxmlformats-officedocument.themeOverride+xml"/>
  <Override PartName="/word/drawings/drawing40.xml" ContentType="application/vnd.openxmlformats-officedocument.drawingml.chartshapes+xml"/>
  <Override PartName="/word/charts/chart41.xml" ContentType="application/vnd.openxmlformats-officedocument.drawingml.chart+xml"/>
  <Override PartName="/word/theme/themeOverride41.xml" ContentType="application/vnd.openxmlformats-officedocument.themeOverride+xml"/>
  <Override PartName="/word/drawings/drawing41.xml" ContentType="application/vnd.openxmlformats-officedocument.drawingml.chartshapes+xml"/>
  <Override PartName="/word/charts/chart42.xml" ContentType="application/vnd.openxmlformats-officedocument.drawingml.chart+xml"/>
  <Override PartName="/word/theme/themeOverride42.xml" ContentType="application/vnd.openxmlformats-officedocument.themeOverride+xml"/>
  <Override PartName="/word/drawings/drawing42.xml" ContentType="application/vnd.openxmlformats-officedocument.drawingml.chartshapes+xml"/>
  <Override PartName="/word/charts/chart43.xml" ContentType="application/vnd.openxmlformats-officedocument.drawingml.chart+xml"/>
  <Override PartName="/word/theme/themeOverride43.xml" ContentType="application/vnd.openxmlformats-officedocument.themeOverride+xml"/>
  <Override PartName="/word/drawings/drawing43.xml" ContentType="application/vnd.openxmlformats-officedocument.drawingml.chartshapes+xml"/>
  <Override PartName="/word/charts/chart44.xml" ContentType="application/vnd.openxmlformats-officedocument.drawingml.chart+xml"/>
  <Override PartName="/word/theme/themeOverride44.xml" ContentType="application/vnd.openxmlformats-officedocument.themeOverride+xml"/>
  <Override PartName="/word/drawings/drawing44.xml" ContentType="application/vnd.openxmlformats-officedocument.drawingml.chartshapes+xml"/>
  <Override PartName="/word/charts/chart45.xml" ContentType="application/vnd.openxmlformats-officedocument.drawingml.chart+xml"/>
  <Override PartName="/word/theme/themeOverride45.xml" ContentType="application/vnd.openxmlformats-officedocument.themeOverride+xml"/>
  <Override PartName="/word/drawings/drawing45.xml" ContentType="application/vnd.openxmlformats-officedocument.drawingml.chartshapes+xml"/>
  <Override PartName="/word/charts/chart46.xml" ContentType="application/vnd.openxmlformats-officedocument.drawingml.chart+xml"/>
  <Override PartName="/word/theme/themeOverride46.xml" ContentType="application/vnd.openxmlformats-officedocument.themeOverride+xml"/>
  <Override PartName="/word/drawings/drawing46.xml" ContentType="application/vnd.openxmlformats-officedocument.drawingml.chartshapes+xml"/>
  <Override PartName="/word/charts/chart47.xml" ContentType="application/vnd.openxmlformats-officedocument.drawingml.chart+xml"/>
  <Override PartName="/word/theme/themeOverride47.xml" ContentType="application/vnd.openxmlformats-officedocument.themeOverride+xml"/>
  <Override PartName="/word/drawings/drawing47.xml" ContentType="application/vnd.openxmlformats-officedocument.drawingml.chartshapes+xml"/>
  <Override PartName="/word/charts/chart48.xml" ContentType="application/vnd.openxmlformats-officedocument.drawingml.chart+xml"/>
  <Override PartName="/word/theme/themeOverride48.xml" ContentType="application/vnd.openxmlformats-officedocument.themeOverride+xml"/>
  <Override PartName="/word/drawings/drawing48.xml" ContentType="application/vnd.openxmlformats-officedocument.drawingml.chartshapes+xml"/>
  <Override PartName="/word/charts/chart49.xml" ContentType="application/vnd.openxmlformats-officedocument.drawingml.chart+xml"/>
  <Override PartName="/word/theme/themeOverride49.xml" ContentType="application/vnd.openxmlformats-officedocument.themeOverride+xml"/>
  <Override PartName="/word/drawings/drawing49.xml" ContentType="application/vnd.openxmlformats-officedocument.drawingml.chartshapes+xml"/>
  <Override PartName="/word/charts/chart50.xml" ContentType="application/vnd.openxmlformats-officedocument.drawingml.chart+xml"/>
  <Override PartName="/word/theme/themeOverride50.xml" ContentType="application/vnd.openxmlformats-officedocument.themeOverride+xml"/>
  <Override PartName="/word/drawings/drawing50.xml" ContentType="application/vnd.openxmlformats-officedocument.drawingml.chartshapes+xml"/>
  <Override PartName="/word/charts/chart51.xml" ContentType="application/vnd.openxmlformats-officedocument.drawingml.chart+xml"/>
  <Override PartName="/word/theme/themeOverride51.xml" ContentType="application/vnd.openxmlformats-officedocument.themeOverride+xml"/>
  <Override PartName="/word/drawings/drawing51.xml" ContentType="application/vnd.openxmlformats-officedocument.drawingml.chartshapes+xml"/>
  <Override PartName="/word/charts/chart52.xml" ContentType="application/vnd.openxmlformats-officedocument.drawingml.chart+xml"/>
  <Override PartName="/word/theme/themeOverride52.xml" ContentType="application/vnd.openxmlformats-officedocument.themeOverride+xml"/>
  <Override PartName="/word/drawings/drawing52.xml" ContentType="application/vnd.openxmlformats-officedocument.drawingml.chartshapes+xml"/>
  <Override PartName="/word/charts/chart53.xml" ContentType="application/vnd.openxmlformats-officedocument.drawingml.chart+xml"/>
  <Override PartName="/word/theme/themeOverride53.xml" ContentType="application/vnd.openxmlformats-officedocument.themeOverride+xml"/>
  <Override PartName="/word/drawings/drawing53.xml" ContentType="application/vnd.openxmlformats-officedocument.drawingml.chartshapes+xml"/>
  <Override PartName="/word/charts/chart54.xml" ContentType="application/vnd.openxmlformats-officedocument.drawingml.chart+xml"/>
  <Override PartName="/word/theme/themeOverride54.xml" ContentType="application/vnd.openxmlformats-officedocument.themeOverride+xml"/>
  <Override PartName="/word/drawings/drawing54.xml" ContentType="application/vnd.openxmlformats-officedocument.drawingml.chartshapes+xml"/>
  <Override PartName="/word/charts/chart55.xml" ContentType="application/vnd.openxmlformats-officedocument.drawingml.chart+xml"/>
  <Override PartName="/word/theme/themeOverride55.xml" ContentType="application/vnd.openxmlformats-officedocument.themeOverride+xml"/>
  <Override PartName="/word/drawings/drawing55.xml" ContentType="application/vnd.openxmlformats-officedocument.drawingml.chartshapes+xml"/>
  <Override PartName="/word/charts/chart56.xml" ContentType="application/vnd.openxmlformats-officedocument.drawingml.chart+xml"/>
  <Override PartName="/word/theme/themeOverride56.xml" ContentType="application/vnd.openxmlformats-officedocument.themeOverride+xml"/>
  <Override PartName="/word/drawings/drawing56.xml" ContentType="application/vnd.openxmlformats-officedocument.drawingml.chartshapes+xml"/>
  <Override PartName="/word/charts/chart57.xml" ContentType="application/vnd.openxmlformats-officedocument.drawingml.chart+xml"/>
  <Override PartName="/word/theme/themeOverride57.xml" ContentType="application/vnd.openxmlformats-officedocument.themeOverride+xml"/>
  <Override PartName="/word/drawings/drawing57.xml" ContentType="application/vnd.openxmlformats-officedocument.drawingml.chartshapes+xml"/>
  <Override PartName="/word/charts/chart58.xml" ContentType="application/vnd.openxmlformats-officedocument.drawingml.chart+xml"/>
  <Override PartName="/word/theme/themeOverride58.xml" ContentType="application/vnd.openxmlformats-officedocument.themeOverride+xml"/>
  <Override PartName="/word/drawings/drawing58.xml" ContentType="application/vnd.openxmlformats-officedocument.drawingml.chartshapes+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477C1" w:rsidRDefault="00C06466">
      <w:pPr>
        <w:spacing w:after="200" w:line="276" w:lineRule="auto"/>
        <w:jc w:val="center"/>
        <w:rPr>
          <w:rFonts w:ascii="Arial" w:eastAsia="Calibri" w:hAnsi="Arial" w:cs="Arial"/>
        </w:rPr>
      </w:pPr>
      <w:r>
        <w:rPr>
          <w:rFonts w:eastAsia="Calibri"/>
          <w:noProof/>
          <w:lang w:eastAsia="lv-LV"/>
        </w:rPr>
        <w:drawing>
          <wp:inline distT="0" distB="0" distL="0" distR="0">
            <wp:extent cx="5276850" cy="1066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1066800"/>
                    </a:xfrm>
                    <a:prstGeom prst="rect">
                      <a:avLst/>
                    </a:prstGeom>
                    <a:solidFill>
                      <a:srgbClr val="FFFFFF"/>
                    </a:solidFill>
                    <a:ln>
                      <a:noFill/>
                    </a:ln>
                  </pic:spPr>
                </pic:pic>
              </a:graphicData>
            </a:graphic>
          </wp:inline>
        </w:drawing>
      </w:r>
    </w:p>
    <w:p w:rsidR="007477C1" w:rsidRDefault="007477C1">
      <w:pPr>
        <w:spacing w:after="200" w:line="276" w:lineRule="auto"/>
        <w:jc w:val="center"/>
        <w:rPr>
          <w:rFonts w:ascii="Arial" w:eastAsia="Calibri" w:hAnsi="Arial" w:cs="Arial"/>
        </w:rPr>
      </w:pPr>
      <w:r>
        <w:rPr>
          <w:rFonts w:ascii="Arial" w:eastAsia="Calibri" w:hAnsi="Arial" w:cs="Arial"/>
        </w:rPr>
        <w:t>Pētījums veikt</w:t>
      </w:r>
      <w:bookmarkStart w:id="0" w:name="_GoBack"/>
      <w:bookmarkEnd w:id="0"/>
      <w:r>
        <w:rPr>
          <w:rFonts w:ascii="Arial" w:eastAsia="Calibri" w:hAnsi="Arial" w:cs="Arial"/>
        </w:rPr>
        <w:t>s Valsts kancelejas administrētā projekta „Atbalsts strukturālo reformu ieviešanai valsts pārvaldē’’ (identifikācijas Nr. 1DP/1.5.1.1.1./10/IPIA/CFLA/004/002)</w:t>
      </w:r>
    </w:p>
    <w:p w:rsidR="007477C1" w:rsidRDefault="007477C1">
      <w:pPr>
        <w:spacing w:after="200" w:line="276" w:lineRule="auto"/>
        <w:jc w:val="center"/>
        <w:rPr>
          <w:rFonts w:ascii="Arial" w:eastAsia="Calibri" w:hAnsi="Arial" w:cs="Arial"/>
        </w:rPr>
      </w:pPr>
      <w:r>
        <w:rPr>
          <w:rFonts w:ascii="Arial" w:eastAsia="Calibri" w:hAnsi="Arial" w:cs="Arial"/>
        </w:rPr>
        <w:t>Aktivitātes Nr. 3.2.</w:t>
      </w:r>
    </w:p>
    <w:p w:rsidR="007477C1" w:rsidRDefault="007477C1">
      <w:pPr>
        <w:spacing w:after="200" w:line="276" w:lineRule="auto"/>
        <w:jc w:val="center"/>
        <w:rPr>
          <w:rFonts w:ascii="Arial" w:eastAsia="Calibri" w:hAnsi="Arial" w:cs="Arial"/>
        </w:rPr>
      </w:pPr>
      <w:r>
        <w:rPr>
          <w:rFonts w:ascii="Arial" w:eastAsia="Calibri" w:hAnsi="Arial" w:cs="Arial"/>
        </w:rPr>
        <w:t>„Strukturālo reformu ieviešanas ietekmes novērtēšana”</w:t>
      </w:r>
      <w:r>
        <w:rPr>
          <w:rFonts w:ascii="Arial" w:eastAsia="Calibri" w:hAnsi="Arial" w:cs="Arial"/>
          <w:color w:val="000000"/>
          <w:shd w:val="clear" w:color="auto" w:fill="FFFF00"/>
        </w:rPr>
        <w:t xml:space="preserve"> </w:t>
      </w:r>
    </w:p>
    <w:p w:rsidR="007477C1" w:rsidRDefault="007477C1">
      <w:pPr>
        <w:spacing w:after="200" w:line="276" w:lineRule="auto"/>
        <w:jc w:val="center"/>
        <w:rPr>
          <w:rFonts w:ascii="Arial" w:eastAsia="Calibri" w:hAnsi="Arial" w:cs="Arial"/>
        </w:rPr>
      </w:pPr>
      <w:r>
        <w:rPr>
          <w:rFonts w:ascii="Arial" w:eastAsia="Calibri" w:hAnsi="Arial" w:cs="Arial"/>
        </w:rPr>
        <w:t>(iepirkuma ID Nr. MK VK 2012/4 ESF) ietvaros</w:t>
      </w:r>
    </w:p>
    <w:p w:rsidR="007477C1" w:rsidRDefault="007477C1">
      <w:pPr>
        <w:spacing w:after="200" w:line="276" w:lineRule="auto"/>
        <w:jc w:val="center"/>
        <w:rPr>
          <w:rFonts w:ascii="Arial" w:eastAsia="Calibri" w:hAnsi="Arial" w:cs="Arial"/>
        </w:rPr>
      </w:pPr>
      <w:r>
        <w:rPr>
          <w:rFonts w:ascii="Arial" w:eastAsia="Calibri" w:hAnsi="Arial" w:cs="Arial"/>
        </w:rPr>
        <w:t>Projektu 100% apmērā finansē Eiropas Sociālais fonds</w:t>
      </w:r>
    </w:p>
    <w:p w:rsidR="007477C1" w:rsidRDefault="007477C1">
      <w:pPr>
        <w:tabs>
          <w:tab w:val="left" w:pos="3818"/>
        </w:tabs>
        <w:spacing w:line="276" w:lineRule="auto"/>
        <w:jc w:val="center"/>
        <w:rPr>
          <w:rFonts w:ascii="Arial" w:eastAsia="Calibri" w:hAnsi="Arial" w:cs="Arial"/>
        </w:rPr>
      </w:pPr>
    </w:p>
    <w:p w:rsidR="007477C1" w:rsidRDefault="007477C1">
      <w:pPr>
        <w:shd w:val="clear" w:color="auto" w:fill="FFFFFF"/>
        <w:spacing w:after="200" w:line="276" w:lineRule="auto"/>
        <w:jc w:val="center"/>
        <w:rPr>
          <w:rFonts w:ascii="Arial" w:eastAsia="Calibri" w:hAnsi="Arial" w:cs="Arial"/>
          <w:b/>
          <w:sz w:val="36"/>
          <w:szCs w:val="36"/>
        </w:rPr>
      </w:pPr>
      <w:r>
        <w:t xml:space="preserve"> </w:t>
      </w:r>
    </w:p>
    <w:p w:rsidR="007477C1" w:rsidRDefault="00132BFC">
      <w:pPr>
        <w:shd w:val="clear" w:color="auto" w:fill="FFFFFF"/>
        <w:spacing w:after="200" w:line="276" w:lineRule="auto"/>
        <w:jc w:val="center"/>
        <w:rPr>
          <w:rFonts w:ascii="Arial" w:eastAsia="Calibri" w:hAnsi="Arial" w:cs="Arial"/>
          <w:sz w:val="28"/>
          <w:szCs w:val="28"/>
        </w:rPr>
      </w:pPr>
      <w:r>
        <w:rPr>
          <w:rFonts w:ascii="Arial" w:eastAsia="Calibri" w:hAnsi="Arial" w:cs="Arial"/>
          <w:b/>
          <w:sz w:val="36"/>
          <w:szCs w:val="36"/>
        </w:rPr>
        <w:t>APTAUJAS PAR UZŅĒMUMU BIZNESA PRAKSI PĒTNIECĪBAS UN INOVĀCIJAS JOMĀ         TEHNISKAIS ZIŅOJUMS</w:t>
      </w:r>
    </w:p>
    <w:p w:rsidR="007477C1" w:rsidRDefault="007477C1">
      <w:pPr>
        <w:spacing w:after="200" w:line="276" w:lineRule="auto"/>
        <w:jc w:val="center"/>
        <w:rPr>
          <w:rFonts w:ascii="Arial" w:eastAsia="Calibri" w:hAnsi="Arial" w:cs="Arial"/>
          <w:b/>
          <w:sz w:val="28"/>
          <w:szCs w:val="28"/>
        </w:rPr>
      </w:pPr>
      <w:r>
        <w:rPr>
          <w:rFonts w:ascii="Arial" w:eastAsia="Calibri" w:hAnsi="Arial" w:cs="Arial"/>
          <w:sz w:val="28"/>
          <w:szCs w:val="28"/>
        </w:rPr>
        <w:t>atbilstoši 2012.gada 27.decembra līgumam Nr.112</w:t>
      </w:r>
    </w:p>
    <w:p w:rsidR="007477C1" w:rsidRDefault="007477C1">
      <w:pPr>
        <w:spacing w:after="200" w:line="276" w:lineRule="auto"/>
        <w:jc w:val="center"/>
        <w:rPr>
          <w:rFonts w:ascii="Arial" w:eastAsia="Calibri" w:hAnsi="Arial" w:cs="Arial"/>
        </w:rPr>
      </w:pPr>
      <w:r>
        <w:rPr>
          <w:rFonts w:ascii="Arial" w:eastAsia="Calibri" w:hAnsi="Arial" w:cs="Arial"/>
          <w:b/>
          <w:sz w:val="28"/>
          <w:szCs w:val="28"/>
        </w:rPr>
        <w:t>„Pētījums par privātā sektora investīcijām pētniecībā un attīstībā un priekšlikumu izstrāde atbalsta pasākumiem investīciju sekmēšanai”</w:t>
      </w:r>
    </w:p>
    <w:p w:rsidR="007477C1" w:rsidRDefault="007477C1">
      <w:pPr>
        <w:spacing w:after="200" w:line="276" w:lineRule="auto"/>
        <w:jc w:val="center"/>
        <w:rPr>
          <w:rFonts w:ascii="Arial" w:eastAsia="Calibri" w:hAnsi="Arial" w:cs="Arial"/>
        </w:rPr>
      </w:pPr>
    </w:p>
    <w:p w:rsidR="007477C1" w:rsidRDefault="007477C1">
      <w:pPr>
        <w:spacing w:after="200" w:line="276" w:lineRule="auto"/>
        <w:jc w:val="center"/>
        <w:rPr>
          <w:rFonts w:ascii="Arial" w:eastAsia="Calibri" w:hAnsi="Arial" w:cs="Arial"/>
        </w:rPr>
      </w:pPr>
    </w:p>
    <w:p w:rsidR="007477C1" w:rsidRDefault="007477C1">
      <w:pPr>
        <w:spacing w:after="200" w:line="276" w:lineRule="auto"/>
        <w:jc w:val="center"/>
        <w:rPr>
          <w:rFonts w:ascii="Arial" w:eastAsia="Calibri" w:hAnsi="Arial" w:cs="Arial"/>
        </w:rPr>
      </w:pPr>
      <w:r>
        <w:rPr>
          <w:rFonts w:ascii="Arial" w:eastAsia="Calibri" w:hAnsi="Arial" w:cs="Arial"/>
        </w:rPr>
        <w:t>Izpildītājs:</w:t>
      </w:r>
    </w:p>
    <w:p w:rsidR="007477C1" w:rsidRDefault="007477C1">
      <w:pPr>
        <w:spacing w:after="200" w:line="276" w:lineRule="auto"/>
        <w:jc w:val="center"/>
        <w:rPr>
          <w:rFonts w:ascii="Arial" w:eastAsia="Calibri" w:hAnsi="Arial" w:cs="Arial"/>
        </w:rPr>
      </w:pPr>
      <w:r>
        <w:rPr>
          <w:rFonts w:ascii="Arial" w:eastAsia="Calibri" w:hAnsi="Arial" w:cs="Arial"/>
        </w:rPr>
        <w:t>Personu apvienība „SIA „Baltijas Konsultācijas” un SIA „</w:t>
      </w:r>
      <w:proofErr w:type="spellStart"/>
      <w:r>
        <w:rPr>
          <w:rFonts w:ascii="Arial" w:eastAsia="Calibri" w:hAnsi="Arial" w:cs="Arial"/>
        </w:rPr>
        <w:t>Konsorts</w:t>
      </w:r>
      <w:proofErr w:type="spellEnd"/>
      <w:r>
        <w:rPr>
          <w:rFonts w:ascii="Arial" w:eastAsia="Calibri" w:hAnsi="Arial" w:cs="Arial"/>
        </w:rPr>
        <w:t>””</w:t>
      </w:r>
    </w:p>
    <w:p w:rsidR="007477C1" w:rsidRDefault="007477C1">
      <w:pPr>
        <w:spacing w:after="200" w:line="276" w:lineRule="auto"/>
        <w:jc w:val="center"/>
        <w:rPr>
          <w:rFonts w:ascii="Arial" w:eastAsia="Calibri" w:hAnsi="Arial" w:cs="Arial"/>
        </w:rPr>
      </w:pPr>
    </w:p>
    <w:p w:rsidR="007477C1" w:rsidRDefault="007477C1">
      <w:pPr>
        <w:spacing w:after="200" w:line="276" w:lineRule="auto"/>
        <w:jc w:val="center"/>
        <w:rPr>
          <w:rFonts w:eastAsia="Calibri"/>
        </w:rPr>
      </w:pPr>
      <w:r>
        <w:rPr>
          <w:rFonts w:ascii="Arial" w:eastAsia="Calibri" w:hAnsi="Arial" w:cs="Arial"/>
        </w:rPr>
        <w:t xml:space="preserve">Rīga, 2013.gada </w:t>
      </w:r>
      <w:r w:rsidR="00CC1CA2">
        <w:rPr>
          <w:rFonts w:ascii="Arial" w:eastAsia="Calibri" w:hAnsi="Arial" w:cs="Arial"/>
        </w:rPr>
        <w:t>25</w:t>
      </w:r>
      <w:r>
        <w:rPr>
          <w:rFonts w:ascii="Arial" w:eastAsia="Calibri" w:hAnsi="Arial" w:cs="Arial"/>
        </w:rPr>
        <w:t>.</w:t>
      </w:r>
      <w:r w:rsidR="00DC2EDD">
        <w:rPr>
          <w:rFonts w:ascii="Arial" w:eastAsia="Calibri" w:hAnsi="Arial" w:cs="Arial"/>
        </w:rPr>
        <w:t>aprīlis</w:t>
      </w:r>
    </w:p>
    <w:p w:rsidR="007477C1" w:rsidRDefault="007477C1">
      <w:pPr>
        <w:spacing w:after="200" w:line="276" w:lineRule="auto"/>
        <w:rPr>
          <w:rFonts w:eastAsia="Calibri"/>
        </w:rPr>
      </w:pPr>
    </w:p>
    <w:p w:rsidR="007477C1" w:rsidRDefault="007477C1">
      <w:pPr>
        <w:pageBreakBefore/>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rPr>
      </w:pPr>
    </w:p>
    <w:p w:rsidR="007477C1" w:rsidRDefault="007477C1">
      <w:pPr>
        <w:spacing w:after="0"/>
        <w:ind w:right="2175"/>
        <w:rPr>
          <w:rFonts w:cs="Calibri"/>
          <w:color w:val="002060"/>
        </w:rPr>
      </w:pPr>
      <w:r>
        <w:rPr>
          <w:rFonts w:cs="Calibri"/>
          <w:b/>
          <w:color w:val="002060"/>
        </w:rPr>
        <w:t>Kontaktpersonas:</w:t>
      </w:r>
    </w:p>
    <w:tbl>
      <w:tblPr>
        <w:tblW w:w="0" w:type="auto"/>
        <w:tblLayout w:type="fixed"/>
        <w:tblLook w:val="0000" w:firstRow="0" w:lastRow="0" w:firstColumn="0" w:lastColumn="0" w:noHBand="0" w:noVBand="0"/>
      </w:tblPr>
      <w:tblGrid>
        <w:gridCol w:w="3794"/>
        <w:gridCol w:w="5827"/>
      </w:tblGrid>
      <w:tr w:rsidR="007477C1">
        <w:tc>
          <w:tcPr>
            <w:tcW w:w="3794" w:type="dxa"/>
            <w:shd w:val="clear" w:color="auto" w:fill="auto"/>
          </w:tcPr>
          <w:p w:rsidR="007477C1" w:rsidRDefault="007477C1">
            <w:pPr>
              <w:spacing w:after="0"/>
              <w:ind w:right="-60"/>
              <w:rPr>
                <w:rFonts w:cs="Calibri"/>
                <w:color w:val="002060"/>
              </w:rPr>
            </w:pPr>
            <w:r>
              <w:rPr>
                <w:rFonts w:cs="Calibri"/>
                <w:color w:val="002060"/>
              </w:rPr>
              <w:t>SIA „</w:t>
            </w:r>
            <w:proofErr w:type="spellStart"/>
            <w:r>
              <w:rPr>
                <w:rFonts w:cs="Calibri"/>
                <w:color w:val="002060"/>
              </w:rPr>
              <w:t>Konsorts</w:t>
            </w:r>
            <w:proofErr w:type="spellEnd"/>
            <w:r>
              <w:rPr>
                <w:rFonts w:cs="Calibri"/>
                <w:color w:val="002060"/>
              </w:rPr>
              <w:t>”</w:t>
            </w:r>
          </w:p>
          <w:p w:rsidR="007477C1" w:rsidRDefault="007477C1">
            <w:pPr>
              <w:spacing w:after="0"/>
              <w:ind w:right="-60"/>
              <w:rPr>
                <w:color w:val="002060"/>
              </w:rPr>
            </w:pPr>
            <w:r>
              <w:rPr>
                <w:rFonts w:cs="Calibri"/>
                <w:color w:val="002060"/>
              </w:rPr>
              <w:t>izpilddirektors Kaspars Timofejevs</w:t>
            </w:r>
          </w:p>
          <w:p w:rsidR="007477C1" w:rsidRDefault="007477C1">
            <w:pPr>
              <w:tabs>
                <w:tab w:val="left" w:pos="2410"/>
              </w:tabs>
              <w:spacing w:after="0"/>
              <w:ind w:right="-60"/>
              <w:rPr>
                <w:rFonts w:cs="Calibri"/>
                <w:color w:val="002060"/>
              </w:rPr>
            </w:pPr>
            <w:r>
              <w:rPr>
                <w:color w:val="002060"/>
              </w:rPr>
              <w:t>kaspars.timofejevs@konsorts.lv</w:t>
            </w:r>
            <w:r>
              <w:rPr>
                <w:rFonts w:cs="Calibri"/>
                <w:color w:val="002060"/>
              </w:rPr>
              <w:t xml:space="preserve"> </w:t>
            </w:r>
          </w:p>
          <w:p w:rsidR="007477C1" w:rsidRDefault="007477C1">
            <w:pPr>
              <w:tabs>
                <w:tab w:val="left" w:pos="0"/>
              </w:tabs>
              <w:spacing w:after="0"/>
              <w:ind w:right="-60"/>
              <w:rPr>
                <w:rFonts w:cs="Calibri"/>
                <w:color w:val="002060"/>
              </w:rPr>
            </w:pPr>
            <w:r>
              <w:rPr>
                <w:rFonts w:cs="Calibri"/>
                <w:color w:val="002060"/>
              </w:rPr>
              <w:t>Tālr. +371 29494787</w:t>
            </w:r>
          </w:p>
        </w:tc>
        <w:tc>
          <w:tcPr>
            <w:tcW w:w="5827" w:type="dxa"/>
            <w:shd w:val="clear" w:color="auto" w:fill="auto"/>
          </w:tcPr>
          <w:p w:rsidR="007477C1" w:rsidRDefault="007477C1">
            <w:pPr>
              <w:spacing w:after="0"/>
              <w:rPr>
                <w:rFonts w:cs="Calibri"/>
                <w:color w:val="002060"/>
              </w:rPr>
            </w:pPr>
            <w:r>
              <w:rPr>
                <w:rFonts w:cs="Calibri"/>
                <w:color w:val="002060"/>
              </w:rPr>
              <w:t>SIA „Baltijas Konsultācijas”</w:t>
            </w:r>
          </w:p>
          <w:p w:rsidR="007477C1" w:rsidRDefault="007477C1">
            <w:pPr>
              <w:spacing w:after="0"/>
              <w:rPr>
                <w:rFonts w:cs="Calibri"/>
                <w:color w:val="002060"/>
              </w:rPr>
            </w:pPr>
            <w:r>
              <w:rPr>
                <w:rFonts w:cs="Calibri"/>
                <w:color w:val="002060"/>
              </w:rPr>
              <w:t>Valdes priekšsēdētājs Gatis Liepiņš</w:t>
            </w:r>
          </w:p>
          <w:p w:rsidR="007477C1" w:rsidRDefault="007477C1">
            <w:pPr>
              <w:spacing w:after="0"/>
              <w:rPr>
                <w:rFonts w:cs="Calibri"/>
                <w:color w:val="002060"/>
              </w:rPr>
            </w:pPr>
            <w:r>
              <w:rPr>
                <w:rFonts w:cs="Calibri"/>
                <w:color w:val="002060"/>
              </w:rPr>
              <w:t xml:space="preserve">gatis@balticconsulting.com </w:t>
            </w:r>
          </w:p>
          <w:p w:rsidR="007477C1" w:rsidRDefault="007477C1">
            <w:pPr>
              <w:spacing w:after="0"/>
              <w:rPr>
                <w:rFonts w:cs="Calibri"/>
                <w:b/>
                <w:caps/>
                <w:sz w:val="28"/>
              </w:rPr>
            </w:pPr>
            <w:r>
              <w:rPr>
                <w:rFonts w:cs="Calibri"/>
                <w:color w:val="002060"/>
              </w:rPr>
              <w:t>Tālr. +371 67338804</w:t>
            </w:r>
          </w:p>
        </w:tc>
      </w:tr>
    </w:tbl>
    <w:p w:rsidR="007477C1" w:rsidRDefault="007477C1">
      <w:pPr>
        <w:pageBreakBefore/>
        <w:spacing w:after="0"/>
        <w:ind w:right="49"/>
        <w:jc w:val="center"/>
        <w:rPr>
          <w:rFonts w:cs="Calibri"/>
          <w:b/>
          <w:color w:val="1F497D"/>
          <w:sz w:val="24"/>
        </w:rPr>
      </w:pPr>
      <w:r>
        <w:rPr>
          <w:rFonts w:cs="Calibri"/>
          <w:b/>
          <w:caps/>
          <w:sz w:val="28"/>
        </w:rPr>
        <w:lastRenderedPageBreak/>
        <w:t>Satura rādītājs</w:t>
      </w:r>
    </w:p>
    <w:p w:rsidR="007A2FE0" w:rsidRDefault="00CE7F88" w:rsidP="007A2FE0">
      <w:pPr>
        <w:pStyle w:val="TOC1"/>
        <w:rPr>
          <w:rFonts w:asciiTheme="minorHAnsi" w:eastAsiaTheme="minorEastAsia" w:hAnsiTheme="minorHAnsi" w:cstheme="minorBidi"/>
          <w:noProof/>
          <w:lang w:eastAsia="lv-LV"/>
        </w:rPr>
      </w:pPr>
      <w:r>
        <w:fldChar w:fldCharType="begin"/>
      </w:r>
      <w:r w:rsidR="007477C1">
        <w:instrText xml:space="preserve"> TOC </w:instrText>
      </w:r>
      <w:r>
        <w:fldChar w:fldCharType="separate"/>
      </w:r>
    </w:p>
    <w:bookmarkStart w:id="1" w:name="_Toc354740715" w:displacedByCustomXml="next"/>
    <w:sdt>
      <w:sdtPr>
        <w:rPr>
          <w:rFonts w:asciiTheme="minorHAnsi" w:eastAsia="Times New Roman" w:hAnsiTheme="minorHAnsi" w:cs="Times New Roman"/>
          <w:bCs w:val="0"/>
          <w:caps w:val="0"/>
          <w:noProof/>
          <w:color w:val="auto"/>
          <w:sz w:val="18"/>
          <w:szCs w:val="20"/>
          <w:lang w:val="lv-LV"/>
        </w:rPr>
        <w:id w:val="10333167"/>
        <w:docPartObj>
          <w:docPartGallery w:val="Table of Contents"/>
          <w:docPartUnique/>
        </w:docPartObj>
      </w:sdtPr>
      <w:sdtEndPr>
        <w:rPr>
          <w:rFonts w:ascii="Calibri" w:hAnsi="Calibri"/>
          <w:sz w:val="22"/>
          <w:szCs w:val="22"/>
        </w:rPr>
      </w:sdtEndPr>
      <w:sdtContent>
        <w:bookmarkEnd w:id="1" w:displacedByCustomXml="prev"/>
        <w:p w:rsidR="007A2FE0" w:rsidRPr="007A2FE0" w:rsidRDefault="00CE7F88" w:rsidP="007A2FE0">
          <w:pPr>
            <w:pStyle w:val="TOCHeading"/>
            <w:rPr>
              <w:rFonts w:asciiTheme="minorHAnsi" w:eastAsiaTheme="minorEastAsia" w:hAnsiTheme="minorHAnsi" w:cstheme="minorBidi"/>
              <w:noProof/>
              <w:sz w:val="18"/>
              <w:szCs w:val="20"/>
              <w:lang w:eastAsia="lv-LV"/>
            </w:rPr>
          </w:pPr>
          <w:r w:rsidRPr="007A2FE0">
            <w:rPr>
              <w:rFonts w:asciiTheme="minorHAnsi" w:hAnsiTheme="minorHAnsi"/>
              <w:noProof/>
              <w:sz w:val="18"/>
              <w:szCs w:val="20"/>
            </w:rPr>
            <w:fldChar w:fldCharType="begin"/>
          </w:r>
          <w:r w:rsidR="007A2FE0" w:rsidRPr="007A2FE0">
            <w:rPr>
              <w:rFonts w:asciiTheme="minorHAnsi" w:hAnsiTheme="minorHAnsi"/>
              <w:noProof/>
              <w:sz w:val="18"/>
              <w:szCs w:val="20"/>
            </w:rPr>
            <w:instrText xml:space="preserve"> TOC \o "1-3" \h \z \u </w:instrText>
          </w:r>
          <w:r w:rsidRPr="007A2FE0">
            <w:rPr>
              <w:rFonts w:asciiTheme="minorHAnsi" w:hAnsiTheme="minorHAnsi"/>
              <w:noProof/>
              <w:sz w:val="18"/>
              <w:szCs w:val="20"/>
            </w:rPr>
            <w:fldChar w:fldCharType="separate"/>
          </w:r>
        </w:p>
        <w:p w:rsidR="007A2FE0" w:rsidRPr="007A2FE0" w:rsidRDefault="00842E52">
          <w:pPr>
            <w:pStyle w:val="TOC1"/>
            <w:rPr>
              <w:rFonts w:asciiTheme="minorHAnsi" w:eastAsiaTheme="minorEastAsia" w:hAnsiTheme="minorHAnsi" w:cstheme="minorBidi"/>
              <w:noProof/>
              <w:sz w:val="18"/>
              <w:szCs w:val="20"/>
              <w:lang w:eastAsia="lv-LV"/>
            </w:rPr>
          </w:pPr>
          <w:hyperlink w:anchor="_Toc354740716" w:history="1">
            <w:r w:rsidR="007A2FE0" w:rsidRPr="007A2FE0">
              <w:rPr>
                <w:rStyle w:val="Hyperlink"/>
                <w:rFonts w:asciiTheme="minorHAnsi" w:hAnsiTheme="minorHAnsi"/>
                <w:noProof/>
                <w:sz w:val="18"/>
                <w:szCs w:val="20"/>
              </w:rPr>
              <w:t>1.</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APTAUJAS REZULTĀTU KOPSAVILKUMS</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_Toc354740716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4</w:t>
            </w:r>
            <w:r w:rsidR="00CE7F88" w:rsidRPr="007A2FE0">
              <w:rPr>
                <w:rFonts w:asciiTheme="minorHAnsi" w:hAnsiTheme="minorHAnsi"/>
                <w:noProof/>
                <w:webHidden/>
                <w:sz w:val="18"/>
                <w:szCs w:val="20"/>
              </w:rPr>
              <w:fldChar w:fldCharType="end"/>
            </w:r>
          </w:hyperlink>
        </w:p>
        <w:p w:rsidR="007A2FE0" w:rsidRPr="007A2FE0" w:rsidRDefault="00842E52">
          <w:pPr>
            <w:pStyle w:val="TOC1"/>
            <w:rPr>
              <w:rFonts w:asciiTheme="minorHAnsi" w:eastAsiaTheme="minorEastAsia" w:hAnsiTheme="minorHAnsi" w:cstheme="minorBidi"/>
              <w:noProof/>
              <w:sz w:val="18"/>
              <w:szCs w:val="20"/>
              <w:lang w:eastAsia="lv-LV"/>
            </w:rPr>
          </w:pPr>
          <w:hyperlink w:anchor="_Toc354740717" w:history="1">
            <w:r w:rsidR="007A2FE0" w:rsidRPr="007A2FE0">
              <w:rPr>
                <w:rStyle w:val="Hyperlink"/>
                <w:rFonts w:asciiTheme="minorHAnsi" w:hAnsiTheme="minorHAnsi"/>
                <w:noProof/>
                <w:sz w:val="18"/>
                <w:szCs w:val="20"/>
              </w:rPr>
              <w:t>2.</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APTAUJAS ĪSTENOŠANAS METODOLOĢIJA</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_Toc354740717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6</w:t>
            </w:r>
            <w:r w:rsidR="00CE7F88" w:rsidRPr="007A2FE0">
              <w:rPr>
                <w:rFonts w:asciiTheme="minorHAnsi" w:hAnsiTheme="minorHAnsi"/>
                <w:noProof/>
                <w:webHidden/>
                <w:sz w:val="18"/>
                <w:szCs w:val="20"/>
              </w:rPr>
              <w:fldChar w:fldCharType="end"/>
            </w:r>
          </w:hyperlink>
        </w:p>
        <w:p w:rsidR="007A2FE0" w:rsidRPr="007A2FE0" w:rsidRDefault="00842E52">
          <w:pPr>
            <w:pStyle w:val="TOC2"/>
            <w:rPr>
              <w:rFonts w:asciiTheme="minorHAnsi" w:eastAsiaTheme="minorEastAsia" w:hAnsiTheme="minorHAnsi" w:cstheme="minorBidi"/>
              <w:noProof/>
              <w:sz w:val="18"/>
              <w:szCs w:val="20"/>
              <w:lang w:eastAsia="lv-LV"/>
            </w:rPr>
          </w:pPr>
          <w:hyperlink w:anchor="_Toc354740718" w:history="1">
            <w:r w:rsidR="007A2FE0" w:rsidRPr="007A2FE0">
              <w:rPr>
                <w:rStyle w:val="Hyperlink"/>
                <w:rFonts w:asciiTheme="minorHAnsi" w:hAnsiTheme="minorHAnsi" w:cs="Calibri"/>
                <w:noProof/>
                <w:sz w:val="18"/>
                <w:szCs w:val="20"/>
              </w:rPr>
              <w:t>2.1.</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Pētījuma mērķi un aktivitātes</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_Toc354740718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6</w:t>
            </w:r>
            <w:r w:rsidR="00CE7F88" w:rsidRPr="007A2FE0">
              <w:rPr>
                <w:rFonts w:asciiTheme="minorHAnsi" w:hAnsiTheme="minorHAnsi"/>
                <w:noProof/>
                <w:webHidden/>
                <w:sz w:val="18"/>
                <w:szCs w:val="20"/>
              </w:rPr>
              <w:fldChar w:fldCharType="end"/>
            </w:r>
          </w:hyperlink>
        </w:p>
        <w:p w:rsidR="007A2FE0" w:rsidRPr="007A2FE0" w:rsidRDefault="00842E52">
          <w:pPr>
            <w:pStyle w:val="TOC2"/>
            <w:rPr>
              <w:rFonts w:asciiTheme="minorHAnsi" w:eastAsiaTheme="minorEastAsia" w:hAnsiTheme="minorHAnsi" w:cstheme="minorBidi"/>
              <w:noProof/>
              <w:sz w:val="18"/>
              <w:szCs w:val="20"/>
              <w:lang w:eastAsia="lv-LV"/>
            </w:rPr>
          </w:pPr>
          <w:hyperlink w:anchor="_Toc354740719" w:history="1">
            <w:r w:rsidR="007A2FE0" w:rsidRPr="007A2FE0">
              <w:rPr>
                <w:rStyle w:val="Hyperlink"/>
                <w:rFonts w:asciiTheme="minorHAnsi" w:hAnsiTheme="minorHAnsi" w:cs="Calibri"/>
                <w:noProof/>
                <w:sz w:val="18"/>
                <w:szCs w:val="20"/>
              </w:rPr>
              <w:t>2.2.</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Aptaujas izlases kopas veidošanas metodika</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_Toc354740719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6</w:t>
            </w:r>
            <w:r w:rsidR="00CE7F88" w:rsidRPr="007A2FE0">
              <w:rPr>
                <w:rFonts w:asciiTheme="minorHAnsi" w:hAnsiTheme="minorHAnsi"/>
                <w:noProof/>
                <w:webHidden/>
                <w:sz w:val="18"/>
                <w:szCs w:val="20"/>
              </w:rPr>
              <w:fldChar w:fldCharType="end"/>
            </w:r>
          </w:hyperlink>
        </w:p>
        <w:p w:rsidR="007A2FE0" w:rsidRPr="007A2FE0" w:rsidRDefault="00842E52">
          <w:pPr>
            <w:pStyle w:val="TOC2"/>
            <w:rPr>
              <w:rFonts w:asciiTheme="minorHAnsi" w:eastAsiaTheme="minorEastAsia" w:hAnsiTheme="minorHAnsi" w:cstheme="minorBidi"/>
              <w:noProof/>
              <w:sz w:val="18"/>
              <w:szCs w:val="20"/>
              <w:lang w:eastAsia="lv-LV"/>
            </w:rPr>
          </w:pPr>
          <w:hyperlink w:anchor="_Toc354740720" w:history="1">
            <w:r w:rsidR="007A2FE0" w:rsidRPr="007A2FE0">
              <w:rPr>
                <w:rStyle w:val="Hyperlink"/>
                <w:rFonts w:asciiTheme="minorHAnsi" w:hAnsiTheme="minorHAnsi" w:cs="Calibri"/>
                <w:noProof/>
                <w:sz w:val="18"/>
                <w:szCs w:val="20"/>
              </w:rPr>
              <w:t>2.3.</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Aptaujas metode</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_Toc354740720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9</w:t>
            </w:r>
            <w:r w:rsidR="00CE7F88" w:rsidRPr="007A2FE0">
              <w:rPr>
                <w:rFonts w:asciiTheme="minorHAnsi" w:hAnsiTheme="minorHAnsi"/>
                <w:noProof/>
                <w:webHidden/>
                <w:sz w:val="18"/>
                <w:szCs w:val="20"/>
              </w:rPr>
              <w:fldChar w:fldCharType="end"/>
            </w:r>
          </w:hyperlink>
        </w:p>
        <w:p w:rsidR="007A2FE0" w:rsidRPr="007A2FE0" w:rsidRDefault="00842E52">
          <w:pPr>
            <w:pStyle w:val="TOC2"/>
            <w:rPr>
              <w:rFonts w:asciiTheme="minorHAnsi" w:eastAsiaTheme="minorEastAsia" w:hAnsiTheme="minorHAnsi" w:cstheme="minorBidi"/>
              <w:noProof/>
              <w:sz w:val="18"/>
              <w:szCs w:val="20"/>
              <w:lang w:eastAsia="lv-LV"/>
            </w:rPr>
          </w:pPr>
          <w:hyperlink w:anchor="_Toc354740721" w:history="1">
            <w:r w:rsidR="007A2FE0" w:rsidRPr="007A2FE0">
              <w:rPr>
                <w:rStyle w:val="Hyperlink"/>
                <w:rFonts w:asciiTheme="minorHAnsi" w:hAnsiTheme="minorHAnsi" w:cs="Calibri"/>
                <w:noProof/>
                <w:sz w:val="18"/>
                <w:szCs w:val="20"/>
              </w:rPr>
              <w:t>2.4.</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Sasniegtās izlases raksturojums</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_Toc354740721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9</w:t>
            </w:r>
            <w:r w:rsidR="00CE7F88" w:rsidRPr="007A2FE0">
              <w:rPr>
                <w:rFonts w:asciiTheme="minorHAnsi" w:hAnsiTheme="minorHAnsi"/>
                <w:noProof/>
                <w:webHidden/>
                <w:sz w:val="18"/>
                <w:szCs w:val="20"/>
              </w:rPr>
              <w:fldChar w:fldCharType="end"/>
            </w:r>
          </w:hyperlink>
        </w:p>
        <w:p w:rsidR="007A2FE0" w:rsidRPr="007A2FE0" w:rsidRDefault="00842E52">
          <w:pPr>
            <w:pStyle w:val="TOC1"/>
            <w:rPr>
              <w:rFonts w:asciiTheme="minorHAnsi" w:eastAsiaTheme="minorEastAsia" w:hAnsiTheme="minorHAnsi" w:cstheme="minorBidi"/>
              <w:noProof/>
              <w:sz w:val="18"/>
              <w:szCs w:val="20"/>
              <w:lang w:eastAsia="lv-LV"/>
            </w:rPr>
          </w:pPr>
          <w:hyperlink w:anchor="_Toc354740722" w:history="1">
            <w:r w:rsidR="007A2FE0" w:rsidRPr="007A2FE0">
              <w:rPr>
                <w:rStyle w:val="Hyperlink"/>
                <w:rFonts w:asciiTheme="minorHAnsi" w:hAnsiTheme="minorHAnsi"/>
                <w:noProof/>
                <w:sz w:val="18"/>
                <w:szCs w:val="20"/>
              </w:rPr>
              <w:t>3.</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APTAUJAS REZULTĀTI</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_Toc354740722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12</w:t>
            </w:r>
            <w:r w:rsidR="00CE7F88" w:rsidRPr="007A2FE0">
              <w:rPr>
                <w:rFonts w:asciiTheme="minorHAnsi" w:hAnsiTheme="minorHAnsi"/>
                <w:noProof/>
                <w:webHidden/>
                <w:sz w:val="18"/>
                <w:szCs w:val="20"/>
              </w:rPr>
              <w:fldChar w:fldCharType="end"/>
            </w:r>
          </w:hyperlink>
        </w:p>
        <w:p w:rsidR="007A2FE0" w:rsidRPr="007A2FE0" w:rsidRDefault="00842E52">
          <w:pPr>
            <w:pStyle w:val="TOC2"/>
            <w:rPr>
              <w:rFonts w:asciiTheme="minorHAnsi" w:eastAsiaTheme="minorEastAsia" w:hAnsiTheme="minorHAnsi" w:cstheme="minorBidi"/>
              <w:noProof/>
              <w:sz w:val="18"/>
              <w:szCs w:val="20"/>
              <w:lang w:eastAsia="lv-LV"/>
            </w:rPr>
          </w:pPr>
          <w:hyperlink w:anchor="_Toc354740723" w:history="1">
            <w:r w:rsidR="007A2FE0" w:rsidRPr="007A2FE0">
              <w:rPr>
                <w:rStyle w:val="Hyperlink"/>
                <w:rFonts w:asciiTheme="minorHAnsi" w:hAnsiTheme="minorHAnsi" w:cs="Calibri"/>
                <w:noProof/>
                <w:sz w:val="18"/>
                <w:szCs w:val="20"/>
              </w:rPr>
              <w:t>3.1.</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Uzņēmuma pieredze pētniecības un attīstības (izstrādes) jomā</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_Toc354740723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12</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24" w:history="1">
            <w:r w:rsidR="007A2FE0" w:rsidRPr="007A2FE0">
              <w:rPr>
                <w:rStyle w:val="Hyperlink"/>
                <w:rFonts w:asciiTheme="minorHAnsi" w:hAnsiTheme="minorHAnsi" w:cs="Calibri"/>
                <w:noProof/>
                <w:sz w:val="18"/>
                <w:szCs w:val="20"/>
              </w:rPr>
              <w:t>3.1.1.</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Pētniecības un attīstības būtiskuma vērtējums</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_Toc354740724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12</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25" w:history="1">
            <w:r w:rsidR="007A2FE0" w:rsidRPr="007A2FE0">
              <w:rPr>
                <w:rStyle w:val="Hyperlink"/>
                <w:rFonts w:asciiTheme="minorHAnsi" w:hAnsiTheme="minorHAnsi" w:cs="Calibri"/>
                <w:noProof/>
                <w:sz w:val="18"/>
                <w:szCs w:val="20"/>
              </w:rPr>
              <w:t>3.1.2.</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Ieguldījumi pētniecībā un attīstībā pēdējo trīs gadu laikā</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_Toc354740725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14</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26" w:history="1">
            <w:r w:rsidR="007A2FE0" w:rsidRPr="007A2FE0">
              <w:rPr>
                <w:rStyle w:val="Hyperlink"/>
                <w:rFonts w:asciiTheme="minorHAnsi" w:hAnsiTheme="minorHAnsi" w:cs="Calibri"/>
                <w:noProof/>
                <w:sz w:val="18"/>
                <w:szCs w:val="20"/>
              </w:rPr>
              <w:t>3.1.3.</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Ieguldījumu pētniecībā un attīstībā veidi</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_Toc354740726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16</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27" w:history="1">
            <w:r w:rsidR="007A2FE0" w:rsidRPr="007A2FE0">
              <w:rPr>
                <w:rStyle w:val="Hyperlink"/>
                <w:rFonts w:asciiTheme="minorHAnsi" w:hAnsiTheme="minorHAnsi" w:cs="Calibri"/>
                <w:noProof/>
                <w:sz w:val="18"/>
                <w:szCs w:val="20"/>
              </w:rPr>
              <w:t>3.1.4.</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Ieguldījumu pētniecībā un attīstībā īpatsvars uzņēmumu apgrozījumā</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_Toc354740727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17</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28" w:history="1">
            <w:r w:rsidR="007A2FE0" w:rsidRPr="007A2FE0">
              <w:rPr>
                <w:rStyle w:val="Hyperlink"/>
                <w:rFonts w:asciiTheme="minorHAnsi" w:hAnsiTheme="minorHAnsi" w:cs="Calibri"/>
                <w:noProof/>
                <w:sz w:val="18"/>
                <w:szCs w:val="20"/>
              </w:rPr>
              <w:t>3.1.5.</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Būtiskākās izmaksu kategorijas ieguldījumos pētniecībā un attīstībā</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_Toc354740728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17</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29" w:history="1">
            <w:r w:rsidR="007A2FE0" w:rsidRPr="007A2FE0">
              <w:rPr>
                <w:rStyle w:val="Hyperlink"/>
                <w:rFonts w:asciiTheme="minorHAnsi" w:hAnsiTheme="minorHAnsi" w:cs="Calibri"/>
                <w:noProof/>
                <w:sz w:val="18"/>
                <w:szCs w:val="20"/>
              </w:rPr>
              <w:t>3.1.6.</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Ieguldījumu pētniecībā un attīstībā uzskaite</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_Toc354740729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18</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30" w:history="1">
            <w:r w:rsidR="007A2FE0" w:rsidRPr="007A2FE0">
              <w:rPr>
                <w:rStyle w:val="Hyperlink"/>
                <w:rFonts w:asciiTheme="minorHAnsi" w:hAnsiTheme="minorHAnsi" w:cs="Calibri"/>
                <w:noProof/>
                <w:sz w:val="18"/>
                <w:szCs w:val="20"/>
              </w:rPr>
              <w:t>3.1.7.</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Jaunieviesti produkti, pakalpojumi, tehnoloģijas</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_Toc354740730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19</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31" w:history="1">
            <w:r w:rsidR="007A2FE0" w:rsidRPr="007A2FE0">
              <w:rPr>
                <w:rStyle w:val="Hyperlink"/>
                <w:rFonts w:asciiTheme="minorHAnsi" w:hAnsiTheme="minorHAnsi" w:cs="Calibri"/>
                <w:noProof/>
                <w:sz w:val="18"/>
                <w:szCs w:val="20"/>
              </w:rPr>
              <w:t>3.1.8.</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Patentu reģistrācija</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_Toc354740731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21</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32" w:history="1">
            <w:r w:rsidR="007A2FE0" w:rsidRPr="007A2FE0">
              <w:rPr>
                <w:rStyle w:val="Hyperlink"/>
                <w:rFonts w:asciiTheme="minorHAnsi" w:hAnsiTheme="minorHAnsi" w:cs="Calibri"/>
                <w:noProof/>
                <w:sz w:val="18"/>
                <w:szCs w:val="20"/>
              </w:rPr>
              <w:t>3.1.9.</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Ieguldījumi pētniecībā un attīstībā sadarbībā ar partneriem</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_Toc354740732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22</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33" w:history="1">
            <w:r w:rsidR="007A2FE0" w:rsidRPr="007A2FE0">
              <w:rPr>
                <w:rStyle w:val="Hyperlink"/>
                <w:rFonts w:asciiTheme="minorHAnsi" w:hAnsiTheme="minorHAnsi" w:cs="Calibri"/>
                <w:noProof/>
                <w:sz w:val="18"/>
                <w:szCs w:val="20"/>
              </w:rPr>
              <w:t>3.1.10.</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Ieguldījumu pētniecībā un attīstībā finansēšana</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_Toc354740733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25</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34" w:history="1">
            <w:r w:rsidR="007A2FE0" w:rsidRPr="007A2FE0">
              <w:rPr>
                <w:rStyle w:val="Hyperlink"/>
                <w:rFonts w:asciiTheme="minorHAnsi" w:hAnsiTheme="minorHAnsi" w:cs="Calibri"/>
                <w:noProof/>
                <w:sz w:val="18"/>
                <w:szCs w:val="20"/>
              </w:rPr>
              <w:t>3.1.11.</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Valsts atbalsta izmantošana pētniecības un attīstības finansējumam</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_Toc354740734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26</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35" w:history="1">
            <w:r w:rsidR="007A2FE0" w:rsidRPr="007A2FE0">
              <w:rPr>
                <w:rStyle w:val="Hyperlink"/>
                <w:rFonts w:asciiTheme="minorHAnsi" w:hAnsiTheme="minorHAnsi" w:cs="Calibri"/>
                <w:noProof/>
                <w:sz w:val="18"/>
                <w:szCs w:val="20"/>
              </w:rPr>
              <w:t>3.1.12.</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Iemesli ieguldījumu pētniecībā un attīstībā neveikšanai</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_Toc354740735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28</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36" w:history="1">
            <w:r w:rsidR="007A2FE0" w:rsidRPr="007A2FE0">
              <w:rPr>
                <w:rStyle w:val="Hyperlink"/>
                <w:rFonts w:asciiTheme="minorHAnsi" w:hAnsiTheme="minorHAnsi" w:cs="Calibri"/>
                <w:noProof/>
                <w:sz w:val="18"/>
                <w:szCs w:val="20"/>
              </w:rPr>
              <w:t>3.1.13.</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Ieguldījumi pētniecībā un attīstībā pirms 2010.gada</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_Toc354740736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29</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37" w:history="1">
            <w:r w:rsidR="007A2FE0" w:rsidRPr="007A2FE0">
              <w:rPr>
                <w:rStyle w:val="Hyperlink"/>
                <w:rFonts w:asciiTheme="minorHAnsi" w:hAnsiTheme="minorHAnsi" w:cs="Calibri"/>
                <w:noProof/>
                <w:sz w:val="18"/>
                <w:szCs w:val="20"/>
              </w:rPr>
              <w:t>3.1.14.</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Finansējuma trūkums ieguldījumiem pētniecībā un attīstībā</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_Toc354740737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30</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38" w:history="1">
            <w:r w:rsidR="007A2FE0" w:rsidRPr="007A2FE0">
              <w:rPr>
                <w:rStyle w:val="Hyperlink"/>
                <w:rFonts w:asciiTheme="minorHAnsi" w:hAnsiTheme="minorHAnsi" w:cs="Calibri"/>
                <w:noProof/>
                <w:sz w:val="18"/>
                <w:szCs w:val="20"/>
              </w:rPr>
              <w:t>3.1.15.</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Plānotie ieguldījumi pētniecībā un attīstībā tuvāko trīs gadu laikā</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_Toc354740738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32</w:t>
            </w:r>
            <w:r w:rsidR="00CE7F88" w:rsidRPr="007A2FE0">
              <w:rPr>
                <w:rFonts w:asciiTheme="minorHAnsi" w:hAnsiTheme="minorHAnsi"/>
                <w:noProof/>
                <w:webHidden/>
                <w:sz w:val="18"/>
                <w:szCs w:val="20"/>
              </w:rPr>
              <w:fldChar w:fldCharType="end"/>
            </w:r>
          </w:hyperlink>
        </w:p>
        <w:p w:rsidR="007A2FE0" w:rsidRPr="007A2FE0" w:rsidRDefault="00842E52">
          <w:pPr>
            <w:pStyle w:val="TOC2"/>
            <w:rPr>
              <w:rFonts w:asciiTheme="minorHAnsi" w:eastAsiaTheme="minorEastAsia" w:hAnsiTheme="minorHAnsi" w:cstheme="minorBidi"/>
              <w:noProof/>
              <w:sz w:val="18"/>
              <w:szCs w:val="20"/>
              <w:lang w:eastAsia="lv-LV"/>
            </w:rPr>
          </w:pPr>
          <w:hyperlink w:anchor="_Toc354740739" w:history="1">
            <w:r w:rsidR="007A2FE0" w:rsidRPr="007A2FE0">
              <w:rPr>
                <w:rStyle w:val="Hyperlink"/>
                <w:rFonts w:asciiTheme="minorHAnsi" w:hAnsiTheme="minorHAnsi" w:cs="Calibri"/>
                <w:noProof/>
                <w:sz w:val="18"/>
                <w:szCs w:val="20"/>
              </w:rPr>
              <w:t>3.2.</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Uzņēmuma motivācija ieguldīt pētniecībā un attīstībā (izstrādē)</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_Toc354740739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35</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40" w:history="1">
            <w:r w:rsidR="007A2FE0" w:rsidRPr="007A2FE0">
              <w:rPr>
                <w:rStyle w:val="Hyperlink"/>
                <w:rFonts w:asciiTheme="minorHAnsi" w:hAnsiTheme="minorHAnsi" w:cs="Calibri"/>
                <w:noProof/>
                <w:sz w:val="18"/>
                <w:szCs w:val="20"/>
              </w:rPr>
              <w:t>3.2.1.</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Iemesli ieguldījumu pētniecībā un attīstībā veikšanai</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_Toc354740740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35</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41" w:history="1">
            <w:r w:rsidR="007A2FE0" w:rsidRPr="007A2FE0">
              <w:rPr>
                <w:rStyle w:val="Hyperlink"/>
                <w:rFonts w:asciiTheme="minorHAnsi" w:hAnsiTheme="minorHAnsi" w:cs="Calibri"/>
                <w:noProof/>
                <w:sz w:val="18"/>
                <w:szCs w:val="20"/>
              </w:rPr>
              <w:t>3.2.2.</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Uzņēmumu ieguvumi no ieguldījumiem pētniecībā un attīstībā</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_Toc354740741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35</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42" w:history="1">
            <w:r w:rsidR="007A2FE0" w:rsidRPr="007A2FE0">
              <w:rPr>
                <w:rStyle w:val="Hyperlink"/>
                <w:rFonts w:asciiTheme="minorHAnsi" w:hAnsiTheme="minorHAnsi" w:cs="Calibri"/>
                <w:noProof/>
                <w:sz w:val="18"/>
                <w:szCs w:val="20"/>
              </w:rPr>
              <w:t>3.2.3.</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Valsts atbalsta instrumentu ieguldījumiem pētniecībā un attīstībā vērtējums</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_Toc354740742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36</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43" w:history="1">
            <w:r w:rsidR="007A2FE0" w:rsidRPr="007A2FE0">
              <w:rPr>
                <w:rStyle w:val="Hyperlink"/>
                <w:rFonts w:asciiTheme="minorHAnsi" w:hAnsiTheme="minorHAnsi" w:cs="Calibri"/>
                <w:noProof/>
                <w:sz w:val="18"/>
                <w:szCs w:val="20"/>
              </w:rPr>
              <w:t>3.2.4.</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Valsts atbalsta instrumentu ieguldījumiem pētniecībā un attīstībā nepieciešamie uzlabojumi</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_Toc354740743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38</w:t>
            </w:r>
            <w:r w:rsidR="00CE7F88" w:rsidRPr="007A2FE0">
              <w:rPr>
                <w:rFonts w:asciiTheme="minorHAnsi" w:hAnsiTheme="minorHAnsi"/>
                <w:noProof/>
                <w:webHidden/>
                <w:sz w:val="18"/>
                <w:szCs w:val="20"/>
              </w:rPr>
              <w:fldChar w:fldCharType="end"/>
            </w:r>
          </w:hyperlink>
        </w:p>
        <w:p w:rsidR="007A2FE0" w:rsidRPr="007A2FE0" w:rsidRDefault="00842E52" w:rsidP="007A2FE0">
          <w:pPr>
            <w:pStyle w:val="TOC2"/>
            <w:tabs>
              <w:tab w:val="left" w:pos="1276"/>
            </w:tabs>
            <w:ind w:left="709"/>
            <w:rPr>
              <w:rFonts w:asciiTheme="minorHAnsi" w:eastAsiaTheme="minorEastAsia" w:hAnsiTheme="minorHAnsi" w:cstheme="minorBidi"/>
              <w:noProof/>
              <w:sz w:val="18"/>
              <w:szCs w:val="20"/>
              <w:lang w:eastAsia="lv-LV"/>
            </w:rPr>
          </w:pPr>
          <w:hyperlink w:anchor="_Toc354740744" w:history="1">
            <w:r w:rsidR="007A2FE0" w:rsidRPr="007A2FE0">
              <w:rPr>
                <w:rStyle w:val="Hyperlink"/>
                <w:rFonts w:asciiTheme="minorHAnsi" w:hAnsiTheme="minorHAnsi" w:cs="Calibri"/>
                <w:noProof/>
                <w:sz w:val="18"/>
                <w:szCs w:val="20"/>
              </w:rPr>
              <w:t>3.2.5.</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Šķēršļi uzņēmumu iespējām ieguldīt pētniecībā un attīstībā</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_Toc354740744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41</w:t>
            </w:r>
            <w:r w:rsidR="00CE7F88" w:rsidRPr="007A2FE0">
              <w:rPr>
                <w:rFonts w:asciiTheme="minorHAnsi" w:hAnsiTheme="minorHAnsi"/>
                <w:noProof/>
                <w:webHidden/>
                <w:sz w:val="18"/>
                <w:szCs w:val="20"/>
              </w:rPr>
              <w:fldChar w:fldCharType="end"/>
            </w:r>
          </w:hyperlink>
        </w:p>
        <w:p w:rsidR="007A2FE0" w:rsidRPr="007A2FE0" w:rsidRDefault="00842E52">
          <w:pPr>
            <w:pStyle w:val="TOC2"/>
            <w:rPr>
              <w:rFonts w:asciiTheme="minorHAnsi" w:eastAsiaTheme="minorEastAsia" w:hAnsiTheme="minorHAnsi" w:cstheme="minorBidi"/>
              <w:noProof/>
              <w:sz w:val="18"/>
              <w:szCs w:val="20"/>
              <w:lang w:eastAsia="lv-LV"/>
            </w:rPr>
          </w:pPr>
          <w:hyperlink w:anchor="_Toc354740745" w:history="1">
            <w:r w:rsidR="007A2FE0" w:rsidRPr="007A2FE0">
              <w:rPr>
                <w:rStyle w:val="Hyperlink"/>
                <w:rFonts w:asciiTheme="minorHAnsi" w:hAnsiTheme="minorHAnsi" w:cs="Calibri"/>
                <w:noProof/>
                <w:sz w:val="18"/>
                <w:szCs w:val="20"/>
              </w:rPr>
              <w:t>3.3.</w:t>
            </w:r>
            <w:r w:rsidR="007A2FE0" w:rsidRPr="007A2FE0">
              <w:rPr>
                <w:rFonts w:asciiTheme="minorHAnsi" w:eastAsiaTheme="minorEastAsia" w:hAnsiTheme="minorHAnsi" w:cstheme="minorBidi"/>
                <w:noProof/>
                <w:sz w:val="18"/>
                <w:szCs w:val="20"/>
                <w:lang w:eastAsia="lv-LV"/>
              </w:rPr>
              <w:tab/>
            </w:r>
            <w:r w:rsidR="007A2FE0" w:rsidRPr="007A2FE0">
              <w:rPr>
                <w:rStyle w:val="Hyperlink"/>
                <w:rFonts w:asciiTheme="minorHAnsi" w:hAnsiTheme="minorHAnsi"/>
                <w:noProof/>
                <w:sz w:val="18"/>
                <w:szCs w:val="20"/>
              </w:rPr>
              <w:t>Uzņēmumiem nepieciešamais atbalsts</w:t>
            </w:r>
            <w:r w:rsidR="007A2FE0" w:rsidRPr="007A2FE0">
              <w:rPr>
                <w:rFonts w:asciiTheme="minorHAnsi" w:hAnsiTheme="minorHAnsi"/>
                <w:noProof/>
                <w:webHidden/>
                <w:sz w:val="18"/>
                <w:szCs w:val="20"/>
              </w:rPr>
              <w:tab/>
            </w:r>
            <w:r w:rsidR="00CE7F88" w:rsidRPr="007A2FE0">
              <w:rPr>
                <w:rFonts w:asciiTheme="minorHAnsi" w:hAnsiTheme="minorHAnsi"/>
                <w:noProof/>
                <w:webHidden/>
                <w:sz w:val="18"/>
                <w:szCs w:val="20"/>
              </w:rPr>
              <w:fldChar w:fldCharType="begin"/>
            </w:r>
            <w:r w:rsidR="007A2FE0" w:rsidRPr="007A2FE0">
              <w:rPr>
                <w:rFonts w:asciiTheme="minorHAnsi" w:hAnsiTheme="minorHAnsi"/>
                <w:noProof/>
                <w:webHidden/>
                <w:sz w:val="18"/>
                <w:szCs w:val="20"/>
              </w:rPr>
              <w:instrText xml:space="preserve"> PAGEREF _Toc354740745 \h </w:instrText>
            </w:r>
            <w:r w:rsidR="00CE7F88" w:rsidRPr="007A2FE0">
              <w:rPr>
                <w:rFonts w:asciiTheme="minorHAnsi" w:hAnsiTheme="minorHAnsi"/>
                <w:noProof/>
                <w:webHidden/>
                <w:sz w:val="18"/>
                <w:szCs w:val="20"/>
              </w:rPr>
            </w:r>
            <w:r w:rsidR="00CE7F88" w:rsidRPr="007A2FE0">
              <w:rPr>
                <w:rFonts w:asciiTheme="minorHAnsi" w:hAnsiTheme="minorHAnsi"/>
                <w:noProof/>
                <w:webHidden/>
                <w:sz w:val="18"/>
                <w:szCs w:val="20"/>
              </w:rPr>
              <w:fldChar w:fldCharType="separate"/>
            </w:r>
            <w:r>
              <w:rPr>
                <w:rFonts w:asciiTheme="minorHAnsi" w:hAnsiTheme="minorHAnsi"/>
                <w:noProof/>
                <w:webHidden/>
                <w:sz w:val="18"/>
                <w:szCs w:val="20"/>
              </w:rPr>
              <w:t>43</w:t>
            </w:r>
            <w:r w:rsidR="00CE7F88" w:rsidRPr="007A2FE0">
              <w:rPr>
                <w:rFonts w:asciiTheme="minorHAnsi" w:hAnsiTheme="minorHAnsi"/>
                <w:noProof/>
                <w:webHidden/>
                <w:sz w:val="18"/>
                <w:szCs w:val="20"/>
              </w:rPr>
              <w:fldChar w:fldCharType="end"/>
            </w:r>
          </w:hyperlink>
        </w:p>
        <w:p w:rsidR="007A2FE0" w:rsidRDefault="00CE7F88">
          <w:pPr>
            <w:rPr>
              <w:noProof/>
            </w:rPr>
          </w:pPr>
          <w:r w:rsidRPr="007A2FE0">
            <w:rPr>
              <w:rFonts w:asciiTheme="minorHAnsi" w:hAnsiTheme="minorHAnsi"/>
              <w:noProof/>
              <w:sz w:val="18"/>
              <w:szCs w:val="20"/>
            </w:rPr>
            <w:fldChar w:fldCharType="end"/>
          </w:r>
        </w:p>
      </w:sdtContent>
    </w:sdt>
    <w:p w:rsidR="009C62FD" w:rsidRDefault="009C62FD">
      <w:pPr>
        <w:suppressAutoHyphens w:val="0"/>
        <w:spacing w:after="0"/>
        <w:rPr>
          <w:rFonts w:asciiTheme="minorHAnsi" w:eastAsiaTheme="minorEastAsia" w:hAnsiTheme="minorHAnsi" w:cstheme="minorBidi"/>
          <w:noProof/>
          <w:lang w:eastAsia="lv-LV"/>
        </w:rPr>
      </w:pPr>
    </w:p>
    <w:p w:rsidR="007477C1" w:rsidRDefault="00CE7F88" w:rsidP="009C62FD">
      <w:pPr>
        <w:pStyle w:val="TOC2"/>
        <w:sectPr w:rsidR="007477C1">
          <w:headerReference w:type="default" r:id="rId10"/>
          <w:type w:val="continuous"/>
          <w:pgSz w:w="12240" w:h="15840"/>
          <w:pgMar w:top="1701" w:right="1134" w:bottom="1134" w:left="1701" w:header="0" w:footer="0" w:gutter="0"/>
          <w:cols w:space="720"/>
          <w:docGrid w:linePitch="360"/>
        </w:sectPr>
      </w:pPr>
      <w:r>
        <w:fldChar w:fldCharType="end"/>
      </w:r>
    </w:p>
    <w:p w:rsidR="004B24BC" w:rsidRDefault="004B24BC" w:rsidP="004B24BC">
      <w:pPr>
        <w:pStyle w:val="Heading1"/>
        <w:spacing w:line="360" w:lineRule="auto"/>
      </w:pPr>
      <w:bookmarkStart w:id="2" w:name="_Toc354740685"/>
      <w:bookmarkStart w:id="3" w:name="_Toc354740716"/>
      <w:bookmarkStart w:id="4" w:name="_Toc354736246"/>
      <w:r>
        <w:lastRenderedPageBreak/>
        <w:t>APTAUJAS REZULTĀTU KOPSAVILKUMS</w:t>
      </w:r>
      <w:bookmarkEnd w:id="2"/>
      <w:bookmarkEnd w:id="3"/>
    </w:p>
    <w:p w:rsidR="00FA7829" w:rsidRPr="00CB36B2" w:rsidRDefault="00FA7829" w:rsidP="00FA7829">
      <w:pPr>
        <w:pStyle w:val="ListParagraph"/>
        <w:numPr>
          <w:ilvl w:val="0"/>
          <w:numId w:val="33"/>
        </w:numPr>
        <w:spacing w:line="360" w:lineRule="auto"/>
        <w:ind w:left="426" w:hanging="426"/>
        <w:jc w:val="both"/>
        <w:rPr>
          <w:rFonts w:asciiTheme="minorHAnsi" w:hAnsiTheme="minorHAnsi"/>
          <w:sz w:val="22"/>
          <w:lang w:val="lv-LV"/>
        </w:rPr>
      </w:pPr>
      <w:r w:rsidRPr="00CB36B2">
        <w:rPr>
          <w:rFonts w:asciiTheme="minorHAnsi" w:hAnsiTheme="minorHAnsi"/>
          <w:sz w:val="22"/>
          <w:lang w:val="lv-LV"/>
        </w:rPr>
        <w:t>Kopumā salīdzinoši neliels - tikai 38% - ir to Latvijas uzņēmumu īpatsvars, kuri novērtē, ka pētniecība un attīstība ir būtiska to darbībā. Identisks ir to uzņēmumu īpatsvars, kuri pēdējo trīs gadu laikā ir veikuši ieguldījumus pētniecībā un attīstībā, kas ļauj secināt, ka pētniecības un attīstības būtiskumu uzņēmējdarbības attīstībā novērtē tikai tie, kuri jau šobrīd veic šādus ieguldījumus. Jāuzsver arī, ka tādu uzņēmumu īpatsvars, kuri ieguldījumus pētniecībā un attīstībā veic regulāri ir tikai 10%.</w:t>
      </w:r>
    </w:p>
    <w:p w:rsidR="00FA7829" w:rsidRPr="00CB36B2" w:rsidRDefault="00FA7829" w:rsidP="00FA7829">
      <w:pPr>
        <w:pStyle w:val="ListParagraph"/>
        <w:numPr>
          <w:ilvl w:val="0"/>
          <w:numId w:val="33"/>
        </w:numPr>
        <w:spacing w:line="360" w:lineRule="auto"/>
        <w:ind w:left="426" w:hanging="426"/>
        <w:jc w:val="both"/>
        <w:rPr>
          <w:rFonts w:asciiTheme="minorHAnsi" w:hAnsiTheme="minorHAnsi"/>
          <w:sz w:val="22"/>
          <w:lang w:val="lv-LV"/>
        </w:rPr>
      </w:pPr>
      <w:r w:rsidRPr="00CB36B2">
        <w:rPr>
          <w:rFonts w:asciiTheme="minorHAnsi" w:hAnsiTheme="minorHAnsi"/>
          <w:sz w:val="22"/>
          <w:lang w:val="lv-LV"/>
        </w:rPr>
        <w:t>Eksperimentālās izstrādes un lietišķie pētījumi ir visbiežākie Latvijas uzņēmēju ieguldījumu veidi pētniecībā un attīstībā (attiecīgi 21% un 19%), kamēr fundamentālos pētījumos iegulda vien 4% uzņēmumu.</w:t>
      </w:r>
    </w:p>
    <w:p w:rsidR="00FA7829" w:rsidRPr="00CB36B2" w:rsidRDefault="00FA7829" w:rsidP="00FA7829">
      <w:pPr>
        <w:pStyle w:val="ListParagraph"/>
        <w:numPr>
          <w:ilvl w:val="0"/>
          <w:numId w:val="33"/>
        </w:numPr>
        <w:spacing w:line="360" w:lineRule="auto"/>
        <w:ind w:left="426" w:hanging="426"/>
        <w:jc w:val="both"/>
        <w:rPr>
          <w:rFonts w:asciiTheme="minorHAnsi" w:hAnsiTheme="minorHAnsi"/>
          <w:sz w:val="22"/>
          <w:lang w:val="lv-LV"/>
        </w:rPr>
      </w:pPr>
      <w:r w:rsidRPr="00CB36B2">
        <w:rPr>
          <w:rFonts w:asciiTheme="minorHAnsi" w:hAnsiTheme="minorHAnsi"/>
          <w:sz w:val="22"/>
          <w:lang w:val="lv-LV"/>
        </w:rPr>
        <w:t>Jaunus produktus, pakalpojumus vai tehnoloģijas ieviesuši ne vairāk kā 1/5 Latvijas uzņēmumu (attiecīgi 20%, 19% un 18%).</w:t>
      </w:r>
    </w:p>
    <w:p w:rsidR="00FA7829" w:rsidRPr="00CB36B2" w:rsidRDefault="00FA7829" w:rsidP="00FA7829">
      <w:pPr>
        <w:pStyle w:val="ListParagraph"/>
        <w:numPr>
          <w:ilvl w:val="0"/>
          <w:numId w:val="33"/>
        </w:numPr>
        <w:spacing w:line="360" w:lineRule="auto"/>
        <w:ind w:left="426" w:hanging="426"/>
        <w:jc w:val="both"/>
        <w:rPr>
          <w:rFonts w:asciiTheme="minorHAnsi" w:hAnsiTheme="minorHAnsi"/>
          <w:sz w:val="22"/>
          <w:lang w:val="lv-LV"/>
        </w:rPr>
      </w:pPr>
      <w:r w:rsidRPr="00CB36B2">
        <w:rPr>
          <w:rFonts w:asciiTheme="minorHAnsi" w:hAnsiTheme="minorHAnsi"/>
          <w:sz w:val="22"/>
          <w:lang w:val="lv-LV"/>
        </w:rPr>
        <w:t>Tikai 2% Latvijas uzņēmumu pēdējo trīs gadu laikā ir reģistrējuši rūpnieciskā īpašuma tiesības. Nedaudz lielāks - 7% - ir to uzņēmumu īpatsvars, kuri ir iegādājušies izgudrojumu vai cita veida zināšanu lietošanas tiesības inovāciju ieviešanai savā uzņēmumā.</w:t>
      </w:r>
    </w:p>
    <w:p w:rsidR="00FA7829" w:rsidRPr="00CB36B2" w:rsidRDefault="00FA7829" w:rsidP="00FA7829">
      <w:pPr>
        <w:pStyle w:val="ListParagraph"/>
        <w:numPr>
          <w:ilvl w:val="0"/>
          <w:numId w:val="33"/>
        </w:numPr>
        <w:spacing w:line="360" w:lineRule="auto"/>
        <w:ind w:left="426" w:hanging="426"/>
        <w:jc w:val="both"/>
        <w:rPr>
          <w:rFonts w:asciiTheme="minorHAnsi" w:hAnsiTheme="minorHAnsi"/>
          <w:sz w:val="22"/>
          <w:lang w:val="lv-LV"/>
        </w:rPr>
      </w:pPr>
      <w:r w:rsidRPr="00CB36B2">
        <w:rPr>
          <w:rFonts w:asciiTheme="minorHAnsi" w:hAnsiTheme="minorHAnsi"/>
          <w:sz w:val="22"/>
          <w:lang w:val="lv-LV"/>
        </w:rPr>
        <w:t>Tuvāko trīs gadu prognoze liecina, ka tādu uzņēmēju īpatsvars, kuri ir gatavi ieguldīt pētniecībā un attīstībā, samazinās - ja pēdējo trīs gadu laikā šādu uzņēmumu bijis 38%, tad tuvākajos trīs gados ieguldīt plāno vairs tikai 31%, pie tam tikai 12% ir pilnībā pārliecināti par ieguldījumu veikšanu.</w:t>
      </w:r>
    </w:p>
    <w:p w:rsidR="00FA7829" w:rsidRPr="00CB36B2" w:rsidRDefault="00FA7829" w:rsidP="00FA7829">
      <w:pPr>
        <w:pStyle w:val="ListParagraph"/>
        <w:numPr>
          <w:ilvl w:val="0"/>
          <w:numId w:val="33"/>
        </w:numPr>
        <w:spacing w:line="360" w:lineRule="auto"/>
        <w:ind w:left="426" w:hanging="426"/>
        <w:jc w:val="both"/>
        <w:rPr>
          <w:rFonts w:asciiTheme="minorHAnsi" w:hAnsiTheme="minorHAnsi"/>
          <w:sz w:val="22"/>
          <w:lang w:val="lv-LV"/>
        </w:rPr>
      </w:pPr>
      <w:r w:rsidRPr="00CB36B2">
        <w:rPr>
          <w:rFonts w:asciiTheme="minorHAnsi" w:hAnsiTheme="minorHAnsi"/>
          <w:sz w:val="22"/>
          <w:lang w:val="lv-LV"/>
        </w:rPr>
        <w:t>Aptuveni 2/5 uzņēmumu Latvijā ir saskārušies ar situācijām, kad ieguldījumi pētniecībā un attīstībā bijuši nepieciešami, bet trūcis finansējuma to veikšanai, pie tam - 33% uzņēmēju ar šādām situācijām saskārušies vairākkārt.</w:t>
      </w:r>
    </w:p>
    <w:p w:rsidR="00FA7829" w:rsidRPr="00CB36B2" w:rsidRDefault="00FA7829" w:rsidP="00FA7829">
      <w:pPr>
        <w:pStyle w:val="ListParagraph"/>
        <w:numPr>
          <w:ilvl w:val="0"/>
          <w:numId w:val="33"/>
        </w:numPr>
        <w:spacing w:line="360" w:lineRule="auto"/>
        <w:ind w:left="426" w:hanging="426"/>
        <w:jc w:val="both"/>
        <w:rPr>
          <w:rFonts w:asciiTheme="minorHAnsi" w:hAnsiTheme="minorHAnsi"/>
          <w:sz w:val="22"/>
          <w:lang w:val="lv-LV"/>
        </w:rPr>
      </w:pPr>
      <w:r w:rsidRPr="00CB36B2">
        <w:rPr>
          <w:rFonts w:asciiTheme="minorHAnsi" w:hAnsiTheme="minorHAnsi"/>
          <w:sz w:val="22"/>
          <w:lang w:val="lv-LV"/>
        </w:rPr>
        <w:t>Vairākums - 57% - uzņēmēju novērtē, ka būtiskākais šķērslis iespējām ieguldīt pētniecībā un attīstībā ir tieši pašu līdzekļu nepietiekamība. Ārējā finansējuma nepieejamību un nepietiekamību kā šķērsli aptaujā norāda aptuveni 1/5 uzņēmēju.</w:t>
      </w:r>
    </w:p>
    <w:p w:rsidR="004B24BC" w:rsidRPr="00CB36B2" w:rsidRDefault="00FA7829" w:rsidP="00FA7829">
      <w:pPr>
        <w:pStyle w:val="ListParagraph"/>
        <w:numPr>
          <w:ilvl w:val="0"/>
          <w:numId w:val="33"/>
        </w:numPr>
        <w:spacing w:line="360" w:lineRule="auto"/>
        <w:ind w:left="426" w:hanging="426"/>
        <w:jc w:val="both"/>
        <w:rPr>
          <w:rFonts w:asciiTheme="minorHAnsi" w:hAnsiTheme="minorHAnsi"/>
          <w:sz w:val="22"/>
          <w:lang w:val="lv-LV"/>
        </w:rPr>
      </w:pPr>
      <w:r w:rsidRPr="00CB36B2">
        <w:rPr>
          <w:rFonts w:asciiTheme="minorHAnsi" w:hAnsiTheme="minorHAnsi"/>
          <w:sz w:val="22"/>
          <w:lang w:val="lv-LV"/>
        </w:rPr>
        <w:t>Esošos valsts atbalsta instrumentus kā pietiekamus novērtē tikai 4% uzņēmēju, kā nepieciešamos papildu atbalsta veidus visbiežāk minot nodokļu atvieglojumus (61%) un finansējuma pieejamību, grantus (35%). Jānorāda arī, ka aptuveni 1/10 aptaujā minējuši, ka nepieciešams samazināt birokrātiju, kas saistīta ar valsts atbalsta saņemšanu.</w:t>
      </w:r>
    </w:p>
    <w:p w:rsidR="008958E8" w:rsidRDefault="008958E8" w:rsidP="004B1E8E">
      <w:pPr>
        <w:spacing w:line="360" w:lineRule="auto"/>
        <w:jc w:val="center"/>
      </w:pPr>
      <w:r w:rsidRPr="008958E8">
        <w:rPr>
          <w:noProof/>
          <w:lang w:eastAsia="lv-LV"/>
        </w:rPr>
        <w:lastRenderedPageBreak/>
        <w:drawing>
          <wp:inline distT="0" distB="0" distL="0" distR="0" wp14:anchorId="2331C468" wp14:editId="474898D5">
            <wp:extent cx="6067425" cy="8229600"/>
            <wp:effectExtent l="19050" t="0" r="9525" b="0"/>
            <wp:docPr id="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477C1" w:rsidRDefault="003954B0">
      <w:pPr>
        <w:pStyle w:val="Heading1"/>
        <w:spacing w:line="360" w:lineRule="auto"/>
      </w:pPr>
      <w:bookmarkStart w:id="5" w:name="_Toc354740686"/>
      <w:bookmarkStart w:id="6" w:name="_Toc354740717"/>
      <w:r>
        <w:lastRenderedPageBreak/>
        <w:t xml:space="preserve">APTAUJAS </w:t>
      </w:r>
      <w:r w:rsidR="0059353A">
        <w:t xml:space="preserve">ĪSTENOŠANAS </w:t>
      </w:r>
      <w:r>
        <w:t>METODOLOĢIJA</w:t>
      </w:r>
      <w:bookmarkEnd w:id="4"/>
      <w:bookmarkEnd w:id="5"/>
      <w:bookmarkEnd w:id="6"/>
    </w:p>
    <w:p w:rsidR="003C4EDD" w:rsidRDefault="00814745" w:rsidP="003C4EDD">
      <w:pPr>
        <w:pStyle w:val="Heading2"/>
        <w:rPr>
          <w:rFonts w:cs="Calibri"/>
        </w:rPr>
      </w:pPr>
      <w:bookmarkStart w:id="7" w:name="_Toc354736247"/>
      <w:bookmarkStart w:id="8" w:name="_Toc354740687"/>
      <w:bookmarkStart w:id="9" w:name="_Toc354740718"/>
      <w:r>
        <w:t>Pētījuma</w:t>
      </w:r>
      <w:r w:rsidR="00FD130A">
        <w:t xml:space="preserve"> mērķi un aktivitātes</w:t>
      </w:r>
      <w:bookmarkEnd w:id="7"/>
      <w:bookmarkEnd w:id="8"/>
      <w:bookmarkEnd w:id="9"/>
    </w:p>
    <w:p w:rsidR="007477C1" w:rsidRDefault="007477C1">
      <w:pPr>
        <w:spacing w:line="360" w:lineRule="auto"/>
        <w:jc w:val="both"/>
      </w:pPr>
      <w:r>
        <w:t>Pētījuma mērķis ir analizēt Latvijas uzņēmumu biznesa praksi pētniecības un inovāciju jomā, identificējot galvenos trūkumus un izstrādājot priekšlikumus privātā sektora ieguldījumu pētniecībā un attīstībā sekmēšanai, jo īpaši izvērtējot nodokļu atvieglojumu ietekmi uz investīcijām pētniecībā un attīstībā.</w:t>
      </w:r>
    </w:p>
    <w:p w:rsidR="007477C1" w:rsidRDefault="007477C1">
      <w:pPr>
        <w:spacing w:line="360" w:lineRule="auto"/>
        <w:jc w:val="both"/>
      </w:pPr>
      <w:r>
        <w:t xml:space="preserve">Pakalpojuma ietvaros </w:t>
      </w:r>
      <w:r w:rsidR="00A1720D">
        <w:t>tiek</w:t>
      </w:r>
      <w:r>
        <w:t xml:space="preserve"> veikts pētījums par privātā sektora ieguldījumiem pētniecībā un attīstībā un izstrādāti priekšlikumi efektīvākiem atbalsta pasākumiem investīciju sekmēšanai, īstenojot:</w:t>
      </w:r>
    </w:p>
    <w:p w:rsidR="007477C1" w:rsidRDefault="007477C1">
      <w:pPr>
        <w:numPr>
          <w:ilvl w:val="0"/>
          <w:numId w:val="12"/>
        </w:numPr>
        <w:spacing w:line="360" w:lineRule="auto"/>
        <w:ind w:left="709" w:hanging="218"/>
        <w:jc w:val="both"/>
      </w:pPr>
      <w:r>
        <w:t>uzņēmumu biznesa prakses pētniecības un inovāciju jomā novērtējumu, iekļaujot uzņēmumu aptauju par galvenajiem faktoriem un šķēršļiem, kas ietekmē privātā sektora ieguldījumus pētniecībā un attīstībā;</w:t>
      </w:r>
    </w:p>
    <w:p w:rsidR="007477C1" w:rsidRDefault="007477C1">
      <w:pPr>
        <w:numPr>
          <w:ilvl w:val="0"/>
          <w:numId w:val="12"/>
        </w:numPr>
        <w:spacing w:line="360" w:lineRule="auto"/>
        <w:ind w:left="709" w:hanging="218"/>
        <w:jc w:val="both"/>
      </w:pPr>
      <w:r>
        <w:t xml:space="preserve">Latvijā esošas uzņēmumu atbalsta sistēmas (granti, aizdevumi, garantijas, riska investīcijas, nodokļu atvieglojumi) ietekmes uz privātā sektora investīciju piesaisti pētniecībā un attīstībā novērtējumu un priekšlikumus par efektīvākajiem un atbilstošākajiem atbalsta instrumentiem; </w:t>
      </w:r>
    </w:p>
    <w:p w:rsidR="007477C1" w:rsidRDefault="007477C1">
      <w:pPr>
        <w:numPr>
          <w:ilvl w:val="0"/>
          <w:numId w:val="12"/>
        </w:numPr>
        <w:spacing w:line="360" w:lineRule="auto"/>
        <w:ind w:left="709" w:hanging="218"/>
        <w:jc w:val="both"/>
      </w:pPr>
      <w:r>
        <w:t>padziļinātu esošo nodokļu atvieglojumu ieguldījumiem pētniecībā un attīstībā novērtējumu, analizējot to ietekmi uz investīciju piesaisti un priekšlikumu nodokļu atvieglojumu sistēmas pilnveidošanai izstrādi, iekļaujot iespējamo risinājumu ietekmes uz valsts budžetu novērtējumu.</w:t>
      </w:r>
    </w:p>
    <w:p w:rsidR="007477C1" w:rsidRDefault="00B620EB">
      <w:pPr>
        <w:spacing w:line="360" w:lineRule="auto"/>
        <w:jc w:val="both"/>
      </w:pPr>
      <w:r w:rsidRPr="00B620EB">
        <w:t xml:space="preserve">Uzņēmumu aptaujas uzdevums </w:t>
      </w:r>
      <w:r>
        <w:t>bija</w:t>
      </w:r>
      <w:r w:rsidRPr="00B620EB">
        <w:t xml:space="preserve"> identificēt galvenos faktorus un šķēršļus, kas ietekmē privātā sektora ieguldījumus pētniecībā un attīstībā.</w:t>
      </w:r>
      <w:r>
        <w:t xml:space="preserve"> </w:t>
      </w:r>
      <w:r w:rsidR="00A1720D">
        <w:t xml:space="preserve">Dotajā ziņojumā iekļauts </w:t>
      </w:r>
      <w:r w:rsidR="003F4B10">
        <w:t>aptaujas rezultātu apkopojums.</w:t>
      </w:r>
    </w:p>
    <w:p w:rsidR="00946516" w:rsidRDefault="00946516">
      <w:pPr>
        <w:spacing w:line="360" w:lineRule="auto"/>
        <w:jc w:val="both"/>
      </w:pPr>
    </w:p>
    <w:p w:rsidR="00946516" w:rsidRDefault="00946516" w:rsidP="00946516">
      <w:pPr>
        <w:pStyle w:val="Heading2"/>
        <w:rPr>
          <w:rFonts w:cs="Calibri"/>
        </w:rPr>
      </w:pPr>
      <w:bookmarkStart w:id="10" w:name="_Toc354736248"/>
      <w:bookmarkStart w:id="11" w:name="_Toc354740688"/>
      <w:bookmarkStart w:id="12" w:name="_Toc354740719"/>
      <w:r w:rsidRPr="00946516">
        <w:t>Aptaujas izlases kopas veidošanas metodika</w:t>
      </w:r>
      <w:bookmarkEnd w:id="10"/>
      <w:bookmarkEnd w:id="11"/>
      <w:bookmarkEnd w:id="12"/>
    </w:p>
    <w:p w:rsidR="007477C1" w:rsidRDefault="007477C1">
      <w:pPr>
        <w:spacing w:line="360" w:lineRule="auto"/>
        <w:jc w:val="both"/>
      </w:pPr>
      <w:r>
        <w:t xml:space="preserve">Aptaujas mērķa grupa ir Latvijā strādājošie uzņēmumi, kuri ir veikuši ieguldījumus pētniecībā un attīstībā, kā arī tie </w:t>
      </w:r>
      <w:r w:rsidR="00266B93">
        <w:t>uzņēmumi, kuri to nav darījuši.</w:t>
      </w:r>
    </w:p>
    <w:p w:rsidR="007477C1" w:rsidRDefault="007477C1">
      <w:pPr>
        <w:spacing w:line="360" w:lineRule="auto"/>
        <w:jc w:val="both"/>
      </w:pPr>
      <w:r>
        <w:t>Aptaujas izlases kopa tik</w:t>
      </w:r>
      <w:r w:rsidR="00187F7B">
        <w:t>a</w:t>
      </w:r>
      <w:r>
        <w:t xml:space="preserve"> veidota saskaņā ar šādiem metodiskajiem principiem:</w:t>
      </w:r>
    </w:p>
    <w:p w:rsidR="007477C1" w:rsidRDefault="007477C1">
      <w:pPr>
        <w:numPr>
          <w:ilvl w:val="0"/>
          <w:numId w:val="7"/>
        </w:numPr>
        <w:spacing w:line="360" w:lineRule="auto"/>
        <w:ind w:hanging="294"/>
        <w:jc w:val="both"/>
        <w:rPr>
          <w:b/>
          <w:sz w:val="18"/>
        </w:rPr>
      </w:pPr>
      <w:r>
        <w:t xml:space="preserve">Aptaujas izlases </w:t>
      </w:r>
      <w:proofErr w:type="spellStart"/>
      <w:r>
        <w:t>ģenerālkopa</w:t>
      </w:r>
      <w:proofErr w:type="spellEnd"/>
      <w:r>
        <w:t xml:space="preserve"> ir visi Latvijā strādājošie uzņēmumi – ekonomiski aktīvie privātā sektora komersanti. Aptaujas izlases kopa tik</w:t>
      </w:r>
      <w:r w:rsidR="00187F7B">
        <w:t>a</w:t>
      </w:r>
      <w:r>
        <w:t xml:space="preserve"> veidota reprezentatīva visai Latvijas uzņēmumu </w:t>
      </w:r>
      <w:proofErr w:type="spellStart"/>
      <w:r>
        <w:t>ģenerālkopai</w:t>
      </w:r>
      <w:proofErr w:type="spellEnd"/>
      <w:r>
        <w:t xml:space="preserve"> (reprezentativitāti nodrošinot pēc konkrētiem uzņēmumus raksturojošiem kritērijiem – darbības nozare, apgrozījums, darbinieku skaits u.c.). Saskaņā ar Centrālās statistikas pārvaldes (turpmāk tekstā - CSP) provizorisko informāciju par 2012.gadu, </w:t>
      </w:r>
      <w:proofErr w:type="spellStart"/>
      <w:r>
        <w:lastRenderedPageBreak/>
        <w:t>ģenerālkopas</w:t>
      </w:r>
      <w:proofErr w:type="spellEnd"/>
      <w:r>
        <w:t xml:space="preserve"> reprezentativitāte tik</w:t>
      </w:r>
      <w:r w:rsidR="002D0E4B">
        <w:t>a</w:t>
      </w:r>
      <w:r>
        <w:t xml:space="preserve"> nodrošināta atbilstoši šādam ekonomiski aktīvo komersantu statistiskajam portretam:</w:t>
      </w:r>
    </w:p>
    <w:p w:rsidR="007477C1" w:rsidRDefault="007477C1">
      <w:pPr>
        <w:spacing w:after="0"/>
        <w:ind w:left="709"/>
        <w:jc w:val="center"/>
        <w:rPr>
          <w:b/>
          <w:sz w:val="18"/>
        </w:rPr>
      </w:pPr>
      <w:r>
        <w:rPr>
          <w:b/>
          <w:sz w:val="18"/>
        </w:rPr>
        <w:t xml:space="preserve">Ekonomiski aktīvie komersanti Latvijā 2012.gadā sadalījumā pa ekonomiskās darbības veidiem, </w:t>
      </w:r>
    </w:p>
    <w:p w:rsidR="007477C1" w:rsidRDefault="007477C1">
      <w:pPr>
        <w:spacing w:after="0"/>
        <w:ind w:left="709"/>
        <w:jc w:val="center"/>
        <w:rPr>
          <w:color w:val="000000"/>
          <w:sz w:val="18"/>
          <w:szCs w:val="18"/>
        </w:rPr>
      </w:pPr>
      <w:r>
        <w:rPr>
          <w:b/>
          <w:sz w:val="18"/>
        </w:rPr>
        <w:t>lieluma grupām* un administratīvām teritorijām (provizoriska informācija)</w:t>
      </w:r>
    </w:p>
    <w:tbl>
      <w:tblPr>
        <w:tblW w:w="0" w:type="auto"/>
        <w:jc w:val="center"/>
        <w:tblInd w:w="108" w:type="dxa"/>
        <w:tblLayout w:type="fixed"/>
        <w:tblLook w:val="0000" w:firstRow="0" w:lastRow="0" w:firstColumn="0" w:lastColumn="0" w:noHBand="0" w:noVBand="0"/>
      </w:tblPr>
      <w:tblGrid>
        <w:gridCol w:w="3260"/>
        <w:gridCol w:w="1420"/>
        <w:gridCol w:w="1420"/>
        <w:gridCol w:w="10"/>
      </w:tblGrid>
      <w:tr w:rsidR="007477C1" w:rsidTr="00D61C3C">
        <w:trPr>
          <w:trHeight w:val="255"/>
          <w:jc w:val="center"/>
        </w:trPr>
        <w:tc>
          <w:tcPr>
            <w:tcW w:w="3260" w:type="dxa"/>
            <w:tcBorders>
              <w:top w:val="single" w:sz="4" w:space="0" w:color="000000"/>
              <w:left w:val="single" w:sz="4" w:space="0" w:color="000000"/>
              <w:bottom w:val="single" w:sz="4" w:space="0" w:color="000000"/>
            </w:tcBorders>
            <w:shd w:val="clear" w:color="auto" w:fill="F2F2F2"/>
            <w:vAlign w:val="center"/>
          </w:tcPr>
          <w:p w:rsidR="007477C1" w:rsidRDefault="007477C1">
            <w:pPr>
              <w:spacing w:after="0"/>
              <w:jc w:val="center"/>
              <w:rPr>
                <w:color w:val="000000"/>
                <w:sz w:val="18"/>
                <w:szCs w:val="18"/>
              </w:rPr>
            </w:pPr>
            <w:r>
              <w:rPr>
                <w:color w:val="000000"/>
                <w:sz w:val="18"/>
                <w:szCs w:val="18"/>
              </w:rPr>
              <w:t> </w:t>
            </w:r>
          </w:p>
        </w:tc>
        <w:tc>
          <w:tcPr>
            <w:tcW w:w="1420" w:type="dxa"/>
            <w:tcBorders>
              <w:top w:val="single" w:sz="4" w:space="0" w:color="000000"/>
              <w:left w:val="single" w:sz="4" w:space="0" w:color="000000"/>
              <w:bottom w:val="single" w:sz="4" w:space="0" w:color="000000"/>
            </w:tcBorders>
            <w:shd w:val="clear" w:color="auto" w:fill="F2F2F2"/>
            <w:vAlign w:val="center"/>
          </w:tcPr>
          <w:p w:rsidR="007477C1" w:rsidRDefault="007477C1">
            <w:pPr>
              <w:spacing w:after="0"/>
              <w:jc w:val="center"/>
              <w:rPr>
                <w:color w:val="000000"/>
                <w:sz w:val="18"/>
                <w:szCs w:val="18"/>
              </w:rPr>
            </w:pPr>
            <w:r>
              <w:rPr>
                <w:color w:val="000000"/>
                <w:sz w:val="18"/>
                <w:szCs w:val="18"/>
              </w:rPr>
              <w:t>%</w:t>
            </w:r>
          </w:p>
        </w:tc>
        <w:tc>
          <w:tcPr>
            <w:tcW w:w="143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7477C1" w:rsidRDefault="007477C1">
            <w:pPr>
              <w:spacing w:after="0"/>
              <w:jc w:val="center"/>
              <w:rPr>
                <w:b/>
                <w:bCs/>
                <w:color w:val="000000"/>
                <w:sz w:val="18"/>
                <w:szCs w:val="18"/>
              </w:rPr>
            </w:pPr>
            <w:r>
              <w:rPr>
                <w:color w:val="000000"/>
                <w:sz w:val="18"/>
                <w:szCs w:val="18"/>
              </w:rPr>
              <w:t>Skaits</w:t>
            </w:r>
          </w:p>
        </w:tc>
      </w:tr>
      <w:tr w:rsidR="007477C1" w:rsidTr="00D61C3C">
        <w:trPr>
          <w:trHeight w:val="300"/>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b/>
                <w:bCs/>
                <w:color w:val="000000"/>
                <w:sz w:val="18"/>
                <w:szCs w:val="18"/>
              </w:rPr>
              <w:t>Sektors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 </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 </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1  Ražošanas un rūpniecības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9,2</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7929</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2  Tirdzniecības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29,3</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25417</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3  Pakalpojumu</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30,8</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26665</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4  Būvniecības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8,3</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7172</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5  Cits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22,5</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b/>
                <w:bCs/>
                <w:color w:val="000000"/>
                <w:sz w:val="18"/>
                <w:szCs w:val="18"/>
              </w:rPr>
            </w:pPr>
            <w:r>
              <w:rPr>
                <w:color w:val="000000"/>
                <w:sz w:val="18"/>
                <w:szCs w:val="18"/>
              </w:rPr>
              <w:t>19439</w:t>
            </w:r>
          </w:p>
        </w:tc>
      </w:tr>
      <w:tr w:rsidR="007477C1" w:rsidTr="00D61C3C">
        <w:trPr>
          <w:trHeight w:val="300"/>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b/>
                <w:bCs/>
                <w:color w:val="000000"/>
                <w:sz w:val="18"/>
                <w:szCs w:val="18"/>
              </w:rPr>
              <w:t>Uzņēmuma lielums**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 </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 </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1  1-9</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72,8</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60122</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2  10-49</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10,9</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8957</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3  50-249</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2,1</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1719</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4  250+</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0,3</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269</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5 nav informācijas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13,9</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b/>
                <w:bCs/>
                <w:color w:val="000000"/>
                <w:sz w:val="18"/>
                <w:szCs w:val="18"/>
              </w:rPr>
            </w:pPr>
            <w:r>
              <w:rPr>
                <w:color w:val="000000"/>
                <w:sz w:val="18"/>
                <w:szCs w:val="18"/>
              </w:rPr>
              <w:t>11516</w:t>
            </w:r>
          </w:p>
        </w:tc>
      </w:tr>
      <w:tr w:rsidR="007477C1" w:rsidTr="00D61C3C">
        <w:trPr>
          <w:trHeight w:val="300"/>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b/>
                <w:bCs/>
                <w:color w:val="000000"/>
                <w:sz w:val="18"/>
                <w:szCs w:val="18"/>
              </w:rPr>
              <w:t>Reģions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 </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 </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1  Rīgas statistiskais reģions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55,0</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47606</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2  Pierīgas statistiskais reģions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15,8</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13701</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3  Vidzemes statistiskais reģions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6,4</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5537</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4  Kurzemes statistiskais reģions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8,5</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7365</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5  Zemgales statistiskais reģions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7,3</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6361</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6  Latgales statistiskais reģions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7,0</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b/>
                <w:bCs/>
                <w:color w:val="000000"/>
                <w:sz w:val="18"/>
                <w:szCs w:val="18"/>
              </w:rPr>
            </w:pPr>
            <w:r>
              <w:rPr>
                <w:color w:val="000000"/>
                <w:sz w:val="18"/>
                <w:szCs w:val="18"/>
              </w:rPr>
              <w:t>6052</w:t>
            </w:r>
          </w:p>
        </w:tc>
      </w:tr>
      <w:tr w:rsidR="007477C1" w:rsidTr="00D61C3C">
        <w:trPr>
          <w:trHeight w:val="300"/>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b/>
                <w:bCs/>
                <w:color w:val="000000"/>
                <w:sz w:val="18"/>
                <w:szCs w:val="18"/>
              </w:rPr>
              <w:t>Teritoriālais sadalījums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 </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 </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1  Rīga</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55,0</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47606</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2  Lielpilsētas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12,3</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10617</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3  Pārējās pilsētas</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12,9</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11154</w:t>
            </w:r>
          </w:p>
        </w:tc>
      </w:tr>
      <w:tr w:rsidR="007477C1" w:rsidTr="00D61C3C">
        <w:trPr>
          <w:trHeight w:val="255"/>
          <w:jc w:val="center"/>
        </w:trPr>
        <w:tc>
          <w:tcPr>
            <w:tcW w:w="3260" w:type="dxa"/>
            <w:tcBorders>
              <w:left w:val="single" w:sz="4" w:space="0" w:color="000000"/>
              <w:bottom w:val="single" w:sz="4" w:space="0" w:color="000000"/>
            </w:tcBorders>
            <w:shd w:val="clear" w:color="auto" w:fill="auto"/>
            <w:vAlign w:val="center"/>
          </w:tcPr>
          <w:p w:rsidR="007477C1" w:rsidRDefault="007477C1">
            <w:pPr>
              <w:spacing w:after="0"/>
              <w:rPr>
                <w:color w:val="000000"/>
                <w:sz w:val="18"/>
                <w:szCs w:val="18"/>
              </w:rPr>
            </w:pPr>
            <w:r>
              <w:rPr>
                <w:color w:val="000000"/>
                <w:sz w:val="18"/>
                <w:szCs w:val="18"/>
              </w:rPr>
              <w:t>4  Pagasti</w:t>
            </w:r>
          </w:p>
        </w:tc>
        <w:tc>
          <w:tcPr>
            <w:tcW w:w="1420" w:type="dxa"/>
            <w:tcBorders>
              <w:left w:val="single" w:sz="4" w:space="0" w:color="000000"/>
              <w:bottom w:val="single" w:sz="4" w:space="0" w:color="000000"/>
            </w:tcBorders>
            <w:shd w:val="clear" w:color="auto" w:fill="auto"/>
            <w:vAlign w:val="center"/>
          </w:tcPr>
          <w:p w:rsidR="007477C1" w:rsidRDefault="007477C1">
            <w:pPr>
              <w:spacing w:after="0"/>
              <w:jc w:val="center"/>
              <w:rPr>
                <w:color w:val="000000"/>
                <w:sz w:val="18"/>
                <w:szCs w:val="18"/>
              </w:rPr>
            </w:pPr>
            <w:r>
              <w:rPr>
                <w:color w:val="000000"/>
                <w:sz w:val="18"/>
                <w:szCs w:val="18"/>
              </w:rPr>
              <w:t>19,9</w:t>
            </w:r>
          </w:p>
        </w:tc>
        <w:tc>
          <w:tcPr>
            <w:tcW w:w="1430" w:type="dxa"/>
            <w:gridSpan w:val="2"/>
            <w:tcBorders>
              <w:left w:val="single" w:sz="4" w:space="0" w:color="000000"/>
              <w:bottom w:val="single" w:sz="4" w:space="0" w:color="000000"/>
              <w:right w:val="single" w:sz="4" w:space="0" w:color="000000"/>
            </w:tcBorders>
            <w:shd w:val="clear" w:color="auto" w:fill="auto"/>
            <w:vAlign w:val="center"/>
          </w:tcPr>
          <w:p w:rsidR="007477C1" w:rsidRDefault="007477C1">
            <w:pPr>
              <w:spacing w:after="0"/>
              <w:jc w:val="center"/>
              <w:rPr>
                <w:b/>
                <w:bCs/>
                <w:color w:val="000000"/>
                <w:sz w:val="18"/>
                <w:szCs w:val="18"/>
              </w:rPr>
            </w:pPr>
            <w:r>
              <w:rPr>
                <w:color w:val="000000"/>
                <w:sz w:val="18"/>
                <w:szCs w:val="18"/>
              </w:rPr>
              <w:t>17245</w:t>
            </w:r>
          </w:p>
        </w:tc>
      </w:tr>
      <w:tr w:rsidR="007477C1" w:rsidTr="00D61C3C">
        <w:trPr>
          <w:trHeight w:val="300"/>
          <w:jc w:val="center"/>
        </w:trPr>
        <w:tc>
          <w:tcPr>
            <w:tcW w:w="3260" w:type="dxa"/>
            <w:tcBorders>
              <w:left w:val="single" w:sz="4" w:space="0" w:color="000000"/>
              <w:bottom w:val="single" w:sz="4" w:space="0" w:color="000000"/>
            </w:tcBorders>
            <w:shd w:val="clear" w:color="auto" w:fill="F2F2F2"/>
            <w:vAlign w:val="center"/>
          </w:tcPr>
          <w:p w:rsidR="007477C1" w:rsidRDefault="007477C1">
            <w:pPr>
              <w:spacing w:after="0"/>
              <w:rPr>
                <w:color w:val="000000"/>
                <w:sz w:val="18"/>
                <w:szCs w:val="18"/>
              </w:rPr>
            </w:pPr>
            <w:r>
              <w:rPr>
                <w:b/>
                <w:bCs/>
                <w:color w:val="000000"/>
                <w:sz w:val="18"/>
                <w:szCs w:val="18"/>
              </w:rPr>
              <w:t>KOPĀ</w:t>
            </w:r>
          </w:p>
        </w:tc>
        <w:tc>
          <w:tcPr>
            <w:tcW w:w="1420" w:type="dxa"/>
            <w:tcBorders>
              <w:left w:val="single" w:sz="4" w:space="0" w:color="000000"/>
              <w:bottom w:val="single" w:sz="4" w:space="0" w:color="000000"/>
            </w:tcBorders>
            <w:shd w:val="clear" w:color="auto" w:fill="F2F2F2"/>
            <w:vAlign w:val="center"/>
          </w:tcPr>
          <w:p w:rsidR="007477C1" w:rsidRDefault="007477C1">
            <w:pPr>
              <w:spacing w:after="0"/>
              <w:jc w:val="center"/>
              <w:rPr>
                <w:color w:val="000000"/>
                <w:sz w:val="18"/>
                <w:szCs w:val="18"/>
              </w:rPr>
            </w:pPr>
            <w:r>
              <w:rPr>
                <w:color w:val="000000"/>
                <w:sz w:val="18"/>
                <w:szCs w:val="18"/>
              </w:rPr>
              <w:t>100%</w:t>
            </w:r>
          </w:p>
        </w:tc>
        <w:tc>
          <w:tcPr>
            <w:tcW w:w="1430" w:type="dxa"/>
            <w:gridSpan w:val="2"/>
            <w:tcBorders>
              <w:left w:val="single" w:sz="4" w:space="0" w:color="000000"/>
              <w:bottom w:val="single" w:sz="4" w:space="0" w:color="000000"/>
              <w:right w:val="single" w:sz="4" w:space="0" w:color="000000"/>
            </w:tcBorders>
            <w:shd w:val="clear" w:color="auto" w:fill="F2F2F2"/>
            <w:vAlign w:val="center"/>
          </w:tcPr>
          <w:p w:rsidR="007477C1" w:rsidRDefault="007477C1">
            <w:pPr>
              <w:spacing w:after="0"/>
              <w:jc w:val="center"/>
              <w:rPr>
                <w:color w:val="000000"/>
                <w:sz w:val="16"/>
                <w:szCs w:val="18"/>
              </w:rPr>
            </w:pPr>
            <w:r>
              <w:rPr>
                <w:color w:val="000000"/>
                <w:sz w:val="18"/>
                <w:szCs w:val="18"/>
              </w:rPr>
              <w:t>86622</w:t>
            </w:r>
          </w:p>
        </w:tc>
      </w:tr>
      <w:tr w:rsidR="007477C1" w:rsidTr="00D61C3C">
        <w:trPr>
          <w:gridAfter w:val="1"/>
          <w:wAfter w:w="10" w:type="dxa"/>
          <w:trHeight w:val="157"/>
          <w:jc w:val="center"/>
        </w:trPr>
        <w:tc>
          <w:tcPr>
            <w:tcW w:w="6100" w:type="dxa"/>
            <w:gridSpan w:val="3"/>
            <w:shd w:val="clear" w:color="auto" w:fill="auto"/>
            <w:vAlign w:val="center"/>
          </w:tcPr>
          <w:p w:rsidR="007477C1" w:rsidRDefault="007477C1">
            <w:pPr>
              <w:spacing w:after="0"/>
              <w:rPr>
                <w:color w:val="000000"/>
                <w:sz w:val="16"/>
                <w:szCs w:val="18"/>
              </w:rPr>
            </w:pPr>
            <w:r>
              <w:rPr>
                <w:color w:val="000000"/>
                <w:sz w:val="16"/>
                <w:szCs w:val="18"/>
              </w:rPr>
              <w:t>* - izmantoti dati par nodarbinātību 2012.gada 9 mēnešos.</w:t>
            </w:r>
          </w:p>
        </w:tc>
      </w:tr>
      <w:tr w:rsidR="007477C1" w:rsidTr="00D61C3C">
        <w:trPr>
          <w:gridAfter w:val="1"/>
          <w:wAfter w:w="10" w:type="dxa"/>
          <w:trHeight w:val="114"/>
          <w:jc w:val="center"/>
        </w:trPr>
        <w:tc>
          <w:tcPr>
            <w:tcW w:w="6100" w:type="dxa"/>
            <w:gridSpan w:val="3"/>
            <w:shd w:val="clear" w:color="auto" w:fill="auto"/>
            <w:vAlign w:val="center"/>
          </w:tcPr>
          <w:p w:rsidR="007477C1" w:rsidRDefault="007477C1">
            <w:pPr>
              <w:spacing w:after="0"/>
              <w:rPr>
                <w:b/>
              </w:rPr>
            </w:pPr>
            <w:r>
              <w:rPr>
                <w:color w:val="000000"/>
                <w:sz w:val="16"/>
                <w:szCs w:val="18"/>
              </w:rPr>
              <w:t>** - Nav iekļauti komersanti ar deklarēto nodarbināto skaitu 0.</w:t>
            </w:r>
          </w:p>
        </w:tc>
      </w:tr>
    </w:tbl>
    <w:p w:rsidR="007477C1" w:rsidRDefault="007477C1">
      <w:pPr>
        <w:spacing w:after="0"/>
        <w:ind w:left="709"/>
        <w:jc w:val="center"/>
        <w:rPr>
          <w:b/>
        </w:rPr>
      </w:pPr>
    </w:p>
    <w:p w:rsidR="007477C1" w:rsidRDefault="007477C1">
      <w:pPr>
        <w:numPr>
          <w:ilvl w:val="0"/>
          <w:numId w:val="7"/>
        </w:numPr>
        <w:spacing w:line="360" w:lineRule="auto"/>
        <w:jc w:val="both"/>
      </w:pPr>
      <w:r>
        <w:t xml:space="preserve">Diemžēl nav pieejami statistiski precīzi dati par to, cik liels visu Latvijas uzņēmumu </w:t>
      </w:r>
      <w:proofErr w:type="spellStart"/>
      <w:r>
        <w:t>ģenerālkopā</w:t>
      </w:r>
      <w:proofErr w:type="spellEnd"/>
      <w:r>
        <w:t xml:space="preserve"> ir to uzņēmumu īpatsvars, kuri ir veikuši vai veic ieguldījumus pētniecībā un attīstībā, tādēļ </w:t>
      </w:r>
      <w:r w:rsidR="00955F96">
        <w:t>nebija</w:t>
      </w:r>
      <w:r>
        <w:t xml:space="preserve"> iespējams precīzi noteikt izlases kopā nepieciešamo šādu uzņēmumu proporciju, kā arī veikt šīs mērķa grupas iekšējo stratifikāciju pēc uzņēmējdarbību raksturojošiem parametriem. Kā pietuvinātu rādītāju var</w:t>
      </w:r>
      <w:r w:rsidR="00955F96">
        <w:t>ēja</w:t>
      </w:r>
      <w:r>
        <w:t xml:space="preserve"> izmantot CSP veiktos aprēķinus par inovatīvo uzņēmumu skaitu Latvijā – 2008.-2010.gada dati liecina, ka pakalpojumu sfērā inovatīvo uzņēmumu īpatsvars ir 28,3%, rūpniecībā – 31,7%. Tomēr jāņem vērā, ka CSP mērījums attiecas tikai uz inovatīviem uzņēmumiem, t.i., tādiem, kuri ir ieviesuši konkrētus jauninājumus uzņēmuma praksē, darba vietas organizācijā vai ārējās attiecībās, nevis tiem, kuri ir veikuši ieguldījumus pētniecībā un </w:t>
      </w:r>
      <w:r>
        <w:lastRenderedPageBreak/>
        <w:t xml:space="preserve">attīstībā (kuri var arī nebūt </w:t>
      </w:r>
      <w:proofErr w:type="spellStart"/>
      <w:r>
        <w:t>rezultējušies</w:t>
      </w:r>
      <w:proofErr w:type="spellEnd"/>
      <w:r>
        <w:t xml:space="preserve"> konkrētu jauninājumu ieviešanā). Sekojoši – teorētiski būtu jāpieņem, ka to uzņēmumu īpatsvars, kuri iegulda pētniecībā un attīstībā, ir lielāks nekā to, kuri ieviesuši inovācijas, tomēr </w:t>
      </w:r>
      <w:r w:rsidR="00955F96">
        <w:t>uz aptaujas īstenošanas brīdi</w:t>
      </w:r>
      <w:r>
        <w:t xml:space="preserve"> </w:t>
      </w:r>
      <w:r w:rsidR="00955F96">
        <w:t>nebija</w:t>
      </w:r>
      <w:r>
        <w:t xml:space="preserve"> pieejami dati, lai to viennozīmīgi varētu apgalvot. Tādēļ pētījuma metodoloģijas izveides posmā mēs </w:t>
      </w:r>
      <w:r w:rsidR="00955F96">
        <w:t>pieņēmām</w:t>
      </w:r>
      <w:r>
        <w:t>, ka tādu uzņēmumu īpatsvars, kuri ir veikuši ieguldījumus pētniecībā un attīstībā, ir ne mazāks kā inovācijas ieviesušo uzņēmumu īpatsvars.</w:t>
      </w:r>
      <w:r w:rsidR="00A123DD">
        <w:t xml:space="preserve"> Aptaujā iegūtie dati šo pieņēmumu apstiprināja – kopumā 38% uzņēmumu Latvijā pēdējo trīs gadu laikā ir veikuši ieguldījumus pētniecībā un attīstībā.</w:t>
      </w:r>
    </w:p>
    <w:p w:rsidR="007477C1" w:rsidRDefault="007477C1">
      <w:pPr>
        <w:numPr>
          <w:ilvl w:val="0"/>
          <w:numId w:val="7"/>
        </w:numPr>
        <w:spacing w:line="360" w:lineRule="auto"/>
        <w:ind w:hanging="294"/>
        <w:jc w:val="both"/>
      </w:pPr>
      <w:r>
        <w:t xml:space="preserve">Pētījuma tiešās mērķa grupas </w:t>
      </w:r>
      <w:r w:rsidR="00C543D9">
        <w:t>bija</w:t>
      </w:r>
      <w:r>
        <w:t xml:space="preserve"> divas – (a) uzņēmumi, kuri ir veikuši ieguldījumus pētniecībā un attīstībā, un (b) uzņēmumi, kuri nav veikuši ieguldījumus pētniecībā un attīstībā.  Abu šo mērķa grupu kopa sastāda pētījuma </w:t>
      </w:r>
      <w:proofErr w:type="spellStart"/>
      <w:r>
        <w:t>ģenerālkopu</w:t>
      </w:r>
      <w:proofErr w:type="spellEnd"/>
      <w:r>
        <w:t xml:space="preserve">. Šāds papildu dalījums </w:t>
      </w:r>
      <w:r w:rsidR="00C543D9">
        <w:t>sniedza</w:t>
      </w:r>
      <w:r>
        <w:t xml:space="preserve"> iespēju analizēt gan katru mērķa grupu atsevišķi, gan arī veikt salīdzinājumus starp tām.</w:t>
      </w:r>
    </w:p>
    <w:p w:rsidR="007477C1" w:rsidRDefault="007477C1">
      <w:pPr>
        <w:numPr>
          <w:ilvl w:val="0"/>
          <w:numId w:val="7"/>
        </w:numPr>
        <w:spacing w:line="360" w:lineRule="auto"/>
        <w:ind w:hanging="294"/>
        <w:jc w:val="both"/>
      </w:pPr>
      <w:r>
        <w:t xml:space="preserve">Ņemot vērā, ka </w:t>
      </w:r>
      <w:proofErr w:type="spellStart"/>
      <w:r>
        <w:t>ģenerālkopai</w:t>
      </w:r>
      <w:proofErr w:type="spellEnd"/>
      <w:r>
        <w:t xml:space="preserve"> reprezentatīvā izlases kopā tādu uzņēmumu, kuri ir veikuši ieguldījumus pētniecībā un attīstībā, </w:t>
      </w:r>
      <w:r w:rsidR="00823FCE">
        <w:t>bija</w:t>
      </w:r>
      <w:r>
        <w:t xml:space="preserve"> salīdzinoši neliela daļa (</w:t>
      </w:r>
      <w:r w:rsidR="00823FCE">
        <w:t>nedaudz vairāk kā 1/3</w:t>
      </w:r>
      <w:r>
        <w:t>), tik</w:t>
      </w:r>
      <w:r w:rsidR="00823FCE">
        <w:t>a veidota papildu</w:t>
      </w:r>
      <w:r>
        <w:t xml:space="preserve"> izlase, lai </w:t>
      </w:r>
      <w:proofErr w:type="spellStart"/>
      <w:r>
        <w:t>ģenerālkopai</w:t>
      </w:r>
      <w:proofErr w:type="spellEnd"/>
      <w:r>
        <w:t xml:space="preserve"> reprezentatīvo aptaujas izlases kopu papildinātu ar konkrētās mērķa grupas respondentiem, sasniedzot </w:t>
      </w:r>
      <w:r w:rsidR="00823FCE">
        <w:t xml:space="preserve">vismaz </w:t>
      </w:r>
      <w:r>
        <w:t xml:space="preserve">150 respondentu izlasi. Tā kā kopējā aptaujas izlase </w:t>
      </w:r>
      <w:r w:rsidR="000739F0">
        <w:t>bija</w:t>
      </w:r>
      <w:r>
        <w:t xml:space="preserve"> noteikta 300 respondentu apjomā, 30% īpatsvars uzņēmumiem, kuri veikuši ieguldījumus pētniecībā un attīstībā, skaitliski sastādītu tikai 100 respondentu kopu, kas ir pārāk maza, lai veiktu statistiski pamatotu detalizētāku analīzi šādas mērķa grupas ietvaros – arī tādēļ </w:t>
      </w:r>
      <w:proofErr w:type="spellStart"/>
      <w:r>
        <w:t>papildizlases</w:t>
      </w:r>
      <w:proofErr w:type="spellEnd"/>
      <w:r>
        <w:t xml:space="preserve"> veidošana </w:t>
      </w:r>
      <w:r w:rsidR="00FC3EF5">
        <w:t xml:space="preserve">bija </w:t>
      </w:r>
      <w:r>
        <w:t>uzskatāma par nepieciešamu.</w:t>
      </w:r>
      <w:r w:rsidR="004B4997">
        <w:t xml:space="preserve"> Ņemot vērā, ka aptaujas gaitā tika sasniegts arī daudz vairāk kā sākotnēji plānots respondentu to uzņēmumu mērķa grupā, kuri nebija veikuši ieguldījumus pētniecībā un attīstībā, tika pieņemts lēmums atstāt </w:t>
      </w:r>
      <w:r w:rsidR="00440956">
        <w:t>aptaujas</w:t>
      </w:r>
      <w:r w:rsidR="004B4997">
        <w:t xml:space="preserve"> izlasē visu sasniegto respondentu anketas (nepieciešamo 150 vietā aptaujā tika sasniegti 256 respondenti šajā mērķa grupā). </w:t>
      </w:r>
    </w:p>
    <w:p w:rsidR="007477C1" w:rsidRDefault="007477C1">
      <w:pPr>
        <w:numPr>
          <w:ilvl w:val="0"/>
          <w:numId w:val="7"/>
        </w:numPr>
        <w:spacing w:line="360" w:lineRule="auto"/>
        <w:ind w:hanging="294"/>
        <w:jc w:val="both"/>
      </w:pPr>
      <w:r>
        <w:t>Šāda aptaujas izlases kopas veidošanas metodika ļau</w:t>
      </w:r>
      <w:r w:rsidR="006F1198">
        <w:t>j</w:t>
      </w:r>
      <w:r>
        <w:t xml:space="preserve"> iegūtos datus analizēt vairākos būtiskos aspektos:</w:t>
      </w:r>
    </w:p>
    <w:p w:rsidR="007477C1" w:rsidRDefault="007477C1">
      <w:pPr>
        <w:numPr>
          <w:ilvl w:val="1"/>
          <w:numId w:val="7"/>
        </w:numPr>
        <w:spacing w:line="360" w:lineRule="auto"/>
        <w:jc w:val="both"/>
      </w:pPr>
      <w:r>
        <w:t xml:space="preserve">Visu uzņēmumu mērķa grupa (reprezentatīva Latvijas uzņēmumu </w:t>
      </w:r>
      <w:proofErr w:type="spellStart"/>
      <w:r>
        <w:t>ģenerālkopai</w:t>
      </w:r>
      <w:proofErr w:type="spellEnd"/>
      <w:r>
        <w:t>) – ļauj identificēt un analizēt konkrētus rādītājus un vērtējumus attiecībā uz visiem Latvijas uzņēmumiem, tādejādi nosakot konkrētu uzņēmējdarbības vides faktoru ietekmi uz uzņēmējdarbību kopumā.</w:t>
      </w:r>
    </w:p>
    <w:p w:rsidR="007477C1" w:rsidRDefault="007477C1">
      <w:pPr>
        <w:numPr>
          <w:ilvl w:val="1"/>
          <w:numId w:val="7"/>
        </w:numPr>
        <w:spacing w:line="360" w:lineRule="auto"/>
        <w:jc w:val="both"/>
      </w:pPr>
      <w:r>
        <w:lastRenderedPageBreak/>
        <w:t xml:space="preserve">Atsevišķa analīze par katru no tiešajām mērķa grupām – uzņēmumi, kuri iegulda pētniecībā un attīstībā, un tādi, kuri neiegulda. </w:t>
      </w:r>
      <w:r w:rsidR="006F1198">
        <w:t>R</w:t>
      </w:r>
      <w:r>
        <w:t xml:space="preserve">espondentu dalījums </w:t>
      </w:r>
      <w:r w:rsidR="006F1198">
        <w:t xml:space="preserve">mērķa grupās </w:t>
      </w:r>
      <w:r>
        <w:t>ļau</w:t>
      </w:r>
      <w:r w:rsidR="006F1198">
        <w:t>j</w:t>
      </w:r>
      <w:r>
        <w:t xml:space="preserve"> analizēt katru no </w:t>
      </w:r>
      <w:r w:rsidR="006F1198">
        <w:t>tām</w:t>
      </w:r>
      <w:r>
        <w:t xml:space="preserve"> kā atsevišķu, patstāvīgu analīzes vienību.</w:t>
      </w:r>
    </w:p>
    <w:p w:rsidR="007477C1" w:rsidRDefault="007477C1">
      <w:pPr>
        <w:numPr>
          <w:ilvl w:val="1"/>
          <w:numId w:val="7"/>
        </w:numPr>
        <w:spacing w:line="360" w:lineRule="auto"/>
        <w:jc w:val="both"/>
      </w:pPr>
      <w:r>
        <w:t>Salīdzinoša analīze par abām tiešajām mērķa grupām – datus un vērtējumus iespējams analizēt arī salīdzinoši starp uzņēmumiem, kuri iegulda pētniecībā un attīstībā, un tādiem, kuri neiegulda, tādejādi identificējot būtiskākās atšķirības katrā mērķa grupā un ļaujot identificēt veicamos uzlabojumus specifiski attiecībā uz katru mērķa grupu.</w:t>
      </w:r>
    </w:p>
    <w:p w:rsidR="008927D9" w:rsidRDefault="008927D9" w:rsidP="008927D9">
      <w:pPr>
        <w:spacing w:line="360" w:lineRule="auto"/>
        <w:jc w:val="both"/>
      </w:pPr>
    </w:p>
    <w:p w:rsidR="008927D9" w:rsidRDefault="008927D9" w:rsidP="008927D9">
      <w:pPr>
        <w:pStyle w:val="Heading2"/>
        <w:rPr>
          <w:rFonts w:cs="Calibri"/>
        </w:rPr>
      </w:pPr>
      <w:bookmarkStart w:id="13" w:name="_Toc354736249"/>
      <w:bookmarkStart w:id="14" w:name="_Toc354740689"/>
      <w:bookmarkStart w:id="15" w:name="_Toc354740720"/>
      <w:r w:rsidRPr="00946516">
        <w:t xml:space="preserve">Aptaujas </w:t>
      </w:r>
      <w:r>
        <w:t>metode</w:t>
      </w:r>
      <w:bookmarkEnd w:id="13"/>
      <w:bookmarkEnd w:id="14"/>
      <w:bookmarkEnd w:id="15"/>
    </w:p>
    <w:p w:rsidR="00B823B3" w:rsidRDefault="007477C1">
      <w:pPr>
        <w:spacing w:line="360" w:lineRule="auto"/>
        <w:jc w:val="both"/>
      </w:pPr>
      <w:r>
        <w:t xml:space="preserve">Saskaņā ar pakalpojuma iepirkuma tehnisko specifikāciju kā aptaujas </w:t>
      </w:r>
      <w:r w:rsidR="006F1444">
        <w:t>pamat</w:t>
      </w:r>
      <w:r>
        <w:t>metode tik</w:t>
      </w:r>
      <w:r w:rsidR="006F1444">
        <w:t>a</w:t>
      </w:r>
      <w:r>
        <w:t xml:space="preserve"> </w:t>
      </w:r>
      <w:r w:rsidR="006F1444">
        <w:t>noteikta</w:t>
      </w:r>
      <w:r>
        <w:t xml:space="preserve"> tiešās (</w:t>
      </w:r>
      <w:proofErr w:type="spellStart"/>
      <w:r>
        <w:rPr>
          <w:i/>
        </w:rPr>
        <w:t>face</w:t>
      </w:r>
      <w:proofErr w:type="spellEnd"/>
      <w:r>
        <w:rPr>
          <w:i/>
        </w:rPr>
        <w:t xml:space="preserve"> to </w:t>
      </w:r>
      <w:proofErr w:type="spellStart"/>
      <w:r>
        <w:rPr>
          <w:i/>
        </w:rPr>
        <w:t>face</w:t>
      </w:r>
      <w:proofErr w:type="spellEnd"/>
      <w:r>
        <w:t xml:space="preserve">) intervijas. Ņemot vērā pētījuma lauka darba veikšanai atvēlēto kopumā neilgo laiku, kā arī mērķa grupas specifiku (viens no būtiskiem mērķa grupas riskiem </w:t>
      </w:r>
      <w:r w:rsidR="006F1444">
        <w:t xml:space="preserve">bija </w:t>
      </w:r>
      <w:r>
        <w:t>– respondenti var</w:t>
      </w:r>
      <w:r w:rsidR="006F1444">
        <w:t>ēja</w:t>
      </w:r>
      <w:r>
        <w:t xml:space="preserve"> nevēlēties atklāt konkrētu informāciju par uzņēmumu, kā arī savus vērtējumus finanšu atbalsta instrumentiem personīgo interviju procesā), kā papildus metodes aptaujas īstenošanai </w:t>
      </w:r>
      <w:r w:rsidR="006F1444">
        <w:t>tika izmantotas</w:t>
      </w:r>
      <w:r>
        <w:t xml:space="preserve"> arī telefonintervijas un interneta vidē programmētas anketas. </w:t>
      </w:r>
    </w:p>
    <w:p w:rsidR="00B823B3" w:rsidRDefault="00B823B3">
      <w:pPr>
        <w:spacing w:line="360" w:lineRule="auto"/>
        <w:jc w:val="both"/>
      </w:pPr>
    </w:p>
    <w:p w:rsidR="00B823B3" w:rsidRDefault="00B823B3" w:rsidP="00B823B3">
      <w:pPr>
        <w:pStyle w:val="Heading2"/>
        <w:rPr>
          <w:rFonts w:cs="Calibri"/>
        </w:rPr>
      </w:pPr>
      <w:bookmarkStart w:id="16" w:name="_Toc354736250"/>
      <w:bookmarkStart w:id="17" w:name="_Toc354740690"/>
      <w:bookmarkStart w:id="18" w:name="_Toc354740721"/>
      <w:r>
        <w:t>Sasniegtās izlases raksturojums</w:t>
      </w:r>
      <w:bookmarkEnd w:id="16"/>
      <w:bookmarkEnd w:id="17"/>
      <w:bookmarkEnd w:id="18"/>
    </w:p>
    <w:p w:rsidR="00703F4D" w:rsidRDefault="00703F4D">
      <w:pPr>
        <w:spacing w:line="360" w:lineRule="auto"/>
        <w:jc w:val="both"/>
      </w:pPr>
      <w:r>
        <w:t>Kopējā sasniegtā aptaujas izlase ir 414 respondenti. Intervijas tika veiktas vai anketas aizpildīja uzņēmumu vadītāji</w:t>
      </w:r>
      <w:r w:rsidR="007477C1">
        <w:t xml:space="preserve"> (vai to deleģēti</w:t>
      </w:r>
      <w:r>
        <w:t xml:space="preserve"> pārstāvji</w:t>
      </w:r>
      <w:r w:rsidR="007477C1">
        <w:t xml:space="preserve">, ja par pētījuma tēmu kompetentāks sniegt atbildes </w:t>
      </w:r>
      <w:r>
        <w:t>bija</w:t>
      </w:r>
      <w:r w:rsidR="007477C1">
        <w:t xml:space="preserve"> cits uzņēmuma pārstāvis). Respondentu atsaucību pētījumā </w:t>
      </w:r>
      <w:r>
        <w:t>paredzējām</w:t>
      </w:r>
      <w:r w:rsidR="007477C1">
        <w:t xml:space="preserve"> 50%-60% līmenī</w:t>
      </w:r>
      <w:r>
        <w:t xml:space="preserve">, tomēr lauka darba procesā tā bija tikai 30% līmenī, sekojoši bija </w:t>
      </w:r>
      <w:proofErr w:type="spellStart"/>
      <w:r>
        <w:t>nepiešams</w:t>
      </w:r>
      <w:proofErr w:type="spellEnd"/>
      <w:r>
        <w:t xml:space="preserve"> vairākkārt papildināt kopējo </w:t>
      </w:r>
      <w:proofErr w:type="spellStart"/>
      <w:r>
        <w:t>ģenerālkopas</w:t>
      </w:r>
      <w:proofErr w:type="spellEnd"/>
      <w:r>
        <w:t xml:space="preserve"> uzņēmumu sarakstu, lai sasniegtu nepieciešamo aptaujas izlases apjomu.</w:t>
      </w:r>
    </w:p>
    <w:p w:rsidR="006E6A79" w:rsidRDefault="006E6A79">
      <w:pPr>
        <w:spacing w:line="360" w:lineRule="auto"/>
        <w:jc w:val="both"/>
      </w:pPr>
      <w:r>
        <w:t>Aptaujas izlases raksturojumu skatīt attēlos</w:t>
      </w:r>
      <w:r w:rsidR="00ED3CD3">
        <w:t xml:space="preserve"> nākamajās lapaspusēs</w:t>
      </w:r>
      <w:r>
        <w:t>.</w:t>
      </w:r>
    </w:p>
    <w:p w:rsidR="00193271" w:rsidRDefault="00193271" w:rsidP="0054275D">
      <w:pPr>
        <w:spacing w:line="360" w:lineRule="auto"/>
        <w:jc w:val="both"/>
      </w:pPr>
    </w:p>
    <w:p w:rsidR="00193271" w:rsidRDefault="00193271" w:rsidP="0054275D">
      <w:pPr>
        <w:spacing w:line="360" w:lineRule="auto"/>
        <w:jc w:val="both"/>
      </w:pPr>
    </w:p>
    <w:p w:rsidR="0054275D" w:rsidRDefault="0054275D" w:rsidP="0054275D">
      <w:pPr>
        <w:spacing w:line="360" w:lineRule="auto"/>
        <w:jc w:val="both"/>
      </w:pPr>
    </w:p>
    <w:p w:rsidR="0054275D" w:rsidRDefault="0054275D" w:rsidP="00FD2B9D">
      <w:pPr>
        <w:spacing w:line="360" w:lineRule="auto"/>
        <w:jc w:val="center"/>
      </w:pPr>
      <w:r w:rsidRPr="009A4AFC">
        <w:rPr>
          <w:noProof/>
          <w:lang w:eastAsia="lv-LV"/>
        </w:rPr>
        <w:lastRenderedPageBreak/>
        <w:drawing>
          <wp:inline distT="0" distB="0" distL="0" distR="0" wp14:anchorId="471BEF0E" wp14:editId="15AED776">
            <wp:extent cx="5972175" cy="7029450"/>
            <wp:effectExtent l="19050" t="0" r="9525"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4275D" w:rsidRDefault="0054275D" w:rsidP="00110BC2">
      <w:pPr>
        <w:spacing w:line="360" w:lineRule="auto"/>
        <w:jc w:val="center"/>
      </w:pPr>
      <w:r w:rsidRPr="009A4AFC">
        <w:rPr>
          <w:noProof/>
          <w:lang w:eastAsia="lv-LV"/>
        </w:rPr>
        <w:lastRenderedPageBreak/>
        <w:drawing>
          <wp:inline distT="0" distB="0" distL="0" distR="0" wp14:anchorId="6F8C8881" wp14:editId="7D5DB75E">
            <wp:extent cx="5972175" cy="6381750"/>
            <wp:effectExtent l="19050" t="0" r="9525" b="0"/>
            <wp:docPr id="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4275D" w:rsidRDefault="0054275D">
      <w:pPr>
        <w:spacing w:line="360" w:lineRule="auto"/>
        <w:jc w:val="both"/>
      </w:pPr>
    </w:p>
    <w:p w:rsidR="00945FD3" w:rsidRDefault="00945FD3">
      <w:pPr>
        <w:suppressAutoHyphens w:val="0"/>
        <w:spacing w:after="0"/>
        <w:rPr>
          <w:rFonts w:eastAsia="Calibri"/>
          <w:b/>
          <w:caps/>
          <w:sz w:val="28"/>
          <w:szCs w:val="20"/>
        </w:rPr>
      </w:pPr>
      <w:r>
        <w:br w:type="page"/>
      </w:r>
    </w:p>
    <w:p w:rsidR="007477C1" w:rsidRDefault="007477C1">
      <w:pPr>
        <w:pStyle w:val="Heading1"/>
        <w:spacing w:line="360" w:lineRule="auto"/>
      </w:pPr>
      <w:bookmarkStart w:id="19" w:name="_Toc354736251"/>
      <w:bookmarkStart w:id="20" w:name="_Toc354740691"/>
      <w:bookmarkStart w:id="21" w:name="_Toc354740722"/>
      <w:r>
        <w:lastRenderedPageBreak/>
        <w:t xml:space="preserve">APTAUJAS </w:t>
      </w:r>
      <w:r w:rsidR="004D6E1F">
        <w:t>REZULTĀTI</w:t>
      </w:r>
      <w:bookmarkEnd w:id="19"/>
      <w:bookmarkEnd w:id="20"/>
      <w:bookmarkEnd w:id="21"/>
    </w:p>
    <w:p w:rsidR="007477C1" w:rsidRDefault="003866BC">
      <w:pPr>
        <w:pStyle w:val="Heading2"/>
        <w:rPr>
          <w:rFonts w:cs="Calibri"/>
        </w:rPr>
      </w:pPr>
      <w:bookmarkStart w:id="22" w:name="_Toc354736252"/>
      <w:bookmarkStart w:id="23" w:name="_Toc354740692"/>
      <w:bookmarkStart w:id="24" w:name="_Toc354740723"/>
      <w:r w:rsidRPr="003866BC">
        <w:t>Uzņēmuma pieredze pētniecības un attīstības (izstrādes) jomā</w:t>
      </w:r>
      <w:bookmarkEnd w:id="22"/>
      <w:bookmarkEnd w:id="23"/>
      <w:bookmarkEnd w:id="24"/>
    </w:p>
    <w:p w:rsidR="00AA04C2" w:rsidRPr="00AA04C2" w:rsidRDefault="00AA04C2" w:rsidP="00AA04C2">
      <w:pPr>
        <w:pStyle w:val="Heading2"/>
        <w:numPr>
          <w:ilvl w:val="2"/>
          <w:numId w:val="1"/>
        </w:numPr>
        <w:rPr>
          <w:rFonts w:cs="Calibri"/>
          <w:sz w:val="22"/>
        </w:rPr>
      </w:pPr>
      <w:bookmarkStart w:id="25" w:name="_Toc354740693"/>
      <w:bookmarkStart w:id="26" w:name="_Toc354740724"/>
      <w:r>
        <w:rPr>
          <w:sz w:val="22"/>
        </w:rPr>
        <w:t>Pētniecības un attīstības būtiskuma vērtējums</w:t>
      </w:r>
      <w:bookmarkEnd w:id="25"/>
      <w:bookmarkEnd w:id="26"/>
    </w:p>
    <w:p w:rsidR="00795806" w:rsidRDefault="007D0931" w:rsidP="00EA3DEF">
      <w:pPr>
        <w:spacing w:line="360" w:lineRule="auto"/>
        <w:jc w:val="both"/>
      </w:pPr>
      <w:r>
        <w:t>Latvijas uzņēmēju viedoklis par pētniecības un attīstības</w:t>
      </w:r>
      <w:r w:rsidR="0014042E">
        <w:t xml:space="preserve"> (turpmāk tekstā – P&amp;A)</w:t>
      </w:r>
      <w:r>
        <w:t xml:space="preserve"> būtiskumu uzņēmuma darbībā ir neviennozīmīgs – kopumā 38%, ka tā ir būtiska, kamēr 42% - ka </w:t>
      </w:r>
      <w:r w:rsidR="00284E4D">
        <w:t xml:space="preserve">nav </w:t>
      </w:r>
      <w:r>
        <w:t>būtiska.</w:t>
      </w:r>
      <w:r w:rsidR="00284E4D">
        <w:t xml:space="preserve"> Īpaši jāuzsver fakts, ka tikai 5% ir tādu uzņēmēju, kuri </w:t>
      </w:r>
      <w:r w:rsidR="0014042E">
        <w:t xml:space="preserve">P&amp;A </w:t>
      </w:r>
      <w:r w:rsidR="00284E4D">
        <w:t>uzskata par izšķirošu savu uzņēmumu darbībā.</w:t>
      </w:r>
    </w:p>
    <w:p w:rsidR="00C06466" w:rsidRDefault="006C626E" w:rsidP="00EA3DEF">
      <w:pPr>
        <w:spacing w:line="360" w:lineRule="auto"/>
        <w:jc w:val="both"/>
      </w:pPr>
      <w:r w:rsidRPr="009A4AFC">
        <w:rPr>
          <w:noProof/>
          <w:lang w:eastAsia="lv-LV"/>
        </w:rPr>
        <w:drawing>
          <wp:inline distT="0" distB="0" distL="0" distR="0" wp14:anchorId="0F5090C1" wp14:editId="20CDFC7B">
            <wp:extent cx="5972175" cy="2181225"/>
            <wp:effectExtent l="19050" t="0" r="9525" b="0"/>
            <wp:docPr id="1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F31AD" w:rsidRDefault="007F31AD" w:rsidP="00EA3DEF">
      <w:pPr>
        <w:spacing w:line="360" w:lineRule="auto"/>
        <w:jc w:val="both"/>
      </w:pPr>
    </w:p>
    <w:p w:rsidR="003516FA" w:rsidRDefault="003516FA" w:rsidP="00EA3DEF">
      <w:pPr>
        <w:spacing w:line="360" w:lineRule="auto"/>
        <w:jc w:val="both"/>
      </w:pPr>
      <w:r w:rsidRPr="003516FA">
        <w:t>P&amp;A kā būtisku savu uzņēmumu darbībā salīdzinoši biežāk vērtē uzņēmumi, kuri dibināti pirms 1991.gada (kopumā 61% no tādiem vērtē, ka P&amp;A ir būtiska), kuros nodarbināti vairāk kā 50 darbinieki (50%), kuru apgrozījums ir lielāks par 100 000 latu (45%), ražošanā un rūpniecībā (52%), kā arī pakalpojumu jomā (44%) strādājošie, Rīgā bāzētie (47%). Jāvērš arī uzmanība uz faktu, ka 19% uzņēmēju, kuri pēdējo trīs gadu laikā nav veikuši ieguldījumus pētniecības jomā, arī novērtē, ka P&amp;A ir to uzņēmumu darbībā būtiska.</w:t>
      </w:r>
    </w:p>
    <w:p w:rsidR="00795806" w:rsidRDefault="006C626E" w:rsidP="00EA3DEF">
      <w:pPr>
        <w:spacing w:line="360" w:lineRule="auto"/>
        <w:jc w:val="both"/>
      </w:pPr>
      <w:r w:rsidRPr="009A4AFC">
        <w:rPr>
          <w:noProof/>
          <w:lang w:eastAsia="lv-LV"/>
        </w:rPr>
        <w:lastRenderedPageBreak/>
        <w:drawing>
          <wp:inline distT="0" distB="0" distL="0" distR="0" wp14:anchorId="195BAF49" wp14:editId="6D604AA0">
            <wp:extent cx="5972175" cy="6257925"/>
            <wp:effectExtent l="0" t="0" r="9525" b="9525"/>
            <wp:docPr id="1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00A34" w:rsidRDefault="00E00A34">
      <w:pPr>
        <w:suppressAutoHyphens w:val="0"/>
        <w:spacing w:after="0"/>
      </w:pPr>
      <w:r>
        <w:br w:type="page"/>
      </w:r>
    </w:p>
    <w:p w:rsidR="00C8668F" w:rsidRPr="00AA04C2" w:rsidRDefault="00AF06DB" w:rsidP="00C8668F">
      <w:pPr>
        <w:pStyle w:val="Heading2"/>
        <w:numPr>
          <w:ilvl w:val="2"/>
          <w:numId w:val="1"/>
        </w:numPr>
        <w:rPr>
          <w:rFonts w:cs="Calibri"/>
          <w:sz w:val="22"/>
        </w:rPr>
      </w:pPr>
      <w:bookmarkStart w:id="27" w:name="_Toc354740694"/>
      <w:bookmarkStart w:id="28" w:name="_Toc354740725"/>
      <w:r>
        <w:rPr>
          <w:sz w:val="22"/>
        </w:rPr>
        <w:lastRenderedPageBreak/>
        <w:t>Ieguldījumi p</w:t>
      </w:r>
      <w:r w:rsidR="00C8668F">
        <w:rPr>
          <w:sz w:val="22"/>
        </w:rPr>
        <w:t>ētniecīb</w:t>
      </w:r>
      <w:r>
        <w:rPr>
          <w:sz w:val="22"/>
        </w:rPr>
        <w:t>ā</w:t>
      </w:r>
      <w:r w:rsidR="00C8668F">
        <w:rPr>
          <w:sz w:val="22"/>
        </w:rPr>
        <w:t xml:space="preserve"> un attīstīb</w:t>
      </w:r>
      <w:r>
        <w:rPr>
          <w:sz w:val="22"/>
        </w:rPr>
        <w:t>ā pēdējo trīs gadu laikā</w:t>
      </w:r>
      <w:bookmarkEnd w:id="27"/>
      <w:bookmarkEnd w:id="28"/>
    </w:p>
    <w:p w:rsidR="00795806" w:rsidRDefault="004C7232" w:rsidP="00EA3DEF">
      <w:pPr>
        <w:spacing w:line="360" w:lineRule="auto"/>
        <w:jc w:val="both"/>
      </w:pPr>
      <w:r>
        <w:t xml:space="preserve">Kopumā 38% Latvijas uzņēmumu ir veikuši ieguldījumus </w:t>
      </w:r>
      <w:r w:rsidRPr="003516FA">
        <w:t>P&amp;A</w:t>
      </w:r>
      <w:r>
        <w:t xml:space="preserve"> pēdējo trīs gadu laikā – 10% to dara regulāri, 20% - dažkārt, bet vēl 8% ieguldījumus veikuši vienreiz. Attiecīgi 62% Latvijas uzņēmēju ieguldījumus </w:t>
      </w:r>
      <w:r w:rsidRPr="003516FA">
        <w:t>P&amp;A</w:t>
      </w:r>
      <w:r>
        <w:t xml:space="preserve"> nav veikuši.</w:t>
      </w:r>
    </w:p>
    <w:p w:rsidR="00812923" w:rsidRDefault="00225696" w:rsidP="00EA3DEF">
      <w:pPr>
        <w:spacing w:line="360" w:lineRule="auto"/>
        <w:jc w:val="both"/>
      </w:pPr>
      <w:r w:rsidRPr="009A4AFC">
        <w:rPr>
          <w:noProof/>
          <w:lang w:eastAsia="lv-LV"/>
        </w:rPr>
        <w:drawing>
          <wp:inline distT="0" distB="0" distL="0" distR="0" wp14:anchorId="221BC46D" wp14:editId="1E4B5D72">
            <wp:extent cx="5972175" cy="2181225"/>
            <wp:effectExtent l="0" t="0" r="9525" b="9525"/>
            <wp:docPr id="20"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F31AD" w:rsidRDefault="007F31AD" w:rsidP="00EA3DEF">
      <w:pPr>
        <w:spacing w:line="360" w:lineRule="auto"/>
        <w:jc w:val="both"/>
      </w:pPr>
    </w:p>
    <w:p w:rsidR="00795806" w:rsidRDefault="00155E33" w:rsidP="00EA3DEF">
      <w:pPr>
        <w:spacing w:line="360" w:lineRule="auto"/>
        <w:jc w:val="both"/>
      </w:pPr>
      <w:r w:rsidRPr="00155E33">
        <w:t>Ieguldījumus P&amp;A salīdzinoši biežāk veikuši uzņēmumi, kuri dibināti pirms 1991.gada (29% šajā mērķa grupā ieguldījumus P&amp;A veic regulāri), kuros nodarbināti vairāk kā 50 darbinieki (22%), kuru apgrozījums ir lielāks par 500 000 latu (16%), ražošanā un rūpniecībā strādājošie (23%), Rīgā bāzētie (15%). Novērojams arī, ka pēdējo piecu gadu laikā dibināto uzņēmumu vidū salīdzinoši augsts - 14% - ir to īpatsvars, kuri regulāri veic ieguldījumus P&amp;A. Tāpat jāmin, ka salīdzinoši liels ir Zemgalē strādājošo uzņēmumu īpatsvars, kuri iegulda P&amp;A - ja Latvijā vidēji 38%, tad Zemgales reģionā - 43%.</w:t>
      </w:r>
    </w:p>
    <w:p w:rsidR="00812923" w:rsidRDefault="00812923" w:rsidP="00EA3DEF">
      <w:pPr>
        <w:spacing w:line="360" w:lineRule="auto"/>
        <w:jc w:val="both"/>
      </w:pPr>
      <w:r w:rsidRPr="009A4AFC">
        <w:rPr>
          <w:noProof/>
          <w:lang w:eastAsia="lv-LV"/>
        </w:rPr>
        <w:lastRenderedPageBreak/>
        <w:drawing>
          <wp:inline distT="0" distB="0" distL="0" distR="0" wp14:anchorId="4C4C9BB4" wp14:editId="31FE388F">
            <wp:extent cx="5972175" cy="6257925"/>
            <wp:effectExtent l="0" t="0" r="9525" b="9525"/>
            <wp:docPr id="19"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359B9" w:rsidRDefault="005359B9">
      <w:pPr>
        <w:suppressAutoHyphens w:val="0"/>
        <w:spacing w:after="0"/>
      </w:pPr>
      <w:r>
        <w:br w:type="page"/>
      </w:r>
    </w:p>
    <w:p w:rsidR="00E64EC5" w:rsidRPr="00AA04C2" w:rsidRDefault="00E64EC5" w:rsidP="00E64EC5">
      <w:pPr>
        <w:pStyle w:val="Heading2"/>
        <w:numPr>
          <w:ilvl w:val="2"/>
          <w:numId w:val="1"/>
        </w:numPr>
        <w:rPr>
          <w:rFonts w:cs="Calibri"/>
          <w:sz w:val="22"/>
        </w:rPr>
      </w:pPr>
      <w:bookmarkStart w:id="29" w:name="_Toc354740695"/>
      <w:bookmarkStart w:id="30" w:name="_Toc354740726"/>
      <w:r>
        <w:rPr>
          <w:sz w:val="22"/>
        </w:rPr>
        <w:lastRenderedPageBreak/>
        <w:t>Ieguldījumu pētniecībā un attīstībā veidi</w:t>
      </w:r>
      <w:bookmarkEnd w:id="29"/>
      <w:bookmarkEnd w:id="30"/>
    </w:p>
    <w:p w:rsidR="00B419E5" w:rsidRDefault="00C85E6F" w:rsidP="00EA3DEF">
      <w:pPr>
        <w:spacing w:line="360" w:lineRule="auto"/>
        <w:jc w:val="both"/>
      </w:pPr>
      <w:r>
        <w:t>Tie 38% uzņēmēju, kuri pēdējo trīs gadu laikā bija veikuši ieguldījumus P&amp;A, tika lūgti norādīt, kādi tieši ieguldījumi veikti. 56% ir veikuši ieguldījumus eksperimentālās izstrādēs, 51% - lietišķos pētījumos, bet tikai 11% - fundamentālos pētījumos.</w:t>
      </w:r>
      <w:r w:rsidR="00A71372">
        <w:t xml:space="preserve"> </w:t>
      </w:r>
      <w:r w:rsidR="008B3042">
        <w:t>Fundamentālos pētījumos ieguldījumus salīdzinoši biežāk veikuši pēdējo piecu gadu laikā dibinātie uzņēmumi, un tie, kuru apgrozījums ir lielāks par 500 000 LVL, lietišķos pētījumos – 2001.-2007.gadā dibinātie, kā arī tie, kuru apgrozījums ir lielāks par 500 000 LVL, savukārt eksperimentālās izstrādēs – tie, kuru apgrozījums ir 100 001 – 500 000 LVL liels.</w:t>
      </w:r>
    </w:p>
    <w:p w:rsidR="00225696" w:rsidRDefault="00225696" w:rsidP="00EA3DEF">
      <w:pPr>
        <w:spacing w:line="360" w:lineRule="auto"/>
        <w:jc w:val="both"/>
      </w:pPr>
      <w:r w:rsidRPr="009A4AFC">
        <w:rPr>
          <w:noProof/>
          <w:lang w:eastAsia="lv-LV"/>
        </w:rPr>
        <w:drawing>
          <wp:inline distT="0" distB="0" distL="0" distR="0" wp14:anchorId="00CC9C92" wp14:editId="449F3F9E">
            <wp:extent cx="5972175" cy="2181225"/>
            <wp:effectExtent l="0" t="0" r="9525" b="9525"/>
            <wp:docPr id="1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866BC" w:rsidRDefault="00225696" w:rsidP="00EA3DEF">
      <w:pPr>
        <w:spacing w:line="360" w:lineRule="auto"/>
        <w:jc w:val="both"/>
      </w:pPr>
      <w:r w:rsidRPr="009A4AFC">
        <w:rPr>
          <w:noProof/>
          <w:lang w:eastAsia="lv-LV"/>
        </w:rPr>
        <w:drawing>
          <wp:inline distT="0" distB="0" distL="0" distR="0" wp14:anchorId="2C585B2E" wp14:editId="54AEBD4A">
            <wp:extent cx="5972175" cy="4019550"/>
            <wp:effectExtent l="19050" t="0" r="9525" b="0"/>
            <wp:docPr id="2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64EC5" w:rsidRPr="00AA04C2" w:rsidRDefault="00E64EC5" w:rsidP="00E64EC5">
      <w:pPr>
        <w:pStyle w:val="Heading2"/>
        <w:numPr>
          <w:ilvl w:val="2"/>
          <w:numId w:val="1"/>
        </w:numPr>
        <w:rPr>
          <w:rFonts w:cs="Calibri"/>
          <w:sz w:val="22"/>
        </w:rPr>
      </w:pPr>
      <w:bookmarkStart w:id="31" w:name="_Toc354740696"/>
      <w:bookmarkStart w:id="32" w:name="_Toc354740727"/>
      <w:r>
        <w:rPr>
          <w:sz w:val="22"/>
        </w:rPr>
        <w:lastRenderedPageBreak/>
        <w:t>Ieguldījumu pētniecībā un attīstībā īpatsvars uzņēmumu apgrozījumā</w:t>
      </w:r>
      <w:bookmarkEnd w:id="31"/>
      <w:bookmarkEnd w:id="32"/>
    </w:p>
    <w:p w:rsidR="00935A82" w:rsidRDefault="00AA61A6" w:rsidP="00EA3DEF">
      <w:pPr>
        <w:spacing w:line="360" w:lineRule="auto"/>
        <w:jc w:val="both"/>
      </w:pPr>
      <w:r>
        <w:t>Vairākums – 71% - P&amp;A ieguldījuši ne vairāk kā 10% no uzņēmumu ikgadējā apgrozījuma – 25% novērtē, ka ieguldījuši tikai 1% vai pat mazāk, 30% - no 1,1% līdz 5%, bet 17% - 5,1% līdz 10% no apgrozījuma. 29% uzņēmēju apgalvo, ka P&amp;A ieguldījuši vairāk kā 10% no sava uzņēmuma apgrozījuma.</w:t>
      </w:r>
    </w:p>
    <w:p w:rsidR="001130F2" w:rsidRDefault="001130F2" w:rsidP="00EA3DEF">
      <w:pPr>
        <w:spacing w:line="360" w:lineRule="auto"/>
        <w:jc w:val="both"/>
      </w:pPr>
      <w:r w:rsidRPr="009A4AFC">
        <w:rPr>
          <w:noProof/>
          <w:lang w:eastAsia="lv-LV"/>
        </w:rPr>
        <w:drawing>
          <wp:inline distT="0" distB="0" distL="0" distR="0" wp14:anchorId="4EA0A7F5" wp14:editId="04584750">
            <wp:extent cx="5972175" cy="2181225"/>
            <wp:effectExtent l="0" t="0" r="9525" b="9525"/>
            <wp:docPr id="2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5019E" w:rsidRDefault="00BE5252" w:rsidP="00EA3DEF">
      <w:pPr>
        <w:spacing w:line="360" w:lineRule="auto"/>
        <w:jc w:val="both"/>
      </w:pPr>
      <w:r>
        <w:t>Vidējā ikgadējo ieguldījumu P&amp;A summa latos lielākajā daļā – 67% - gadījumu nepārsniedz 10 000 LVL. Summas, kas lielākas par 50 000 LVL gadā, ieguldījuši tikai 12% uzņēmēju.</w:t>
      </w:r>
    </w:p>
    <w:p w:rsidR="00CC2493" w:rsidRDefault="00CC2493" w:rsidP="00EA3DEF">
      <w:pPr>
        <w:spacing w:line="360" w:lineRule="auto"/>
        <w:jc w:val="both"/>
      </w:pPr>
      <w:r w:rsidRPr="009A4AFC">
        <w:rPr>
          <w:noProof/>
          <w:lang w:eastAsia="lv-LV"/>
        </w:rPr>
        <w:drawing>
          <wp:inline distT="0" distB="0" distL="0" distR="0" wp14:anchorId="49B46B5A" wp14:editId="29874ABE">
            <wp:extent cx="5972175" cy="2181225"/>
            <wp:effectExtent l="0" t="0" r="9525" b="9525"/>
            <wp:docPr id="2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64EC5" w:rsidRDefault="00E64EC5" w:rsidP="00EA3DEF">
      <w:pPr>
        <w:spacing w:line="360" w:lineRule="auto"/>
        <w:jc w:val="both"/>
      </w:pPr>
    </w:p>
    <w:p w:rsidR="00E64EC5" w:rsidRPr="00AA04C2" w:rsidRDefault="00E64EC5" w:rsidP="00E64EC5">
      <w:pPr>
        <w:pStyle w:val="Heading2"/>
        <w:numPr>
          <w:ilvl w:val="2"/>
          <w:numId w:val="1"/>
        </w:numPr>
        <w:rPr>
          <w:rFonts w:cs="Calibri"/>
          <w:sz w:val="22"/>
        </w:rPr>
      </w:pPr>
      <w:bookmarkStart w:id="33" w:name="_Toc354740697"/>
      <w:bookmarkStart w:id="34" w:name="_Toc354740728"/>
      <w:r>
        <w:rPr>
          <w:sz w:val="22"/>
        </w:rPr>
        <w:t>Būtiskākās izmaksu kategorijas ieguldījumos pētniecībā un attīstībā</w:t>
      </w:r>
      <w:bookmarkEnd w:id="33"/>
      <w:bookmarkEnd w:id="34"/>
    </w:p>
    <w:p w:rsidR="00083A60" w:rsidRDefault="007971E5" w:rsidP="00EA3DEF">
      <w:pPr>
        <w:spacing w:line="360" w:lineRule="auto"/>
        <w:jc w:val="both"/>
      </w:pPr>
      <w:r>
        <w:t>Būtiskākās izmaksu kategorijas P&amp;A uzņēmējiem bijušas – darbaspēka izmaksas (to norādījuši 59% aptaujāto) un materiālu izmaksas (48%). Dažāda cita veida izmaksas norāda ne vairāk kā 1/5 uzņēmēju, to vidū 17% pasūtījuši pētījumus Latvijā un 8% - ārvalstīs.</w:t>
      </w:r>
    </w:p>
    <w:p w:rsidR="00220981" w:rsidRDefault="00220981" w:rsidP="00EA3DEF">
      <w:pPr>
        <w:spacing w:line="360" w:lineRule="auto"/>
        <w:jc w:val="both"/>
      </w:pPr>
      <w:r w:rsidRPr="009A4AFC">
        <w:rPr>
          <w:noProof/>
          <w:lang w:eastAsia="lv-LV"/>
        </w:rPr>
        <w:lastRenderedPageBreak/>
        <w:drawing>
          <wp:inline distT="0" distB="0" distL="0" distR="0" wp14:anchorId="464B15D8" wp14:editId="4991C97F">
            <wp:extent cx="5972175" cy="2428875"/>
            <wp:effectExtent l="0" t="0" r="9525" b="9525"/>
            <wp:docPr id="2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64EC5" w:rsidRDefault="00E64EC5" w:rsidP="00EA3DEF">
      <w:pPr>
        <w:spacing w:line="360" w:lineRule="auto"/>
        <w:jc w:val="both"/>
      </w:pPr>
    </w:p>
    <w:p w:rsidR="00E64EC5" w:rsidRPr="00AA04C2" w:rsidRDefault="00E64EC5" w:rsidP="00E64EC5">
      <w:pPr>
        <w:pStyle w:val="Heading2"/>
        <w:numPr>
          <w:ilvl w:val="2"/>
          <w:numId w:val="1"/>
        </w:numPr>
        <w:rPr>
          <w:rFonts w:cs="Calibri"/>
          <w:sz w:val="22"/>
        </w:rPr>
      </w:pPr>
      <w:bookmarkStart w:id="35" w:name="_Toc354740698"/>
      <w:bookmarkStart w:id="36" w:name="_Toc354740729"/>
      <w:r>
        <w:rPr>
          <w:sz w:val="22"/>
        </w:rPr>
        <w:t>Ieguldījumu pētniecībā un attīstībā uzskaite</w:t>
      </w:r>
      <w:bookmarkEnd w:id="35"/>
      <w:bookmarkEnd w:id="36"/>
    </w:p>
    <w:p w:rsidR="00F1593A" w:rsidRDefault="00370637" w:rsidP="00EA3DEF">
      <w:pPr>
        <w:spacing w:line="360" w:lineRule="auto"/>
        <w:jc w:val="both"/>
      </w:pPr>
      <w:r>
        <w:t>Tikai 19% uzņēmumu tiek atsevišķi uzskaitīti ieguldījumi P&amp;A. Lielākajā daļā – 59% - gadījumu tie tiek uzskaitīti kā atsevišķu projektu izmaksas, bet salīdzinoši bieži – 41% gadījumu – arī kā nemateriālie ieguldījumi. Vēl aptuveni 1/3 uzņēmumu ieguldījumus P&amp;A uzskaita kā izmaksu norakstīšanu attiecīgajā finanšu gadā.</w:t>
      </w:r>
    </w:p>
    <w:p w:rsidR="00BE1E48" w:rsidRDefault="00BE1E48" w:rsidP="00EA3DEF">
      <w:pPr>
        <w:spacing w:line="360" w:lineRule="auto"/>
        <w:jc w:val="both"/>
      </w:pPr>
      <w:r w:rsidRPr="009A4AFC">
        <w:rPr>
          <w:noProof/>
          <w:lang w:eastAsia="lv-LV"/>
        </w:rPr>
        <w:drawing>
          <wp:inline distT="0" distB="0" distL="0" distR="0" wp14:anchorId="78EBF8A8" wp14:editId="0FAF37F9">
            <wp:extent cx="5972175" cy="2533650"/>
            <wp:effectExtent l="0" t="0" r="9525" b="19050"/>
            <wp:docPr id="2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35ECA" w:rsidRDefault="00235ECA" w:rsidP="00EA3DEF">
      <w:pPr>
        <w:spacing w:line="360" w:lineRule="auto"/>
        <w:jc w:val="both"/>
      </w:pPr>
      <w:r w:rsidRPr="009A4AFC">
        <w:rPr>
          <w:noProof/>
          <w:lang w:eastAsia="lv-LV"/>
        </w:rPr>
        <w:lastRenderedPageBreak/>
        <w:drawing>
          <wp:inline distT="0" distB="0" distL="0" distR="0" wp14:anchorId="5003175C" wp14:editId="21A3FE57">
            <wp:extent cx="5972175" cy="2428875"/>
            <wp:effectExtent l="0" t="0" r="9525" b="9525"/>
            <wp:docPr id="2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51A17" w:rsidRDefault="00351A17" w:rsidP="00EA3DEF">
      <w:pPr>
        <w:spacing w:line="360" w:lineRule="auto"/>
        <w:jc w:val="both"/>
      </w:pPr>
    </w:p>
    <w:p w:rsidR="00351A17" w:rsidRPr="00AA04C2" w:rsidRDefault="0046700F" w:rsidP="00351A17">
      <w:pPr>
        <w:pStyle w:val="Heading2"/>
        <w:numPr>
          <w:ilvl w:val="2"/>
          <w:numId w:val="1"/>
        </w:numPr>
        <w:rPr>
          <w:rFonts w:cs="Calibri"/>
          <w:sz w:val="22"/>
        </w:rPr>
      </w:pPr>
      <w:bookmarkStart w:id="37" w:name="_Toc354740699"/>
      <w:bookmarkStart w:id="38" w:name="_Toc354740730"/>
      <w:proofErr w:type="spellStart"/>
      <w:r>
        <w:rPr>
          <w:sz w:val="22"/>
        </w:rPr>
        <w:t>Jaunieviesti</w:t>
      </w:r>
      <w:proofErr w:type="spellEnd"/>
      <w:r>
        <w:rPr>
          <w:sz w:val="22"/>
        </w:rPr>
        <w:t xml:space="preserve"> produkti, pakalpojumi, tehnoloģijas</w:t>
      </w:r>
      <w:bookmarkEnd w:id="37"/>
      <w:bookmarkEnd w:id="38"/>
    </w:p>
    <w:p w:rsidR="00C31513" w:rsidRDefault="00655917" w:rsidP="00EA3DEF">
      <w:pPr>
        <w:spacing w:line="360" w:lineRule="auto"/>
        <w:jc w:val="both"/>
      </w:pPr>
      <w:r>
        <w:t>Tikai 14% no uzņēmumiem, kuri veikuši ieguldījumus P&amp;A, pēdējo trīs gadu laikā nav ieviesuši nekādus jaunus produktus, pakalpojumus vai tehnoloģijas. 66% ir ieviesuši jaunus produktus, 62% - jaunus pakalpojumus, bet 58% - jaunus pakalpojumus.</w:t>
      </w:r>
      <w:r w:rsidR="009E243F">
        <w:t xml:space="preserve"> </w:t>
      </w:r>
      <w:r w:rsidR="005265C9">
        <w:t>Absolūtais vairākums uzņēmumu ir ieviesuši ne vairāk kā trīs jaunus pakalpojumus vai tehnoloģijas un ne vairāk kā piecus jaunus produktus.</w:t>
      </w:r>
    </w:p>
    <w:p w:rsidR="004E0665" w:rsidRDefault="004E0665" w:rsidP="00EA3DEF">
      <w:pPr>
        <w:spacing w:line="360" w:lineRule="auto"/>
        <w:jc w:val="both"/>
      </w:pPr>
      <w:r w:rsidRPr="009A4AFC">
        <w:rPr>
          <w:noProof/>
          <w:lang w:eastAsia="lv-LV"/>
        </w:rPr>
        <w:drawing>
          <wp:inline distT="0" distB="0" distL="0" distR="0" wp14:anchorId="2B6101E2" wp14:editId="4392105F">
            <wp:extent cx="5972175" cy="2428875"/>
            <wp:effectExtent l="0" t="0" r="9525" b="9525"/>
            <wp:docPr id="2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13A53" w:rsidRDefault="00A13A53" w:rsidP="00EA3DEF">
      <w:pPr>
        <w:spacing w:line="360" w:lineRule="auto"/>
        <w:jc w:val="both"/>
      </w:pPr>
      <w:r w:rsidRPr="009A4AFC">
        <w:rPr>
          <w:noProof/>
          <w:lang w:eastAsia="lv-LV"/>
        </w:rPr>
        <w:lastRenderedPageBreak/>
        <w:drawing>
          <wp:inline distT="0" distB="0" distL="0" distR="0" wp14:anchorId="558ADB1C" wp14:editId="4B04AFC4">
            <wp:extent cx="5972175" cy="1857375"/>
            <wp:effectExtent l="0" t="0" r="9525" b="9525"/>
            <wp:docPr id="29"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66177" w:rsidRDefault="00766177" w:rsidP="00EA3DEF">
      <w:pPr>
        <w:spacing w:line="360" w:lineRule="auto"/>
        <w:jc w:val="both"/>
      </w:pPr>
      <w:r w:rsidRPr="009A4AFC">
        <w:rPr>
          <w:noProof/>
          <w:lang w:eastAsia="lv-LV"/>
        </w:rPr>
        <w:drawing>
          <wp:inline distT="0" distB="0" distL="0" distR="0" wp14:anchorId="0DD7CFF1" wp14:editId="2B510CF2">
            <wp:extent cx="5972175" cy="1857375"/>
            <wp:effectExtent l="0" t="0" r="9525" b="9525"/>
            <wp:docPr id="30"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76886" w:rsidRDefault="00276886" w:rsidP="00EA3DEF">
      <w:pPr>
        <w:spacing w:line="360" w:lineRule="auto"/>
        <w:jc w:val="both"/>
      </w:pPr>
      <w:r w:rsidRPr="009A4AFC">
        <w:rPr>
          <w:noProof/>
          <w:lang w:eastAsia="lv-LV"/>
        </w:rPr>
        <w:drawing>
          <wp:inline distT="0" distB="0" distL="0" distR="0" wp14:anchorId="5F6A62D3" wp14:editId="0F5E1A5D">
            <wp:extent cx="5972175" cy="1857375"/>
            <wp:effectExtent l="0" t="0" r="9525" b="9525"/>
            <wp:docPr id="2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F31AD" w:rsidRDefault="007F31AD">
      <w:pPr>
        <w:suppressAutoHyphens w:val="0"/>
        <w:spacing w:after="0"/>
      </w:pPr>
      <w:r>
        <w:br w:type="page"/>
      </w:r>
    </w:p>
    <w:p w:rsidR="00090DB2" w:rsidRDefault="00090DB2" w:rsidP="00EA3DEF">
      <w:pPr>
        <w:spacing w:line="360" w:lineRule="auto"/>
        <w:jc w:val="both"/>
      </w:pPr>
      <w:r>
        <w:lastRenderedPageBreak/>
        <w:t>2/3 uzņēmēju pēdējo trīs gadu laikā ir iegādājušies arī mašīnas vai iekārtas uzlabotu produktu vai procesu ieviešanai – 40% to darījuši vairākas reizes, bet 30% - vienreiz.</w:t>
      </w:r>
    </w:p>
    <w:p w:rsidR="00C109AC" w:rsidRDefault="00C109AC" w:rsidP="00EA3DEF">
      <w:pPr>
        <w:spacing w:line="360" w:lineRule="auto"/>
        <w:jc w:val="both"/>
      </w:pPr>
      <w:r w:rsidRPr="009A4AFC">
        <w:rPr>
          <w:noProof/>
          <w:lang w:eastAsia="lv-LV"/>
        </w:rPr>
        <w:drawing>
          <wp:inline distT="0" distB="0" distL="0" distR="0" wp14:anchorId="28260FDE" wp14:editId="573B8652">
            <wp:extent cx="5972175" cy="2724150"/>
            <wp:effectExtent l="0" t="0" r="9525" b="19050"/>
            <wp:docPr id="3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6700F" w:rsidRDefault="0046700F" w:rsidP="00EA3DEF">
      <w:pPr>
        <w:spacing w:line="360" w:lineRule="auto"/>
        <w:jc w:val="both"/>
      </w:pPr>
    </w:p>
    <w:p w:rsidR="0046700F" w:rsidRPr="00AA04C2" w:rsidRDefault="0046700F" w:rsidP="0046700F">
      <w:pPr>
        <w:pStyle w:val="Heading2"/>
        <w:numPr>
          <w:ilvl w:val="2"/>
          <w:numId w:val="1"/>
        </w:numPr>
        <w:rPr>
          <w:rFonts w:cs="Calibri"/>
          <w:sz w:val="22"/>
        </w:rPr>
      </w:pPr>
      <w:bookmarkStart w:id="39" w:name="_Toc354740700"/>
      <w:bookmarkStart w:id="40" w:name="_Toc354740731"/>
      <w:r>
        <w:rPr>
          <w:sz w:val="22"/>
        </w:rPr>
        <w:t>Patentu reģistrācija</w:t>
      </w:r>
      <w:bookmarkEnd w:id="39"/>
      <w:bookmarkEnd w:id="40"/>
    </w:p>
    <w:p w:rsidR="00DD245D" w:rsidRDefault="00DD245D" w:rsidP="00EA3DEF">
      <w:pPr>
        <w:spacing w:line="360" w:lineRule="auto"/>
        <w:jc w:val="both"/>
      </w:pPr>
      <w:r>
        <w:t>Rūpnieciskā īpašuma tiesības pēdējo trīs gadu laikā reģistrējuši kopumā tikai 6% uzņēmēju – 3% vairākas reizes un vēl 3% - vienreiz.</w:t>
      </w:r>
    </w:p>
    <w:p w:rsidR="00897959" w:rsidRDefault="00897959" w:rsidP="00EA3DEF">
      <w:pPr>
        <w:spacing w:line="360" w:lineRule="auto"/>
        <w:jc w:val="both"/>
      </w:pPr>
      <w:r w:rsidRPr="009A4AFC">
        <w:rPr>
          <w:noProof/>
          <w:lang w:eastAsia="lv-LV"/>
        </w:rPr>
        <w:drawing>
          <wp:inline distT="0" distB="0" distL="0" distR="0" wp14:anchorId="219CED5B" wp14:editId="1C4A6F50">
            <wp:extent cx="5972175" cy="2724150"/>
            <wp:effectExtent l="0" t="0" r="9525" b="19050"/>
            <wp:docPr id="3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D245D" w:rsidRDefault="0053666D" w:rsidP="00EA3DEF">
      <w:pPr>
        <w:spacing w:line="360" w:lineRule="auto"/>
        <w:jc w:val="both"/>
      </w:pPr>
      <w:r w:rsidRPr="0053666D">
        <w:t>Patentu un nepatentētu izgudrojumu, licenču, tehnoloģisko zināšanu, programmatūras vai cita veida zināšanu lietošanas tiesības ar nolūku tās izmantot uzņēmuma inovācijās</w:t>
      </w:r>
      <w:r>
        <w:t xml:space="preserve"> pēdējo trīs gadu laikā iegādātas 22% uzņēmumu – 11% uzņēmumu vairākas reizes un vēl 11% - tikai vienreiz.</w:t>
      </w:r>
    </w:p>
    <w:p w:rsidR="00A555FB" w:rsidRDefault="00A555FB" w:rsidP="00EA3DEF">
      <w:pPr>
        <w:spacing w:line="360" w:lineRule="auto"/>
        <w:jc w:val="both"/>
      </w:pPr>
      <w:r w:rsidRPr="009A4AFC">
        <w:rPr>
          <w:noProof/>
          <w:lang w:eastAsia="lv-LV"/>
        </w:rPr>
        <w:lastRenderedPageBreak/>
        <w:drawing>
          <wp:inline distT="0" distB="0" distL="0" distR="0" wp14:anchorId="6E9D0CD4" wp14:editId="1A0206C5">
            <wp:extent cx="5972175" cy="2838450"/>
            <wp:effectExtent l="0" t="0" r="9525" b="19050"/>
            <wp:docPr id="3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6700F" w:rsidRDefault="0046700F" w:rsidP="00EA3DEF">
      <w:pPr>
        <w:spacing w:line="360" w:lineRule="auto"/>
        <w:jc w:val="both"/>
      </w:pPr>
    </w:p>
    <w:p w:rsidR="0046700F" w:rsidRPr="00AA04C2" w:rsidRDefault="0046700F" w:rsidP="0046700F">
      <w:pPr>
        <w:pStyle w:val="Heading2"/>
        <w:numPr>
          <w:ilvl w:val="2"/>
          <w:numId w:val="1"/>
        </w:numPr>
        <w:rPr>
          <w:rFonts w:cs="Calibri"/>
          <w:sz w:val="22"/>
        </w:rPr>
      </w:pPr>
      <w:bookmarkStart w:id="41" w:name="_Toc354740701"/>
      <w:bookmarkStart w:id="42" w:name="_Toc354740732"/>
      <w:r>
        <w:rPr>
          <w:sz w:val="22"/>
        </w:rPr>
        <w:t>Ieguldījumi pētniecībā un attīstībā sadarbībā ar partneriem</w:t>
      </w:r>
      <w:bookmarkEnd w:id="41"/>
      <w:bookmarkEnd w:id="42"/>
    </w:p>
    <w:p w:rsidR="00395CD1" w:rsidRDefault="005F29C5" w:rsidP="00EA3DEF">
      <w:pPr>
        <w:spacing w:line="360" w:lineRule="auto"/>
        <w:jc w:val="both"/>
      </w:pPr>
      <w:r>
        <w:t>Visbiežāk – 56% gadījumu – P&amp;A aktivitātes uzņēmumos tiek veiktas, piesaistot sadarbības partnerus, kamēr 44% uzņēmēju tās veic tikai pašu spēkiem.</w:t>
      </w:r>
    </w:p>
    <w:p w:rsidR="00E64247" w:rsidRDefault="00E64247" w:rsidP="00EA3DEF">
      <w:pPr>
        <w:spacing w:line="360" w:lineRule="auto"/>
        <w:jc w:val="both"/>
      </w:pPr>
      <w:r w:rsidRPr="009A4AFC">
        <w:rPr>
          <w:noProof/>
          <w:lang w:eastAsia="lv-LV"/>
        </w:rPr>
        <w:drawing>
          <wp:inline distT="0" distB="0" distL="0" distR="0" wp14:anchorId="5ACA80AB" wp14:editId="25B6F671">
            <wp:extent cx="5972175" cy="2724150"/>
            <wp:effectExtent l="0" t="0" r="9525" b="19050"/>
            <wp:docPr id="3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F31AD" w:rsidRDefault="007F31AD">
      <w:pPr>
        <w:suppressAutoHyphens w:val="0"/>
        <w:spacing w:after="0"/>
      </w:pPr>
      <w:r>
        <w:br w:type="page"/>
      </w:r>
    </w:p>
    <w:p w:rsidR="00F823CE" w:rsidRDefault="00F823CE" w:rsidP="00EA3DEF">
      <w:pPr>
        <w:spacing w:line="360" w:lineRule="auto"/>
        <w:jc w:val="both"/>
      </w:pPr>
      <w:r>
        <w:lastRenderedPageBreak/>
        <w:t>Vairākums – 57% - uzņēmēju sadarbojas ar partneriem gan no Latvijas, gan ārvalstīm, 1/3 – tikai ar Latvijas partneriem, bet vēl 10% - tikai ar partneriem no ārvalstīm.</w:t>
      </w:r>
    </w:p>
    <w:p w:rsidR="001E4BC2" w:rsidRDefault="001E4BC2" w:rsidP="00EA3DEF">
      <w:pPr>
        <w:spacing w:line="360" w:lineRule="auto"/>
        <w:jc w:val="both"/>
      </w:pPr>
      <w:r w:rsidRPr="009A4AFC">
        <w:rPr>
          <w:noProof/>
          <w:lang w:eastAsia="lv-LV"/>
        </w:rPr>
        <w:drawing>
          <wp:inline distT="0" distB="0" distL="0" distR="0" wp14:anchorId="77190A1D" wp14:editId="16A5FC2A">
            <wp:extent cx="5972175" cy="2428875"/>
            <wp:effectExtent l="0" t="0" r="9525" b="9525"/>
            <wp:docPr id="3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C0A23" w:rsidRDefault="00F823CE" w:rsidP="00CC0A23">
      <w:pPr>
        <w:spacing w:line="360" w:lineRule="auto"/>
        <w:jc w:val="both"/>
      </w:pPr>
      <w:r>
        <w:t>Absolūtajā vairākumā – 80% - gadījumu uzņēmumu sadarbības partneri Latvijā ir privāti uzņēmumi un biedrības. Aptuveni 1/4 sadarbojas ar augstskolām un privātpersonām, 1/5 – ar valsts iestādēm un uzņēmumiem, kā arī zinātniskajiem institūtiem. Tādu, kuri sadarbojas ar pašvaldības iestādēm, ir tikai 13%.</w:t>
      </w:r>
      <w:r w:rsidR="00CC0A23">
        <w:t xml:space="preserve"> Uzņēmēji tika lūgti arī nosaukt konkrētus sadarbības partneru piemērus. </w:t>
      </w:r>
      <w:r w:rsidR="00267CEC">
        <w:t>Aptaujā</w:t>
      </w:r>
      <w:r w:rsidR="00CC0A23">
        <w:t xml:space="preserve"> kā sadarbības partneri </w:t>
      </w:r>
      <w:r w:rsidR="00F91D60">
        <w:t xml:space="preserve">Latvijā </w:t>
      </w:r>
      <w:r w:rsidR="00CC0A23">
        <w:t xml:space="preserve">minēti – Latvijas Lauksaimniecības universitāte (t.sk., Mežu fakultāte), Ekonomikas ministrija, </w:t>
      </w:r>
      <w:r w:rsidR="00345D8B" w:rsidRPr="00345D8B">
        <w:t>Tūrisma attīstības valsts aģentūra</w:t>
      </w:r>
      <w:r w:rsidR="00CC0A23">
        <w:t xml:space="preserve">, Latvijas valsts meži, </w:t>
      </w:r>
      <w:r w:rsidR="00345D8B" w:rsidRPr="00345D8B">
        <w:t>Latvijas Investīciju un attīstība aģentūra</w:t>
      </w:r>
      <w:r w:rsidR="00CC0A23">
        <w:t xml:space="preserve">, Latvijas universitāte (t.sk., Cietvielu fizikas institūts), </w:t>
      </w:r>
      <w:r w:rsidR="00345D8B" w:rsidRPr="00345D8B">
        <w:t xml:space="preserve">Rīgas Tehniskā universitāte </w:t>
      </w:r>
      <w:r w:rsidR="00CC0A23">
        <w:t>(t.sk., Neorganiskās ķīmijas institūts), Nacionālais veselības dienests, Uzņēmumu reģistrs, Tiesu administrācija, CERT</w:t>
      </w:r>
      <w:r w:rsidR="00345D8B">
        <w:t xml:space="preserve"> (</w:t>
      </w:r>
      <w:r w:rsidR="00345D8B" w:rsidRPr="00345D8B">
        <w:t>Informācijas tehnoloģiju drošības incidentu novēršanas institūcija</w:t>
      </w:r>
      <w:r w:rsidR="00345D8B">
        <w:t>)</w:t>
      </w:r>
      <w:r w:rsidR="00CC0A23">
        <w:t xml:space="preserve">, </w:t>
      </w:r>
      <w:r w:rsidR="00345D8B" w:rsidRPr="00345D8B">
        <w:t>Valsts Kultūrkapitāla fonds</w:t>
      </w:r>
      <w:r w:rsidR="00CC0A23">
        <w:t xml:space="preserve">, </w:t>
      </w:r>
      <w:r w:rsidR="00345D8B" w:rsidRPr="00345D8B">
        <w:t>Valsts izglītības satura centrs</w:t>
      </w:r>
      <w:r w:rsidR="00CC0A23">
        <w:t xml:space="preserve">, </w:t>
      </w:r>
      <w:r w:rsidR="00345D8B" w:rsidRPr="00345D8B">
        <w:t>Izglītības kvalitātes valsts dienests</w:t>
      </w:r>
      <w:r w:rsidR="006668CD">
        <w:t xml:space="preserve">, </w:t>
      </w:r>
      <w:r w:rsidR="006668CD" w:rsidRPr="006668CD">
        <w:t>Latvijas Valsts mežzinātnes institūts "Silava"</w:t>
      </w:r>
      <w:r w:rsidR="006668CD">
        <w:t xml:space="preserve">, </w:t>
      </w:r>
      <w:r w:rsidR="006668CD" w:rsidRPr="006668CD">
        <w:t>Latvijas Valsts koksnes ķīmijas institūts</w:t>
      </w:r>
      <w:r w:rsidR="00CC0A23">
        <w:t>.</w:t>
      </w:r>
    </w:p>
    <w:p w:rsidR="007C0357" w:rsidRDefault="007C0357" w:rsidP="00EA3DEF">
      <w:pPr>
        <w:spacing w:line="360" w:lineRule="auto"/>
        <w:jc w:val="both"/>
      </w:pPr>
      <w:r w:rsidRPr="009A4AFC">
        <w:rPr>
          <w:noProof/>
          <w:lang w:eastAsia="lv-LV"/>
        </w:rPr>
        <w:lastRenderedPageBreak/>
        <w:drawing>
          <wp:inline distT="0" distB="0" distL="0" distR="0" wp14:anchorId="78C793DF" wp14:editId="1B80D032">
            <wp:extent cx="5972175" cy="2895600"/>
            <wp:effectExtent l="0" t="0" r="9525" b="19050"/>
            <wp:docPr id="3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839EC" w:rsidRDefault="008839EC" w:rsidP="00EA2220">
      <w:pPr>
        <w:spacing w:line="360" w:lineRule="auto"/>
        <w:jc w:val="both"/>
      </w:pPr>
      <w:r>
        <w:t>Arī ārvalstu sadarbības partneru vidū absolūtajā vairākumā – 93% - gadījumu ir privāti uzņēmumi un biedrības. 1/5 uzņēmēju sadarbojas privātpersonām ārvalstīs, savukārt 1/10 – ar valsts iestādēm un uzņēmumiem. Tādu, kuri sadarbojas ar valsts zinātniskiem institūtiem, pašvaldību iestādēm vai augstskolām ārvalstīs, ir mazāk kā 10%.</w:t>
      </w:r>
      <w:r w:rsidR="00F91D60">
        <w:t xml:space="preserve"> Aptaujā kā sadarbības partneru piemēri ārvalstīs minēti –</w:t>
      </w:r>
      <w:r w:rsidR="00EA2220" w:rsidRPr="00EA2220">
        <w:t xml:space="preserve"> </w:t>
      </w:r>
      <w:proofErr w:type="spellStart"/>
      <w:r w:rsidR="00007A89" w:rsidRPr="0041645A">
        <w:rPr>
          <w:i/>
        </w:rPr>
        <w:t>Forest</w:t>
      </w:r>
      <w:proofErr w:type="spellEnd"/>
      <w:r w:rsidR="00007A89" w:rsidRPr="0041645A">
        <w:rPr>
          <w:i/>
        </w:rPr>
        <w:t xml:space="preserve"> </w:t>
      </w:r>
      <w:proofErr w:type="spellStart"/>
      <w:r w:rsidR="00007A89" w:rsidRPr="0041645A">
        <w:rPr>
          <w:i/>
        </w:rPr>
        <w:t>Stewardship</w:t>
      </w:r>
      <w:proofErr w:type="spellEnd"/>
      <w:r w:rsidR="00007A89" w:rsidRPr="0041645A">
        <w:rPr>
          <w:i/>
        </w:rPr>
        <w:t xml:space="preserve"> </w:t>
      </w:r>
      <w:proofErr w:type="spellStart"/>
      <w:r w:rsidR="00007A89" w:rsidRPr="0041645A">
        <w:rPr>
          <w:i/>
        </w:rPr>
        <w:t>Council</w:t>
      </w:r>
      <w:proofErr w:type="spellEnd"/>
      <w:r w:rsidR="00EA2220">
        <w:t xml:space="preserve">, </w:t>
      </w:r>
      <w:r w:rsidR="00EA2220" w:rsidRPr="0041645A">
        <w:rPr>
          <w:i/>
        </w:rPr>
        <w:t xml:space="preserve">ABB </w:t>
      </w:r>
      <w:proofErr w:type="spellStart"/>
      <w:r w:rsidR="00EA2220" w:rsidRPr="0041645A">
        <w:rPr>
          <w:i/>
        </w:rPr>
        <w:t>Automation</w:t>
      </w:r>
      <w:proofErr w:type="spellEnd"/>
      <w:r w:rsidR="00EA2220" w:rsidRPr="0041645A">
        <w:rPr>
          <w:i/>
        </w:rPr>
        <w:t xml:space="preserve"> </w:t>
      </w:r>
      <w:proofErr w:type="spellStart"/>
      <w:r w:rsidR="00EA2220" w:rsidRPr="0041645A">
        <w:rPr>
          <w:i/>
        </w:rPr>
        <w:t>GmbH</w:t>
      </w:r>
      <w:proofErr w:type="spellEnd"/>
      <w:r w:rsidR="00EA2220">
        <w:t xml:space="preserve">, </w:t>
      </w:r>
      <w:proofErr w:type="spellStart"/>
      <w:r w:rsidR="00EA2220">
        <w:t>Darmštates</w:t>
      </w:r>
      <w:proofErr w:type="spellEnd"/>
      <w:r w:rsidR="00EA2220">
        <w:t xml:space="preserve"> pilsēta, </w:t>
      </w:r>
      <w:r w:rsidR="00EA2220" w:rsidRPr="0041645A">
        <w:rPr>
          <w:i/>
        </w:rPr>
        <w:t xml:space="preserve">FCT </w:t>
      </w:r>
      <w:proofErr w:type="spellStart"/>
      <w:r w:rsidR="00EA2220" w:rsidRPr="0041645A">
        <w:rPr>
          <w:i/>
        </w:rPr>
        <w:t>Systeme</w:t>
      </w:r>
      <w:proofErr w:type="spellEnd"/>
      <w:r w:rsidR="00EA2220" w:rsidRPr="0041645A">
        <w:rPr>
          <w:i/>
        </w:rPr>
        <w:t xml:space="preserve"> </w:t>
      </w:r>
      <w:proofErr w:type="spellStart"/>
      <w:r w:rsidR="00EA2220" w:rsidRPr="0041645A">
        <w:rPr>
          <w:i/>
        </w:rPr>
        <w:t>GmbH</w:t>
      </w:r>
      <w:proofErr w:type="spellEnd"/>
      <w:r w:rsidR="00EA2220">
        <w:t xml:space="preserve">, </w:t>
      </w:r>
      <w:proofErr w:type="spellStart"/>
      <w:r w:rsidR="00007A89" w:rsidRPr="0041645A">
        <w:rPr>
          <w:i/>
        </w:rPr>
        <w:t>Greenworld</w:t>
      </w:r>
      <w:proofErr w:type="spellEnd"/>
      <w:r w:rsidR="00007A89" w:rsidRPr="0041645A">
        <w:rPr>
          <w:i/>
        </w:rPr>
        <w:t xml:space="preserve"> </w:t>
      </w:r>
      <w:proofErr w:type="spellStart"/>
      <w:r w:rsidR="00007A89" w:rsidRPr="0041645A">
        <w:rPr>
          <w:i/>
        </w:rPr>
        <w:t>Fuels</w:t>
      </w:r>
      <w:proofErr w:type="spellEnd"/>
      <w:r w:rsidR="00007A89" w:rsidRPr="0041645A">
        <w:rPr>
          <w:i/>
        </w:rPr>
        <w:t xml:space="preserve"> Ltd.</w:t>
      </w:r>
      <w:r w:rsidR="00EA2220">
        <w:t>, Slovēnijas Profesion</w:t>
      </w:r>
      <w:r w:rsidR="00007A89">
        <w:t>ālās i</w:t>
      </w:r>
      <w:r w:rsidR="00EA2220">
        <w:t xml:space="preserve">zglītības institūts, Neapoles pilsētas dome, </w:t>
      </w:r>
      <w:r w:rsidR="00EA2220" w:rsidRPr="0041645A">
        <w:rPr>
          <w:i/>
        </w:rPr>
        <w:t>PLANORA</w:t>
      </w:r>
      <w:r w:rsidR="00007A89" w:rsidRPr="0041645A">
        <w:rPr>
          <w:i/>
        </w:rPr>
        <w:t xml:space="preserve"> OY</w:t>
      </w:r>
      <w:r w:rsidR="00EA2220">
        <w:t xml:space="preserve">, </w:t>
      </w:r>
      <w:proofErr w:type="spellStart"/>
      <w:r w:rsidR="00007A89" w:rsidRPr="0041645A">
        <w:rPr>
          <w:i/>
        </w:rPr>
        <w:t>Росгосцирк</w:t>
      </w:r>
      <w:proofErr w:type="spellEnd"/>
      <w:r w:rsidR="00EA2220">
        <w:t xml:space="preserve">, </w:t>
      </w:r>
      <w:proofErr w:type="spellStart"/>
      <w:r w:rsidR="00007A89" w:rsidRPr="0041645A">
        <w:rPr>
          <w:i/>
        </w:rPr>
        <w:t>Tørring</w:t>
      </w:r>
      <w:proofErr w:type="spellEnd"/>
      <w:r w:rsidR="00007A89" w:rsidRPr="0041645A">
        <w:rPr>
          <w:i/>
        </w:rPr>
        <w:t xml:space="preserve"> </w:t>
      </w:r>
      <w:proofErr w:type="spellStart"/>
      <w:r w:rsidR="00007A89" w:rsidRPr="0041645A">
        <w:rPr>
          <w:i/>
        </w:rPr>
        <w:t>Tanken</w:t>
      </w:r>
      <w:proofErr w:type="spellEnd"/>
      <w:r w:rsidR="00EA2220">
        <w:t xml:space="preserve">, </w:t>
      </w:r>
      <w:proofErr w:type="spellStart"/>
      <w:r w:rsidR="00EA2220">
        <w:t>Kaljari</w:t>
      </w:r>
      <w:proofErr w:type="spellEnd"/>
      <w:r w:rsidR="00EA2220">
        <w:t xml:space="preserve"> Universitāte, </w:t>
      </w:r>
      <w:proofErr w:type="spellStart"/>
      <w:r w:rsidR="00007A89" w:rsidRPr="0041645A">
        <w:rPr>
          <w:i/>
        </w:rPr>
        <w:t>Fraunhofer</w:t>
      </w:r>
      <w:proofErr w:type="spellEnd"/>
      <w:r w:rsidR="00007A89" w:rsidRPr="0041645A">
        <w:rPr>
          <w:i/>
        </w:rPr>
        <w:t xml:space="preserve"> </w:t>
      </w:r>
      <w:proofErr w:type="spellStart"/>
      <w:r w:rsidR="00007A89" w:rsidRPr="0041645A">
        <w:rPr>
          <w:i/>
        </w:rPr>
        <w:t>Institute</w:t>
      </w:r>
      <w:proofErr w:type="spellEnd"/>
      <w:r w:rsidR="00007A89" w:rsidRPr="0041645A">
        <w:rPr>
          <w:i/>
        </w:rPr>
        <w:t xml:space="preserve"> </w:t>
      </w:r>
      <w:proofErr w:type="spellStart"/>
      <w:r w:rsidR="00007A89" w:rsidRPr="0041645A">
        <w:rPr>
          <w:i/>
        </w:rPr>
        <w:t>for</w:t>
      </w:r>
      <w:proofErr w:type="spellEnd"/>
      <w:r w:rsidR="00007A89" w:rsidRPr="0041645A">
        <w:rPr>
          <w:i/>
        </w:rPr>
        <w:t xml:space="preserve"> </w:t>
      </w:r>
      <w:proofErr w:type="spellStart"/>
      <w:r w:rsidR="00007A89" w:rsidRPr="0041645A">
        <w:rPr>
          <w:i/>
        </w:rPr>
        <w:t>Ceramic</w:t>
      </w:r>
      <w:proofErr w:type="spellEnd"/>
      <w:r w:rsidR="00007A89" w:rsidRPr="0041645A">
        <w:rPr>
          <w:i/>
        </w:rPr>
        <w:t xml:space="preserve"> Technologies </w:t>
      </w:r>
      <w:proofErr w:type="spellStart"/>
      <w:r w:rsidR="00007A89" w:rsidRPr="0041645A">
        <w:rPr>
          <w:i/>
        </w:rPr>
        <w:t>and</w:t>
      </w:r>
      <w:proofErr w:type="spellEnd"/>
      <w:r w:rsidR="00007A89" w:rsidRPr="0041645A">
        <w:rPr>
          <w:i/>
        </w:rPr>
        <w:t xml:space="preserve"> </w:t>
      </w:r>
      <w:proofErr w:type="spellStart"/>
      <w:r w:rsidR="00007A89" w:rsidRPr="0041645A">
        <w:rPr>
          <w:i/>
        </w:rPr>
        <w:t>Systems</w:t>
      </w:r>
      <w:proofErr w:type="spellEnd"/>
      <w:r w:rsidR="00EA2220">
        <w:t xml:space="preserve">, </w:t>
      </w:r>
      <w:proofErr w:type="spellStart"/>
      <w:r w:rsidR="00007A89" w:rsidRPr="0041645A">
        <w:rPr>
          <w:i/>
        </w:rPr>
        <w:t>Merck</w:t>
      </w:r>
      <w:proofErr w:type="spellEnd"/>
      <w:r w:rsidR="00007A89" w:rsidRPr="0041645A">
        <w:rPr>
          <w:i/>
        </w:rPr>
        <w:t xml:space="preserve"> </w:t>
      </w:r>
      <w:proofErr w:type="spellStart"/>
      <w:r w:rsidR="00007A89" w:rsidRPr="0041645A">
        <w:rPr>
          <w:i/>
        </w:rPr>
        <w:t>Sharp</w:t>
      </w:r>
      <w:proofErr w:type="spellEnd"/>
      <w:r w:rsidR="00007A89" w:rsidRPr="0041645A">
        <w:rPr>
          <w:i/>
        </w:rPr>
        <w:t xml:space="preserve"> &amp; </w:t>
      </w:r>
      <w:proofErr w:type="spellStart"/>
      <w:r w:rsidR="00007A89" w:rsidRPr="0041645A">
        <w:rPr>
          <w:i/>
        </w:rPr>
        <w:t>Dohme</w:t>
      </w:r>
      <w:proofErr w:type="spellEnd"/>
      <w:r w:rsidR="00007A89" w:rsidRPr="0041645A">
        <w:rPr>
          <w:i/>
        </w:rPr>
        <w:t xml:space="preserve"> </w:t>
      </w:r>
      <w:proofErr w:type="spellStart"/>
      <w:r w:rsidR="00007A89" w:rsidRPr="0041645A">
        <w:rPr>
          <w:i/>
        </w:rPr>
        <w:t>Corp</w:t>
      </w:r>
      <w:proofErr w:type="spellEnd"/>
      <w:r w:rsidR="00007A89" w:rsidRPr="0041645A">
        <w:rPr>
          <w:i/>
        </w:rPr>
        <w:t>.</w:t>
      </w:r>
      <w:r w:rsidR="00007A89">
        <w:t>.</w:t>
      </w:r>
    </w:p>
    <w:p w:rsidR="00987BBB" w:rsidRDefault="00987BBB" w:rsidP="00EA3DEF">
      <w:pPr>
        <w:spacing w:line="360" w:lineRule="auto"/>
        <w:jc w:val="both"/>
      </w:pPr>
      <w:r w:rsidRPr="009A4AFC">
        <w:rPr>
          <w:noProof/>
          <w:lang w:eastAsia="lv-LV"/>
        </w:rPr>
        <w:drawing>
          <wp:inline distT="0" distB="0" distL="0" distR="0" wp14:anchorId="37BFBD25" wp14:editId="51C80A02">
            <wp:extent cx="5972175" cy="2895600"/>
            <wp:effectExtent l="0" t="0" r="9525" b="19050"/>
            <wp:docPr id="3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6700F" w:rsidRPr="00AA04C2" w:rsidRDefault="0046700F" w:rsidP="0046700F">
      <w:pPr>
        <w:pStyle w:val="Heading2"/>
        <w:numPr>
          <w:ilvl w:val="2"/>
          <w:numId w:val="1"/>
        </w:numPr>
        <w:rPr>
          <w:rFonts w:cs="Calibri"/>
          <w:sz w:val="22"/>
        </w:rPr>
      </w:pPr>
      <w:bookmarkStart w:id="43" w:name="_Toc354740702"/>
      <w:bookmarkStart w:id="44" w:name="_Toc354740733"/>
      <w:r>
        <w:rPr>
          <w:sz w:val="22"/>
        </w:rPr>
        <w:lastRenderedPageBreak/>
        <w:t>Ieguldījumu pētniecībā un attīstībā finansēšana</w:t>
      </w:r>
      <w:bookmarkEnd w:id="43"/>
      <w:bookmarkEnd w:id="44"/>
    </w:p>
    <w:p w:rsidR="00D47A9D" w:rsidRDefault="00BA692A" w:rsidP="00EA3DEF">
      <w:pPr>
        <w:spacing w:line="360" w:lineRule="auto"/>
        <w:jc w:val="both"/>
      </w:pPr>
      <w:r>
        <w:t>Absolūtajā vairākumā gadījumu – 72% - uzņēmēji ieguldījumiem P&amp;A ir izmantojuši tikai pašu finansējumu. Ārējo finansējumu piesaistījuši tikai 28% uzņēmumu.</w:t>
      </w:r>
    </w:p>
    <w:p w:rsidR="00415719" w:rsidRDefault="00415719" w:rsidP="00EA3DEF">
      <w:pPr>
        <w:spacing w:line="360" w:lineRule="auto"/>
        <w:jc w:val="both"/>
      </w:pPr>
      <w:r w:rsidRPr="009A4AFC">
        <w:rPr>
          <w:noProof/>
          <w:lang w:eastAsia="lv-LV"/>
        </w:rPr>
        <w:drawing>
          <wp:inline distT="0" distB="0" distL="0" distR="0" wp14:anchorId="0234D934" wp14:editId="407D57A3">
            <wp:extent cx="5972175" cy="2352675"/>
            <wp:effectExtent l="0" t="0" r="9525" b="28575"/>
            <wp:docPr id="3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96919" w:rsidRDefault="00196919" w:rsidP="00EA3DEF">
      <w:pPr>
        <w:spacing w:line="360" w:lineRule="auto"/>
        <w:jc w:val="both"/>
      </w:pPr>
      <w:r>
        <w:t>Kopumā 54% uzņēmēju apgalvo, ka tiktu veiktu pašu finansējuma ieguldījumi, ja nebūtu iespēju P&amp;A piesaistīt ārējo finansējumu. Savukārt 13% novērtē, ka tādā gadījumā pašu ieguldījumi noteikti netiktu veikti, un vēl 20% - ka drīzāk netiktu veikti.</w:t>
      </w:r>
    </w:p>
    <w:p w:rsidR="006D6B56" w:rsidRDefault="006D6B56" w:rsidP="00EA3DEF">
      <w:pPr>
        <w:spacing w:line="360" w:lineRule="auto"/>
        <w:jc w:val="both"/>
      </w:pPr>
      <w:r w:rsidRPr="009A4AFC">
        <w:rPr>
          <w:noProof/>
          <w:lang w:eastAsia="lv-LV"/>
        </w:rPr>
        <w:drawing>
          <wp:inline distT="0" distB="0" distL="0" distR="0" wp14:anchorId="2397E774" wp14:editId="15971274">
            <wp:extent cx="5972175" cy="2838450"/>
            <wp:effectExtent l="0" t="0" r="9525" b="19050"/>
            <wp:docPr id="39"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662E3" w:rsidRDefault="00F662E3" w:rsidP="00EA3DEF">
      <w:pPr>
        <w:spacing w:line="360" w:lineRule="auto"/>
        <w:jc w:val="both"/>
      </w:pPr>
      <w:r>
        <w:t>53% uzņēmēju novērtē, ka pašu ieguldījumi P&amp;A tiktu veikti, ja būtu iespējams piesaistīt publisko finansējumu, 50% - ja būtu iespējas samazināt izmaksas, sadarbojoties ar citiem komersantiem, bet 47% - ja būtu iespējas saņemt nodokļu atvieglojumus. Salīdzinoši retāk – 33% gadījumu – kā stimuls pašu ieguldījumiem minētas iespējas piesaistīt privāto investoru.</w:t>
      </w:r>
    </w:p>
    <w:p w:rsidR="002A4D2A" w:rsidRDefault="002A4D2A" w:rsidP="00EA3DEF">
      <w:pPr>
        <w:spacing w:line="360" w:lineRule="auto"/>
        <w:jc w:val="both"/>
      </w:pPr>
      <w:r w:rsidRPr="009A4AFC">
        <w:rPr>
          <w:noProof/>
          <w:lang w:eastAsia="lv-LV"/>
        </w:rPr>
        <w:lastRenderedPageBreak/>
        <w:drawing>
          <wp:inline distT="0" distB="0" distL="0" distR="0" wp14:anchorId="5FABA04A" wp14:editId="563120E8">
            <wp:extent cx="5972175" cy="2428875"/>
            <wp:effectExtent l="0" t="0" r="9525" b="28575"/>
            <wp:docPr id="40"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6700F" w:rsidRDefault="0046700F" w:rsidP="00EA3DEF">
      <w:pPr>
        <w:spacing w:line="360" w:lineRule="auto"/>
        <w:jc w:val="both"/>
      </w:pPr>
    </w:p>
    <w:p w:rsidR="0046700F" w:rsidRPr="00AA04C2" w:rsidRDefault="0046700F" w:rsidP="0046700F">
      <w:pPr>
        <w:pStyle w:val="Heading2"/>
        <w:numPr>
          <w:ilvl w:val="2"/>
          <w:numId w:val="1"/>
        </w:numPr>
        <w:rPr>
          <w:rFonts w:cs="Calibri"/>
          <w:sz w:val="22"/>
        </w:rPr>
      </w:pPr>
      <w:bookmarkStart w:id="45" w:name="_Toc354740703"/>
      <w:bookmarkStart w:id="46" w:name="_Toc354740734"/>
      <w:r>
        <w:rPr>
          <w:sz w:val="22"/>
        </w:rPr>
        <w:t>Valsts atbalsta izmantošana pētniecības un attīstības finansējumam</w:t>
      </w:r>
      <w:bookmarkEnd w:id="45"/>
      <w:bookmarkEnd w:id="46"/>
    </w:p>
    <w:p w:rsidR="004B59D7" w:rsidRDefault="004B59D7" w:rsidP="00EA3DEF">
      <w:pPr>
        <w:spacing w:line="360" w:lineRule="auto"/>
        <w:jc w:val="both"/>
      </w:pPr>
      <w:r>
        <w:t>75% no uzņēmumiem, kuri veikuši ieguldījumus P&amp;A, nav izmantojuši nekādu valsts atbalsta finansējumu. aptuveni 1/10 ir izmantojuši nodokļu atvieglojumus un grantus valsts atbalsta programmu ietvaros. 5% saņēmuši aizdevumus ar atvieglotiem noteikumiem, 2% - valsts garantijas, bet 1% - riska kapitāla fondu investīcijas.</w:t>
      </w:r>
    </w:p>
    <w:p w:rsidR="00F93731" w:rsidRDefault="00F93731" w:rsidP="00EA3DEF">
      <w:pPr>
        <w:spacing w:line="360" w:lineRule="auto"/>
        <w:jc w:val="both"/>
      </w:pPr>
      <w:r w:rsidRPr="009A4AFC">
        <w:rPr>
          <w:noProof/>
          <w:lang w:eastAsia="lv-LV"/>
        </w:rPr>
        <w:drawing>
          <wp:inline distT="0" distB="0" distL="0" distR="0" wp14:anchorId="35C83EF2" wp14:editId="5E239B82">
            <wp:extent cx="5972175" cy="2847975"/>
            <wp:effectExtent l="0" t="0" r="9525" b="9525"/>
            <wp:docPr id="4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A4FED" w:rsidRDefault="00AA2963" w:rsidP="00EA3DEF">
      <w:pPr>
        <w:spacing w:line="360" w:lineRule="auto"/>
        <w:jc w:val="both"/>
      </w:pPr>
      <w:r>
        <w:t xml:space="preserve">Tikai 3% uzņēmumu pēdējo trīs gadu laikā ir izmantojuši </w:t>
      </w:r>
      <w:r w:rsidRPr="00AA2963">
        <w:t xml:space="preserve">spēkā esošo nodokļu atvieglojumu </w:t>
      </w:r>
      <w:r>
        <w:t>P&amp;A</w:t>
      </w:r>
      <w:r w:rsidRPr="00AA2963">
        <w:t xml:space="preserve"> - koeficient</w:t>
      </w:r>
      <w:r>
        <w:t>u</w:t>
      </w:r>
      <w:r w:rsidRPr="00AA2963">
        <w:t xml:space="preserve"> 1,5, norakstot tādu nemateriālo ieguldījumu izveidošanas vai iegādes izmaksas, kuru rezultātā pēc 2009.gada 1.janvāra reģistrēta preču zīme vai patents.</w:t>
      </w:r>
      <w:r w:rsidR="00263D12">
        <w:t xml:space="preserve"> Jāuzsver, ka visi, ka šo atvieglojumu ir izmantojuši, to ir darījuši vairākas reizes.</w:t>
      </w:r>
    </w:p>
    <w:p w:rsidR="007F6A19" w:rsidRDefault="007F6A19" w:rsidP="00EA3DEF">
      <w:pPr>
        <w:spacing w:line="360" w:lineRule="auto"/>
        <w:jc w:val="both"/>
      </w:pPr>
      <w:r w:rsidRPr="009A4AFC">
        <w:rPr>
          <w:noProof/>
          <w:lang w:eastAsia="lv-LV"/>
        </w:rPr>
        <w:lastRenderedPageBreak/>
        <w:drawing>
          <wp:inline distT="0" distB="0" distL="0" distR="0" wp14:anchorId="1711C304" wp14:editId="1F731C70">
            <wp:extent cx="5972175" cy="2886075"/>
            <wp:effectExtent l="19050" t="0" r="9525" b="0"/>
            <wp:docPr id="4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2257E" w:rsidRDefault="0032257E" w:rsidP="00EA3DEF">
      <w:pPr>
        <w:spacing w:line="360" w:lineRule="auto"/>
        <w:jc w:val="both"/>
      </w:pPr>
      <w:r>
        <w:t>Tie, kuri šādu nodokļu atvieglojumu nebija izmantojuši, tika lūgti norādīt iemeslus, kādēļ nav to darījuši. Aptuveni 1/2 uzņēmēju norāda, ka viņiem par šādu nodokļu atvieglojumu nav bijis informācijas, bet 1/3  - ka izmaksas neatbilda nemateriālo ieguldījumu kritērijiem. Vēl 1/5 minējuši, ka uzņēmums nav plānojis reģistrēt preču zīmi vai patentu.</w:t>
      </w:r>
    </w:p>
    <w:p w:rsidR="001567DA" w:rsidRDefault="001567DA" w:rsidP="00EA3DEF">
      <w:pPr>
        <w:spacing w:line="360" w:lineRule="auto"/>
        <w:jc w:val="both"/>
      </w:pPr>
      <w:r w:rsidRPr="009A4AFC">
        <w:rPr>
          <w:noProof/>
          <w:lang w:eastAsia="lv-LV"/>
        </w:rPr>
        <w:drawing>
          <wp:inline distT="0" distB="0" distL="0" distR="0" wp14:anchorId="1E16C011" wp14:editId="69D31BAC">
            <wp:extent cx="5972175" cy="2200275"/>
            <wp:effectExtent l="0" t="0" r="9525" b="9525"/>
            <wp:docPr id="4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D0FF4" w:rsidRDefault="000D0FF4">
      <w:pPr>
        <w:suppressAutoHyphens w:val="0"/>
        <w:spacing w:after="0"/>
      </w:pPr>
      <w:r>
        <w:br w:type="page"/>
      </w:r>
    </w:p>
    <w:p w:rsidR="008E4BAB" w:rsidRDefault="008E4BAB" w:rsidP="00EA3DEF">
      <w:pPr>
        <w:spacing w:line="360" w:lineRule="auto"/>
        <w:jc w:val="both"/>
      </w:pPr>
      <w:r>
        <w:lastRenderedPageBreak/>
        <w:t>Dažādus citus nodokļu atvieglojumus izmantojuši tikai 5% aptaujāto.</w:t>
      </w:r>
    </w:p>
    <w:p w:rsidR="00A12EB7" w:rsidRDefault="00A12EB7" w:rsidP="00EA3DEF">
      <w:pPr>
        <w:spacing w:line="360" w:lineRule="auto"/>
        <w:jc w:val="both"/>
      </w:pPr>
      <w:r w:rsidRPr="009A4AFC">
        <w:rPr>
          <w:noProof/>
          <w:lang w:eastAsia="lv-LV"/>
        </w:rPr>
        <w:drawing>
          <wp:inline distT="0" distB="0" distL="0" distR="0" wp14:anchorId="62D98AF8" wp14:editId="4EB5451A">
            <wp:extent cx="5972175" cy="4505325"/>
            <wp:effectExtent l="0" t="0" r="9525" b="28575"/>
            <wp:docPr id="4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E4BAB" w:rsidRDefault="008E4BAB">
      <w:pPr>
        <w:suppressAutoHyphens w:val="0"/>
        <w:spacing w:after="0"/>
      </w:pPr>
    </w:p>
    <w:p w:rsidR="0046700F" w:rsidRPr="00AA04C2" w:rsidRDefault="0046700F" w:rsidP="0046700F">
      <w:pPr>
        <w:pStyle w:val="Heading2"/>
        <w:numPr>
          <w:ilvl w:val="2"/>
          <w:numId w:val="1"/>
        </w:numPr>
        <w:rPr>
          <w:rFonts w:cs="Calibri"/>
          <w:sz w:val="22"/>
        </w:rPr>
      </w:pPr>
      <w:bookmarkStart w:id="47" w:name="_Toc354740704"/>
      <w:bookmarkStart w:id="48" w:name="_Toc354740735"/>
      <w:r>
        <w:rPr>
          <w:sz w:val="22"/>
        </w:rPr>
        <w:t>Iemesli ieguldījumu pētniecībā un attīstībā neveikšanai</w:t>
      </w:r>
      <w:bookmarkEnd w:id="47"/>
      <w:bookmarkEnd w:id="48"/>
    </w:p>
    <w:p w:rsidR="00D00B36" w:rsidRDefault="00D00B36" w:rsidP="00EA3DEF">
      <w:pPr>
        <w:spacing w:line="360" w:lineRule="auto"/>
        <w:jc w:val="both"/>
      </w:pPr>
      <w:r>
        <w:t>Tie uzņēmēji, kuri pēdējo trīs gadu laikā nav veikuši ieguldījumus P&amp;A, tika lūgti minēt neieguldīšanas iemeslus. Vairākums – 57% - norāda, ka nav bijusi nepieciešamība pēc tādiem ieguldījumiem. 34% kā iemeslu norāda finanšu, bet 14% - zināšanu</w:t>
      </w:r>
      <w:r w:rsidRPr="00D00B36">
        <w:t xml:space="preserve"> </w:t>
      </w:r>
      <w:r>
        <w:t>trūkumu.</w:t>
      </w:r>
      <w:r w:rsidR="00E92834">
        <w:t xml:space="preserve"> Uz finanšu trūkumu kā iemeslu biežāk norāda uzņēmumi ar apgrozījumu līdz 50 000 LVL un pēdējo piecu gadu laikā dibinātie. Uz zināšanu trūkumu – pēdējo piecu gadu laikā dibinātie un tie, kuru gada apgrozījums ir 50 001 līdz 10 000 LVL liels.</w:t>
      </w:r>
      <w:r w:rsidR="00D021E2">
        <w:t xml:space="preserve"> Savukārt uz to, ka nav bijusi nepieciešamība veikt ieguldījumus P&amp;A biežāk norādījuši uzņēmumi ar apgrozījumu virs 100 000 LVL, kā arī tie, kuri dibināti laika posmā no 1992. līdz 2000.gadam.</w:t>
      </w:r>
    </w:p>
    <w:p w:rsidR="00E54F8B" w:rsidRDefault="00E54F8B" w:rsidP="00EA3DEF">
      <w:pPr>
        <w:spacing w:line="360" w:lineRule="auto"/>
        <w:jc w:val="both"/>
      </w:pPr>
      <w:r w:rsidRPr="009A4AFC">
        <w:rPr>
          <w:noProof/>
          <w:lang w:eastAsia="lv-LV"/>
        </w:rPr>
        <w:lastRenderedPageBreak/>
        <w:drawing>
          <wp:inline distT="0" distB="0" distL="0" distR="0" wp14:anchorId="1B28DDB3" wp14:editId="09CDDB0C">
            <wp:extent cx="5972175" cy="2200275"/>
            <wp:effectExtent l="0" t="0" r="9525" b="9525"/>
            <wp:docPr id="4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8C733F" w:rsidRDefault="008C733F" w:rsidP="00EA3DEF">
      <w:pPr>
        <w:spacing w:line="360" w:lineRule="auto"/>
        <w:jc w:val="both"/>
      </w:pPr>
      <w:r w:rsidRPr="009A4AFC">
        <w:rPr>
          <w:noProof/>
          <w:lang w:eastAsia="lv-LV"/>
        </w:rPr>
        <w:drawing>
          <wp:inline distT="0" distB="0" distL="0" distR="0" wp14:anchorId="3959059F" wp14:editId="27396953">
            <wp:extent cx="5972175" cy="4019550"/>
            <wp:effectExtent l="19050" t="0" r="9525" b="0"/>
            <wp:docPr id="5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46700F" w:rsidRDefault="0046700F" w:rsidP="00EA3DEF">
      <w:pPr>
        <w:spacing w:line="360" w:lineRule="auto"/>
        <w:jc w:val="both"/>
      </w:pPr>
    </w:p>
    <w:p w:rsidR="0046700F" w:rsidRPr="00AA04C2" w:rsidRDefault="0046700F" w:rsidP="0046700F">
      <w:pPr>
        <w:pStyle w:val="Heading2"/>
        <w:numPr>
          <w:ilvl w:val="2"/>
          <w:numId w:val="1"/>
        </w:numPr>
        <w:rPr>
          <w:rFonts w:cs="Calibri"/>
          <w:sz w:val="22"/>
        </w:rPr>
      </w:pPr>
      <w:bookmarkStart w:id="49" w:name="_Toc354740705"/>
      <w:bookmarkStart w:id="50" w:name="_Toc354740736"/>
      <w:r>
        <w:rPr>
          <w:sz w:val="22"/>
        </w:rPr>
        <w:t>Ieguldījumi pētniecībā un attīstībā pirms 2010.gada</w:t>
      </w:r>
      <w:bookmarkEnd w:id="49"/>
      <w:bookmarkEnd w:id="50"/>
    </w:p>
    <w:p w:rsidR="00BF430E" w:rsidRDefault="00BF430E" w:rsidP="00EA3DEF">
      <w:pPr>
        <w:spacing w:line="360" w:lineRule="auto"/>
        <w:jc w:val="both"/>
      </w:pPr>
      <w:r>
        <w:t>Tiem, kuri nav veikuši ieguldījumus pēdējo trīs gadu laikā, tika vaicāts, vai šādi ieguldījumi ir veikti pirms 2010.gada. Absolūtajā vairākumā – 90% - gadījumu uzņēmēji novērtējuši, ka ieguldījumi P&amp;A nav veikti arī agrākos gados un tikai 10% ir tādu, kuri ir to darījuši agrāk, bet nedara pēdējo gadu laikā.</w:t>
      </w:r>
    </w:p>
    <w:p w:rsidR="00E54F8B" w:rsidRDefault="00E54F8B" w:rsidP="00EA3DEF">
      <w:pPr>
        <w:spacing w:line="360" w:lineRule="auto"/>
        <w:jc w:val="both"/>
      </w:pPr>
      <w:r w:rsidRPr="009A4AFC">
        <w:rPr>
          <w:noProof/>
          <w:lang w:eastAsia="lv-LV"/>
        </w:rPr>
        <w:lastRenderedPageBreak/>
        <w:drawing>
          <wp:inline distT="0" distB="0" distL="0" distR="0" wp14:anchorId="608A5058" wp14:editId="35392CD7">
            <wp:extent cx="5972175" cy="2838450"/>
            <wp:effectExtent l="0" t="0" r="9525" b="19050"/>
            <wp:docPr id="4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76AA6" w:rsidRDefault="00676AA6" w:rsidP="00EA3DEF">
      <w:pPr>
        <w:spacing w:line="360" w:lineRule="auto"/>
        <w:jc w:val="both"/>
        <w:rPr>
          <w:noProof/>
          <w:lang w:eastAsia="lv-LV"/>
        </w:rPr>
      </w:pPr>
    </w:p>
    <w:p w:rsidR="0046700F" w:rsidRPr="00AA04C2" w:rsidRDefault="0046700F" w:rsidP="0046700F">
      <w:pPr>
        <w:pStyle w:val="Heading2"/>
        <w:numPr>
          <w:ilvl w:val="2"/>
          <w:numId w:val="1"/>
        </w:numPr>
        <w:rPr>
          <w:rFonts w:cs="Calibri"/>
          <w:sz w:val="22"/>
        </w:rPr>
      </w:pPr>
      <w:bookmarkStart w:id="51" w:name="_Toc354740706"/>
      <w:bookmarkStart w:id="52" w:name="_Toc354740737"/>
      <w:r>
        <w:rPr>
          <w:sz w:val="22"/>
        </w:rPr>
        <w:t>Finansējuma trūkums ieguldījumiem pētniecībā un attīstībā</w:t>
      </w:r>
      <w:bookmarkEnd w:id="51"/>
      <w:bookmarkEnd w:id="52"/>
    </w:p>
    <w:p w:rsidR="008A7B94" w:rsidRDefault="00747748" w:rsidP="00EA3DEF">
      <w:pPr>
        <w:spacing w:line="360" w:lineRule="auto"/>
        <w:jc w:val="both"/>
      </w:pPr>
      <w:r>
        <w:t>Kopumā 43% Latvijas uzņēmumu ir saskārušies ar situāciju, kad ir bijuši nepieciešami ieguldījumi P&amp;A, bet trūcis finansējuma to veikšanai. 33% uzņēmēji ar šādām situācijām saskārušies vairākas reizes, 10% - vienreiz.</w:t>
      </w:r>
      <w:r w:rsidR="0071120A">
        <w:t xml:space="preserve"> Salīdzinoši biežāk tie bijuši uzņēmumi, kuri dibināti līdz 1991.gadam (šajā mērķa grupā 64% saskārušies ar šādām situācijām), kā arī tie, kuri dibināti pēdējo piecu gadu laikā (49%). Retāk ar šādām situācijām saskārušies būvniecības jomā strādājošie, kā arī tie, kuru apgrozījums ir lielāks par 500 000 LVL gadā.</w:t>
      </w:r>
    </w:p>
    <w:p w:rsidR="00A973D8" w:rsidRDefault="00A973D8" w:rsidP="00EA3DEF">
      <w:pPr>
        <w:spacing w:line="360" w:lineRule="auto"/>
        <w:jc w:val="both"/>
      </w:pPr>
      <w:r w:rsidRPr="009A4AFC">
        <w:rPr>
          <w:noProof/>
          <w:lang w:eastAsia="lv-LV"/>
        </w:rPr>
        <w:drawing>
          <wp:inline distT="0" distB="0" distL="0" distR="0" wp14:anchorId="6D7A0B05" wp14:editId="7E05B3A0">
            <wp:extent cx="5972175" cy="2552700"/>
            <wp:effectExtent l="0" t="0" r="9525" b="19050"/>
            <wp:docPr id="4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E86EF9" w:rsidRDefault="00E86EF9" w:rsidP="00EA3DEF">
      <w:pPr>
        <w:spacing w:line="360" w:lineRule="auto"/>
        <w:jc w:val="both"/>
      </w:pPr>
      <w:r w:rsidRPr="009A4AFC">
        <w:rPr>
          <w:noProof/>
          <w:lang w:eastAsia="lv-LV"/>
        </w:rPr>
        <w:lastRenderedPageBreak/>
        <w:drawing>
          <wp:inline distT="0" distB="0" distL="0" distR="0" wp14:anchorId="3BC90839" wp14:editId="2A4D395E">
            <wp:extent cx="5972175" cy="6410325"/>
            <wp:effectExtent l="0" t="0" r="9525" b="9525"/>
            <wp:docPr id="5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14DD9" w:rsidRDefault="004365EC" w:rsidP="00EA3DEF">
      <w:pPr>
        <w:spacing w:line="360" w:lineRule="auto"/>
        <w:jc w:val="both"/>
      </w:pPr>
      <w:r w:rsidRPr="004365EC">
        <w:t>Vairākumā - 61% - gadījumu nepieciešamais finansējuma apjoms nepārsniedz 20 000 LVL, t.sk., 32% gadījumu tas bijis ne lielāks par 5 000 LVL. Tai pat laikā samērā liels - 24% - ir arī to uzņēmumu īpatsvars, kuriem bijis nepieciešams finansējums lielāks par 50 000 LVL.</w:t>
      </w:r>
    </w:p>
    <w:p w:rsidR="00873DF2" w:rsidRDefault="00873DF2" w:rsidP="00EA3DEF">
      <w:pPr>
        <w:spacing w:line="360" w:lineRule="auto"/>
        <w:jc w:val="both"/>
      </w:pPr>
      <w:r w:rsidRPr="009A4AFC">
        <w:rPr>
          <w:noProof/>
          <w:lang w:eastAsia="lv-LV"/>
        </w:rPr>
        <w:lastRenderedPageBreak/>
        <w:drawing>
          <wp:inline distT="0" distB="0" distL="0" distR="0" wp14:anchorId="6F9E89A3" wp14:editId="30131ECA">
            <wp:extent cx="5972175" cy="3533775"/>
            <wp:effectExtent l="0" t="0" r="9525" b="28575"/>
            <wp:docPr id="49"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B62B2" w:rsidRDefault="003B62B2" w:rsidP="00EA3DEF">
      <w:pPr>
        <w:spacing w:line="360" w:lineRule="auto"/>
        <w:jc w:val="both"/>
      </w:pPr>
    </w:p>
    <w:p w:rsidR="003B62B2" w:rsidRPr="00AA04C2" w:rsidRDefault="003B62B2" w:rsidP="003B62B2">
      <w:pPr>
        <w:pStyle w:val="Heading2"/>
        <w:numPr>
          <w:ilvl w:val="2"/>
          <w:numId w:val="1"/>
        </w:numPr>
        <w:rPr>
          <w:rFonts w:cs="Calibri"/>
          <w:sz w:val="22"/>
        </w:rPr>
      </w:pPr>
      <w:bookmarkStart w:id="53" w:name="_Toc354740707"/>
      <w:bookmarkStart w:id="54" w:name="_Toc354740738"/>
      <w:r>
        <w:rPr>
          <w:sz w:val="22"/>
        </w:rPr>
        <w:t>Plānotie ieguldījumi pētniecībā un attīstībā tuvāko trīs gadu laikā</w:t>
      </w:r>
      <w:bookmarkEnd w:id="53"/>
      <w:bookmarkEnd w:id="54"/>
    </w:p>
    <w:p w:rsidR="003E2E1F" w:rsidRDefault="00342AEE" w:rsidP="00EA3DEF">
      <w:pPr>
        <w:spacing w:line="360" w:lineRule="auto"/>
        <w:jc w:val="both"/>
      </w:pPr>
      <w:r>
        <w:t xml:space="preserve">Tuvāko trīs gadu laikā ieguldījumus P&amp;A plāno veikt kopumā </w:t>
      </w:r>
      <w:r w:rsidR="004C0269">
        <w:t>31% aptaujāto uzņēmumu – 12% apgalvo, ka to noteikti darīs un vēl 19% - ka drīzāk darīs. To, ka ieguldījumi P&amp;A netiks veikti, apgalvojuši kopumā 44% aptaujāto, savukārt 25% nav varējuši sniegt konkrētu atbildi.</w:t>
      </w:r>
    </w:p>
    <w:p w:rsidR="007D0A04" w:rsidRDefault="007D0A04" w:rsidP="00EA3DEF">
      <w:pPr>
        <w:spacing w:line="360" w:lineRule="auto"/>
        <w:jc w:val="both"/>
      </w:pPr>
      <w:r w:rsidRPr="009A4AFC">
        <w:rPr>
          <w:noProof/>
          <w:lang w:eastAsia="lv-LV"/>
        </w:rPr>
        <w:drawing>
          <wp:inline distT="0" distB="0" distL="0" distR="0" wp14:anchorId="6890E680" wp14:editId="19E7A268">
            <wp:extent cx="5972175" cy="2409825"/>
            <wp:effectExtent l="0" t="0" r="9525" b="28575"/>
            <wp:docPr id="50"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B253F7" w:rsidRDefault="00B253F7" w:rsidP="00EA3DEF">
      <w:pPr>
        <w:spacing w:line="360" w:lineRule="auto"/>
        <w:jc w:val="both"/>
      </w:pPr>
      <w:r w:rsidRPr="00B253F7">
        <w:t xml:space="preserve">Salīdzinoši biežāk tuvāko trīs gadu laikā ieguldījumus P&amp;A plāno veikt uzņēmumi, kas dibināti pirms 1991.gada (51%), arī tie, kas dibināti pēdējo piecu gadu laikā (37%), tie, kuros strādā 50 un vairāk </w:t>
      </w:r>
      <w:r w:rsidRPr="00B253F7">
        <w:lastRenderedPageBreak/>
        <w:t>darbinieku (53%) un kuru apgrozījums ir lielāks par 500 000 LVL (49%). Tāpat novērojams, ka tuvāko trīs gadu laikā ieguldījumus plāno veikt kopumā 74% no tiem, kuri ieguldījumus bija veikuši arī pēdējo trīs gadu laikā, savukārt to vidū, kuri ieguldījumus nebija veikuši, tādu, kuri tos plāno veikt, ir tikai 13%.</w:t>
      </w:r>
    </w:p>
    <w:p w:rsidR="007162B8" w:rsidRDefault="007162B8" w:rsidP="00EA3DEF">
      <w:pPr>
        <w:spacing w:line="360" w:lineRule="auto"/>
        <w:jc w:val="both"/>
      </w:pPr>
      <w:r w:rsidRPr="009A4AFC">
        <w:rPr>
          <w:noProof/>
          <w:lang w:eastAsia="lv-LV"/>
        </w:rPr>
        <w:drawing>
          <wp:inline distT="0" distB="0" distL="0" distR="0" wp14:anchorId="664E2474" wp14:editId="5ED96A94">
            <wp:extent cx="5972175" cy="6410325"/>
            <wp:effectExtent l="19050" t="0" r="9525" b="0"/>
            <wp:docPr id="5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283909" w:rsidRDefault="00283909">
      <w:pPr>
        <w:suppressAutoHyphens w:val="0"/>
        <w:spacing w:after="0"/>
      </w:pPr>
      <w:r>
        <w:br w:type="page"/>
      </w:r>
    </w:p>
    <w:p w:rsidR="005B6E0C" w:rsidRDefault="005B6E0C" w:rsidP="00EA3DEF">
      <w:pPr>
        <w:spacing w:line="360" w:lineRule="auto"/>
        <w:jc w:val="both"/>
      </w:pPr>
      <w:r>
        <w:lastRenderedPageBreak/>
        <w:t>42% no tiem, kuri plāno veikt ieguldījumus P&amp;A, norāda, ka plāno ieguldīt jaunu tehnoloģiju izstrādē un ieviešanā, 27% sniedz vispārīgu atbildi, ka ieguldīs uzņēmuma paplašināšanā un attīstībā, bet 22% plāno ieguldīt pētījumos. Vēl 17% plāno iegādāties iekārtas, bet 1/10 – veikt darbaspēka apmācības. Jaunu produktu ražošanā plāno ieguldīt tikai 5%, bet laboratoriju izveidē un eksperimentālā ražošanā – tikai 3%.</w:t>
      </w:r>
    </w:p>
    <w:p w:rsidR="00727FB1" w:rsidRDefault="00727FB1" w:rsidP="00EA3DEF">
      <w:pPr>
        <w:spacing w:line="360" w:lineRule="auto"/>
        <w:jc w:val="both"/>
      </w:pPr>
      <w:r w:rsidRPr="009A4AFC">
        <w:rPr>
          <w:noProof/>
          <w:lang w:eastAsia="lv-LV"/>
        </w:rPr>
        <w:drawing>
          <wp:inline distT="0" distB="0" distL="0" distR="0" wp14:anchorId="55DA93F2" wp14:editId="3D6A7F22">
            <wp:extent cx="5972175" cy="3305175"/>
            <wp:effectExtent l="0" t="0" r="9525" b="9525"/>
            <wp:docPr id="5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0C2385" w:rsidRDefault="000C2385" w:rsidP="00EA3DEF">
      <w:pPr>
        <w:spacing w:line="360" w:lineRule="auto"/>
        <w:jc w:val="both"/>
      </w:pPr>
    </w:p>
    <w:p w:rsidR="00283909" w:rsidRDefault="00283909">
      <w:pPr>
        <w:suppressAutoHyphens w:val="0"/>
        <w:spacing w:after="0"/>
        <w:rPr>
          <w:b/>
          <w:sz w:val="24"/>
          <w:szCs w:val="20"/>
        </w:rPr>
      </w:pPr>
      <w:bookmarkStart w:id="55" w:name="_Toc354736254"/>
      <w:r>
        <w:br w:type="page"/>
      </w:r>
    </w:p>
    <w:p w:rsidR="003866BC" w:rsidRDefault="00C74887" w:rsidP="003866BC">
      <w:pPr>
        <w:pStyle w:val="Heading2"/>
        <w:rPr>
          <w:rFonts w:cs="Calibri"/>
        </w:rPr>
      </w:pPr>
      <w:bookmarkStart w:id="56" w:name="_Toc354740708"/>
      <w:bookmarkStart w:id="57" w:name="_Toc354740739"/>
      <w:r w:rsidRPr="00C74887">
        <w:lastRenderedPageBreak/>
        <w:t>Uzņēmuma motivācija ieguldīt pētniecībā un attīstībā (izstrādē)</w:t>
      </w:r>
      <w:bookmarkEnd w:id="55"/>
      <w:bookmarkEnd w:id="56"/>
      <w:bookmarkEnd w:id="57"/>
    </w:p>
    <w:p w:rsidR="00D414F7" w:rsidRPr="00D414F7" w:rsidRDefault="00D414F7" w:rsidP="00D414F7">
      <w:pPr>
        <w:pStyle w:val="Heading2"/>
        <w:numPr>
          <w:ilvl w:val="2"/>
          <w:numId w:val="1"/>
        </w:numPr>
        <w:rPr>
          <w:rFonts w:cs="Calibri"/>
          <w:sz w:val="22"/>
        </w:rPr>
      </w:pPr>
      <w:bookmarkStart w:id="58" w:name="_Toc354740709"/>
      <w:bookmarkStart w:id="59" w:name="_Toc354740740"/>
      <w:r>
        <w:rPr>
          <w:sz w:val="22"/>
        </w:rPr>
        <w:t>Iemesli</w:t>
      </w:r>
      <w:r w:rsidRPr="00D414F7">
        <w:rPr>
          <w:sz w:val="22"/>
        </w:rPr>
        <w:t xml:space="preserve"> </w:t>
      </w:r>
      <w:r>
        <w:rPr>
          <w:sz w:val="22"/>
        </w:rPr>
        <w:t>ieguldījumu pētniecībā un attīstībā veikšanai</w:t>
      </w:r>
      <w:bookmarkEnd w:id="58"/>
      <w:bookmarkEnd w:id="59"/>
    </w:p>
    <w:p w:rsidR="003C1B79" w:rsidRDefault="00C14B10" w:rsidP="003866BC">
      <w:pPr>
        <w:spacing w:line="360" w:lineRule="auto"/>
        <w:jc w:val="both"/>
      </w:pPr>
      <w:r>
        <w:t>Uzņēmuma konkurētspējas celšanu aptaujātie uzskata par galveno motivāciju ieguldījumiem P&amp;A – uz to norādījuši 40% aptaujāto. Salīdzinoši bieži – 29% gadījumu – kā motivācija tiek minēta arī uzņēmuma attīstība. Tikai 20% kā motivāciju norāda jaunu produktu, pakalpojumu izstrādi un 18% - apgrozījuma un peļņas palielināšanu.</w:t>
      </w:r>
    </w:p>
    <w:p w:rsidR="003C1B79" w:rsidRDefault="003C1B79" w:rsidP="003866BC">
      <w:pPr>
        <w:spacing w:line="360" w:lineRule="auto"/>
        <w:jc w:val="both"/>
      </w:pPr>
      <w:r w:rsidRPr="009A4AFC">
        <w:rPr>
          <w:noProof/>
          <w:lang w:eastAsia="lv-LV"/>
        </w:rPr>
        <w:drawing>
          <wp:inline distT="0" distB="0" distL="0" distR="0" wp14:anchorId="399C1B7C" wp14:editId="34D73F9C">
            <wp:extent cx="5972175" cy="3305175"/>
            <wp:effectExtent l="0" t="0" r="9525" b="9525"/>
            <wp:docPr id="59"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BD0E0D" w:rsidRDefault="00BD0E0D" w:rsidP="003866BC">
      <w:pPr>
        <w:spacing w:line="360" w:lineRule="auto"/>
        <w:jc w:val="both"/>
      </w:pPr>
    </w:p>
    <w:p w:rsidR="00BD0E0D" w:rsidRPr="00D414F7" w:rsidRDefault="00BD0E0D" w:rsidP="00BD0E0D">
      <w:pPr>
        <w:pStyle w:val="Heading2"/>
        <w:numPr>
          <w:ilvl w:val="2"/>
          <w:numId w:val="1"/>
        </w:numPr>
        <w:rPr>
          <w:rFonts w:cs="Calibri"/>
          <w:sz w:val="22"/>
        </w:rPr>
      </w:pPr>
      <w:bookmarkStart w:id="60" w:name="_Toc354740710"/>
      <w:bookmarkStart w:id="61" w:name="_Toc354740741"/>
      <w:r>
        <w:rPr>
          <w:sz w:val="22"/>
        </w:rPr>
        <w:t>Uzņēmumu ieguvumi no</w:t>
      </w:r>
      <w:r w:rsidRPr="00D414F7">
        <w:rPr>
          <w:sz w:val="22"/>
        </w:rPr>
        <w:t xml:space="preserve"> </w:t>
      </w:r>
      <w:r>
        <w:rPr>
          <w:sz w:val="22"/>
        </w:rPr>
        <w:t>ieguldījumiem pētniecībā un attīstībā</w:t>
      </w:r>
      <w:bookmarkEnd w:id="60"/>
      <w:bookmarkEnd w:id="61"/>
    </w:p>
    <w:p w:rsidR="003C1B79" w:rsidRDefault="00CB063F" w:rsidP="003866BC">
      <w:pPr>
        <w:spacing w:line="360" w:lineRule="auto"/>
        <w:jc w:val="both"/>
      </w:pPr>
      <w:r>
        <w:t>Konkurētspējas pieaugumu (32%) un apgrozījuma un peļņas palielināšanos (30%) uzņēmēji norāda arī kā būtiskākos uzņēmumu ieguvumus no ieguldījumiem P&amp;A.</w:t>
      </w:r>
    </w:p>
    <w:p w:rsidR="003C1B79" w:rsidRDefault="003C1B79" w:rsidP="003866BC">
      <w:pPr>
        <w:spacing w:line="360" w:lineRule="auto"/>
        <w:jc w:val="both"/>
      </w:pPr>
      <w:r w:rsidRPr="009A4AFC">
        <w:rPr>
          <w:noProof/>
          <w:lang w:eastAsia="lv-LV"/>
        </w:rPr>
        <w:lastRenderedPageBreak/>
        <w:drawing>
          <wp:inline distT="0" distB="0" distL="0" distR="0" wp14:anchorId="40B01C2A" wp14:editId="3F353E97">
            <wp:extent cx="5972175" cy="3762375"/>
            <wp:effectExtent l="0" t="0" r="9525" b="9525"/>
            <wp:docPr id="60"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38763B" w:rsidRDefault="0038763B" w:rsidP="003866BC">
      <w:pPr>
        <w:spacing w:line="360" w:lineRule="auto"/>
        <w:jc w:val="both"/>
      </w:pPr>
    </w:p>
    <w:p w:rsidR="00BD0E0D" w:rsidRPr="00D414F7" w:rsidRDefault="00BD0E0D" w:rsidP="00BD0E0D">
      <w:pPr>
        <w:pStyle w:val="Heading2"/>
        <w:numPr>
          <w:ilvl w:val="2"/>
          <w:numId w:val="1"/>
        </w:numPr>
        <w:rPr>
          <w:rFonts w:cs="Calibri"/>
          <w:sz w:val="22"/>
        </w:rPr>
      </w:pPr>
      <w:bookmarkStart w:id="62" w:name="_Toc354740711"/>
      <w:bookmarkStart w:id="63" w:name="_Toc354740742"/>
      <w:r>
        <w:rPr>
          <w:sz w:val="22"/>
        </w:rPr>
        <w:t>Valsts atbalsta instrumentu</w:t>
      </w:r>
      <w:r w:rsidRPr="00D414F7">
        <w:rPr>
          <w:sz w:val="22"/>
        </w:rPr>
        <w:t xml:space="preserve"> </w:t>
      </w:r>
      <w:r>
        <w:rPr>
          <w:sz w:val="22"/>
        </w:rPr>
        <w:t>ieguldījumiem pētniecībā un attīstībā vērtējums</w:t>
      </w:r>
      <w:bookmarkEnd w:id="62"/>
      <w:bookmarkEnd w:id="63"/>
    </w:p>
    <w:p w:rsidR="00915A80" w:rsidRDefault="005014DB" w:rsidP="003866BC">
      <w:pPr>
        <w:spacing w:line="360" w:lineRule="auto"/>
        <w:jc w:val="both"/>
      </w:pPr>
      <w:r>
        <w:t>Tikai 3% uzņēmēju uzskata, ka esošie valsts atbalsta instrumenti uzņēmējdarbībai ir pietiekami, lai stimulētu veikt ieguldījumus P&amp;A, kamēr 25% uzskata, ka tie ir pilnībā nepietiekami, bet 35% - ka drīzāk nepietiekami. Būtiski, ka 37% nav varējuši sniegt konkrētu atbildi uz šo jautājumu.</w:t>
      </w:r>
    </w:p>
    <w:p w:rsidR="0027537D" w:rsidRDefault="00915A80" w:rsidP="003866BC">
      <w:pPr>
        <w:spacing w:line="360" w:lineRule="auto"/>
        <w:jc w:val="both"/>
      </w:pPr>
      <w:r w:rsidRPr="009A4AFC">
        <w:rPr>
          <w:noProof/>
          <w:lang w:eastAsia="lv-LV"/>
        </w:rPr>
        <w:drawing>
          <wp:inline distT="0" distB="0" distL="0" distR="0" wp14:anchorId="78AEFDB2" wp14:editId="6C478382">
            <wp:extent cx="5972175" cy="2886075"/>
            <wp:effectExtent l="0" t="0" r="9525" b="9525"/>
            <wp:docPr id="5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A11D9B" w:rsidRDefault="00A11D9B" w:rsidP="003866BC">
      <w:pPr>
        <w:spacing w:line="360" w:lineRule="auto"/>
        <w:jc w:val="both"/>
      </w:pPr>
      <w:r w:rsidRPr="00A11D9B">
        <w:lastRenderedPageBreak/>
        <w:t>To, ka esošie valsts atbalsta instrumenti ir pilnībā nepietiekami biežāk novērtējuši pēdējo piecu gadu laikā dibinātie uzņēmumi (32% šajā mērķa grupā snieguši galēji negatīvu vērtējumu), uzņēmumu, kuros darbinieku skaits ir 1-9 (29%) un 20-49 (29%), būvniecības jomā strādājošie (30%), kā arī tie, kuru apgrozījums ir ne lielāks par 100 000 LVL (29%-31%). Zīmīgi, ka tie, kuri pēdējo trīs gadu laikā ir veikuši ieguldījumus P&amp;A, izteikti biežāk kā tie, kuri nav veikuši, negatīvi vērtē esošo atbalsta instrumentu pietiekamību.</w:t>
      </w:r>
    </w:p>
    <w:p w:rsidR="00F936EC" w:rsidRDefault="00F936EC" w:rsidP="003866BC">
      <w:pPr>
        <w:spacing w:line="360" w:lineRule="auto"/>
        <w:jc w:val="both"/>
      </w:pPr>
      <w:r w:rsidRPr="009A4AFC">
        <w:rPr>
          <w:noProof/>
          <w:lang w:eastAsia="lv-LV"/>
        </w:rPr>
        <w:drawing>
          <wp:inline distT="0" distB="0" distL="0" distR="0" wp14:anchorId="0E8CF702" wp14:editId="50ECC70A">
            <wp:extent cx="5972175" cy="6410325"/>
            <wp:effectExtent l="19050" t="0" r="9525" b="0"/>
            <wp:docPr id="6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2A5A3D" w:rsidRDefault="00286AB2" w:rsidP="003866BC">
      <w:pPr>
        <w:spacing w:line="360" w:lineRule="auto"/>
        <w:jc w:val="both"/>
      </w:pPr>
      <w:r>
        <w:lastRenderedPageBreak/>
        <w:t>Uz jautājumu, kādi papildu valsts atbalsta instrumenti būtu nepieciešami, lai stimulētu uzņēmējus veikt ieguldījumus P&amp;A, vairākums – 61% - norāda, ka nepieciešami nodokļu atvieglojumi. aptuveni 1/3 uzskata, ka jānodrošina finansējuma pieejamība un granti. Dažādas citas atbildes snieguši mazāk kā 1/10 aptaujāto.</w:t>
      </w:r>
    </w:p>
    <w:p w:rsidR="00F66420" w:rsidRDefault="00F66420" w:rsidP="003866BC">
      <w:pPr>
        <w:spacing w:line="360" w:lineRule="auto"/>
        <w:jc w:val="both"/>
      </w:pPr>
      <w:r w:rsidRPr="009A4AFC">
        <w:rPr>
          <w:noProof/>
          <w:lang w:eastAsia="lv-LV"/>
        </w:rPr>
        <w:drawing>
          <wp:inline distT="0" distB="0" distL="0" distR="0" wp14:anchorId="269CB721" wp14:editId="652A476D">
            <wp:extent cx="5972175" cy="3276600"/>
            <wp:effectExtent l="0" t="0" r="9525" b="19050"/>
            <wp:docPr id="6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BD0E0D" w:rsidRDefault="00BD0E0D" w:rsidP="003866BC">
      <w:pPr>
        <w:spacing w:line="360" w:lineRule="auto"/>
        <w:jc w:val="both"/>
      </w:pPr>
    </w:p>
    <w:p w:rsidR="00BD0E0D" w:rsidRPr="00D414F7" w:rsidRDefault="00BD0E0D" w:rsidP="00BD0E0D">
      <w:pPr>
        <w:pStyle w:val="Heading2"/>
        <w:numPr>
          <w:ilvl w:val="2"/>
          <w:numId w:val="1"/>
        </w:numPr>
        <w:rPr>
          <w:rFonts w:cs="Calibri"/>
          <w:sz w:val="22"/>
        </w:rPr>
      </w:pPr>
      <w:bookmarkStart w:id="64" w:name="_Toc354740712"/>
      <w:bookmarkStart w:id="65" w:name="_Toc354740743"/>
      <w:r>
        <w:rPr>
          <w:sz w:val="22"/>
        </w:rPr>
        <w:t>Valsts atbalsta instrumentu</w:t>
      </w:r>
      <w:r w:rsidRPr="00D414F7">
        <w:rPr>
          <w:sz w:val="22"/>
        </w:rPr>
        <w:t xml:space="preserve"> </w:t>
      </w:r>
      <w:r>
        <w:rPr>
          <w:sz w:val="22"/>
        </w:rPr>
        <w:t>ieguldījumiem pētniecībā un attīstībā nepieciešamie uzlabojumi</w:t>
      </w:r>
      <w:bookmarkEnd w:id="64"/>
      <w:bookmarkEnd w:id="65"/>
    </w:p>
    <w:p w:rsidR="00392E48" w:rsidRDefault="00392E48" w:rsidP="003866BC">
      <w:pPr>
        <w:spacing w:line="360" w:lineRule="auto"/>
        <w:jc w:val="both"/>
      </w:pPr>
      <w:r>
        <w:t xml:space="preserve">Aptaujā uzņēmēji tika lūgti norādīt, kādi uzlabojumi būtu veicami konkrētos valsts atbalsta instrumentos. Tikai attiecībā uz nodokļu atvieglojumiem pietiekami liels skaits uzņēmēju snieguši atbildes, visbiežāk gan sniedzot vispārīgu atbildi, ka nepieciešamas nodokļu atlaides. 16% norāda, ka vajadzīgi IIN atvieglojumi, bet 9% - ka UIN atvieglojumi. </w:t>
      </w:r>
    </w:p>
    <w:p w:rsidR="00F66420" w:rsidRDefault="00F66420" w:rsidP="003866BC">
      <w:pPr>
        <w:spacing w:line="360" w:lineRule="auto"/>
        <w:jc w:val="both"/>
      </w:pPr>
      <w:r w:rsidRPr="009A4AFC">
        <w:rPr>
          <w:noProof/>
          <w:lang w:eastAsia="lv-LV"/>
        </w:rPr>
        <w:lastRenderedPageBreak/>
        <w:drawing>
          <wp:inline distT="0" distB="0" distL="0" distR="0" wp14:anchorId="220303A8" wp14:editId="68AFFC73">
            <wp:extent cx="5972175" cy="3409950"/>
            <wp:effectExtent l="0" t="0" r="9525" b="19050"/>
            <wp:docPr id="6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392E48" w:rsidRDefault="00392E48" w:rsidP="003866BC">
      <w:pPr>
        <w:spacing w:line="360" w:lineRule="auto"/>
        <w:jc w:val="both"/>
      </w:pPr>
      <w:r>
        <w:t>Pārējo valsts atbalsta instrumentu kategorijās konkrētas atbildes bija sniedzis neliels uzņēmēju īpatsvars, tādēļ tās nevar uzskatīt par statistiski interpretējamām.</w:t>
      </w:r>
    </w:p>
    <w:p w:rsidR="00E7307A" w:rsidRDefault="00E7307A" w:rsidP="003866BC">
      <w:pPr>
        <w:spacing w:line="360" w:lineRule="auto"/>
        <w:jc w:val="both"/>
      </w:pPr>
      <w:r w:rsidRPr="009A4AFC">
        <w:rPr>
          <w:noProof/>
          <w:lang w:eastAsia="lv-LV"/>
        </w:rPr>
        <w:drawing>
          <wp:inline distT="0" distB="0" distL="0" distR="0" wp14:anchorId="4274BF5D" wp14:editId="13DE28BB">
            <wp:extent cx="5972175" cy="2809875"/>
            <wp:effectExtent l="0" t="0" r="9525" b="9525"/>
            <wp:docPr id="6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680FBB" w:rsidRDefault="00680FBB" w:rsidP="003866BC">
      <w:pPr>
        <w:spacing w:line="360" w:lineRule="auto"/>
        <w:jc w:val="both"/>
      </w:pPr>
      <w:r w:rsidRPr="009A4AFC">
        <w:rPr>
          <w:noProof/>
          <w:lang w:eastAsia="lv-LV"/>
        </w:rPr>
        <w:lastRenderedPageBreak/>
        <w:drawing>
          <wp:inline distT="0" distB="0" distL="0" distR="0" wp14:anchorId="4CCD4E85" wp14:editId="7B4A342E">
            <wp:extent cx="5972175" cy="2066925"/>
            <wp:effectExtent l="0" t="0" r="9525" b="9525"/>
            <wp:docPr id="6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680FBB" w:rsidRDefault="00680FBB" w:rsidP="003866BC">
      <w:pPr>
        <w:spacing w:line="360" w:lineRule="auto"/>
        <w:jc w:val="both"/>
      </w:pPr>
      <w:r w:rsidRPr="009A4AFC">
        <w:rPr>
          <w:noProof/>
          <w:lang w:eastAsia="lv-LV"/>
        </w:rPr>
        <w:drawing>
          <wp:inline distT="0" distB="0" distL="0" distR="0" wp14:anchorId="68C0D02E" wp14:editId="47FF5E23">
            <wp:extent cx="5972175" cy="2552700"/>
            <wp:effectExtent l="0" t="0" r="9525" b="19050"/>
            <wp:docPr id="6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D47F56" w:rsidRDefault="00D47F56" w:rsidP="003866BC">
      <w:pPr>
        <w:spacing w:line="360" w:lineRule="auto"/>
        <w:jc w:val="both"/>
      </w:pPr>
      <w:r w:rsidRPr="009A4AFC">
        <w:rPr>
          <w:noProof/>
          <w:lang w:eastAsia="lv-LV"/>
        </w:rPr>
        <w:drawing>
          <wp:inline distT="0" distB="0" distL="0" distR="0" wp14:anchorId="2ACB2DFF" wp14:editId="4FB05BD7">
            <wp:extent cx="5972175" cy="3228975"/>
            <wp:effectExtent l="19050" t="0" r="9525" b="0"/>
            <wp:docPr id="6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BD0E0D" w:rsidRPr="00D414F7" w:rsidRDefault="00BD0E0D" w:rsidP="00BD0E0D">
      <w:pPr>
        <w:pStyle w:val="Heading2"/>
        <w:numPr>
          <w:ilvl w:val="2"/>
          <w:numId w:val="1"/>
        </w:numPr>
        <w:rPr>
          <w:rFonts w:cs="Calibri"/>
          <w:sz w:val="22"/>
        </w:rPr>
      </w:pPr>
      <w:bookmarkStart w:id="66" w:name="_Toc354740713"/>
      <w:bookmarkStart w:id="67" w:name="_Toc354740744"/>
      <w:r>
        <w:rPr>
          <w:sz w:val="22"/>
        </w:rPr>
        <w:lastRenderedPageBreak/>
        <w:t>Šķēršļi uzņēmumu iespējām</w:t>
      </w:r>
      <w:r w:rsidRPr="00D414F7">
        <w:rPr>
          <w:sz w:val="22"/>
        </w:rPr>
        <w:t xml:space="preserve"> </w:t>
      </w:r>
      <w:r>
        <w:rPr>
          <w:sz w:val="22"/>
        </w:rPr>
        <w:t>ieguldīt pētniecībā un attīstībā</w:t>
      </w:r>
      <w:bookmarkEnd w:id="66"/>
      <w:bookmarkEnd w:id="67"/>
    </w:p>
    <w:p w:rsidR="003926AB" w:rsidRDefault="0004341F" w:rsidP="003866BC">
      <w:pPr>
        <w:spacing w:line="360" w:lineRule="auto"/>
        <w:jc w:val="both"/>
      </w:pPr>
      <w:r>
        <w:t>Par būtiskāko šķērsli uzņēmuma iespējām veikt ieguldījumus P&amp;A aptaujātie visbiežāk – 57% gadījumu – identificējuši pašu līdzekļu, finansējuma nepietiekamību. 17% norādījuši uz ārējā finansējuma nepieejamību, bet 8% - uz ārējā finansējuma nepietiekamību.</w:t>
      </w:r>
    </w:p>
    <w:p w:rsidR="00844FCC" w:rsidRDefault="00844FCC" w:rsidP="003866BC">
      <w:pPr>
        <w:spacing w:line="360" w:lineRule="auto"/>
        <w:jc w:val="both"/>
      </w:pPr>
      <w:r w:rsidRPr="009A4AFC">
        <w:rPr>
          <w:noProof/>
          <w:lang w:eastAsia="lv-LV"/>
        </w:rPr>
        <w:drawing>
          <wp:inline distT="0" distB="0" distL="0" distR="0" wp14:anchorId="3BC01688" wp14:editId="532D2790">
            <wp:extent cx="5972175" cy="2724150"/>
            <wp:effectExtent l="0" t="0" r="9525" b="19050"/>
            <wp:docPr id="5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F44D0A" w:rsidRDefault="00F44D0A" w:rsidP="003866BC">
      <w:pPr>
        <w:spacing w:line="360" w:lineRule="auto"/>
        <w:jc w:val="both"/>
      </w:pPr>
    </w:p>
    <w:p w:rsidR="00DA02D2" w:rsidRDefault="00DA02D2" w:rsidP="003866BC">
      <w:pPr>
        <w:spacing w:line="360" w:lineRule="auto"/>
        <w:jc w:val="both"/>
      </w:pPr>
      <w:r w:rsidRPr="00DA02D2">
        <w:t>Pašu finansējuma nepietiekamību un ārējā finansējuma nepieejamība aktuālāka ir pēdējo piecu gadu laikā dibinātajiem uzņēmumiem, kā arī pēc darbinieku skaita un apgrozījuma mazākiem uzņēmumiem, savukārt ārējā finansējuma nepietiekamība - pirms 1991.gada dibinātiem uzņēmumiem un pēc darbinieku skaita un apgrozījuma lielākiem uzņēmumiem.</w:t>
      </w:r>
    </w:p>
    <w:p w:rsidR="000A5D76" w:rsidRDefault="000A5D76" w:rsidP="003866BC">
      <w:pPr>
        <w:spacing w:line="360" w:lineRule="auto"/>
        <w:jc w:val="both"/>
      </w:pPr>
      <w:r w:rsidRPr="009A4AFC">
        <w:rPr>
          <w:noProof/>
          <w:lang w:eastAsia="lv-LV"/>
        </w:rPr>
        <w:lastRenderedPageBreak/>
        <w:drawing>
          <wp:inline distT="0" distB="0" distL="0" distR="0" wp14:anchorId="06539615" wp14:editId="4FB16424">
            <wp:extent cx="5972175" cy="6696075"/>
            <wp:effectExtent l="19050" t="0" r="9525" b="0"/>
            <wp:docPr id="8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E3FDC" w:rsidRDefault="004E3FDC" w:rsidP="003866BC">
      <w:pPr>
        <w:spacing w:line="360" w:lineRule="auto"/>
        <w:jc w:val="both"/>
      </w:pPr>
    </w:p>
    <w:p w:rsidR="00D265FD" w:rsidRDefault="00D265FD" w:rsidP="003866BC">
      <w:pPr>
        <w:spacing w:line="360" w:lineRule="auto"/>
        <w:jc w:val="both"/>
      </w:pPr>
    </w:p>
    <w:p w:rsidR="00D76A64" w:rsidRDefault="00D76A64">
      <w:pPr>
        <w:suppressAutoHyphens w:val="0"/>
        <w:spacing w:after="0"/>
      </w:pPr>
      <w:r>
        <w:br w:type="page"/>
      </w:r>
    </w:p>
    <w:p w:rsidR="003866BC" w:rsidRDefault="008379D8" w:rsidP="003866BC">
      <w:pPr>
        <w:pStyle w:val="Heading2"/>
        <w:rPr>
          <w:rFonts w:cs="Calibri"/>
        </w:rPr>
      </w:pPr>
      <w:bookmarkStart w:id="68" w:name="_Toc354736255"/>
      <w:bookmarkStart w:id="69" w:name="_Toc354740714"/>
      <w:bookmarkStart w:id="70" w:name="_Toc354740745"/>
      <w:r w:rsidRPr="008379D8">
        <w:lastRenderedPageBreak/>
        <w:t>Uzņēmumiem nepieciešamais atbalsts</w:t>
      </w:r>
      <w:bookmarkEnd w:id="68"/>
      <w:bookmarkEnd w:id="69"/>
      <w:bookmarkEnd w:id="70"/>
    </w:p>
    <w:p w:rsidR="004E3FDC" w:rsidRDefault="00FB3A9B" w:rsidP="003866BC">
      <w:pPr>
        <w:spacing w:line="360" w:lineRule="auto"/>
        <w:jc w:val="both"/>
      </w:pPr>
      <w:r>
        <w:t xml:space="preserve">Par </w:t>
      </w:r>
      <w:r w:rsidR="00460336">
        <w:t>visefektīvāko</w:t>
      </w:r>
      <w:r>
        <w:t xml:space="preserve"> valsts atbalsta instrumentu vairākums – 67% - uzņēmēju uzskata nodokļu atvieglojumus. Kā sekundāras nozīmes atbalsta instrumentus aptaujas dati ļauj identificēt – aizdevumus ar atvieglotiem nosacījumiem</w:t>
      </w:r>
      <w:r w:rsidR="00301331">
        <w:t>, valsts garantijas un grantus valsta atbalsta programmu ietvaros. Savukārt riska kapitāla fondu investīcijas par efektīvu atbalsta instrumentu uzskata tikai neliela daļa uzņēmēju.</w:t>
      </w:r>
    </w:p>
    <w:p w:rsidR="004E3FDC" w:rsidRDefault="004E3FDC" w:rsidP="003866BC">
      <w:pPr>
        <w:spacing w:line="360" w:lineRule="auto"/>
        <w:jc w:val="both"/>
      </w:pPr>
      <w:r w:rsidRPr="009A4AFC">
        <w:rPr>
          <w:noProof/>
          <w:lang w:eastAsia="lv-LV"/>
        </w:rPr>
        <w:drawing>
          <wp:inline distT="0" distB="0" distL="0" distR="0">
            <wp:extent cx="5972175" cy="2724150"/>
            <wp:effectExtent l="0" t="0" r="9525" b="19050"/>
            <wp:docPr id="6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C448B1" w:rsidRDefault="00C448B1" w:rsidP="003866BC">
      <w:pPr>
        <w:spacing w:line="360" w:lineRule="auto"/>
        <w:jc w:val="both"/>
      </w:pPr>
    </w:p>
    <w:p w:rsidR="007D54FA" w:rsidRDefault="00276860" w:rsidP="003866BC">
      <w:pPr>
        <w:spacing w:line="360" w:lineRule="auto"/>
        <w:jc w:val="both"/>
      </w:pPr>
      <w:r>
        <w:t>Kopumā 55% uzņēmēju apgalvo, ka valsts atbalsta instrumentu pieejamība viņus mudinātu palielināt ieguldījumus P&amp;A, kamēr kopumā 23% novērtē, ka šāds atbalsts nebūtu mudinājums ieguldījumiem.</w:t>
      </w:r>
    </w:p>
    <w:p w:rsidR="004E3FDC" w:rsidRDefault="004E3FDC" w:rsidP="003866BC">
      <w:pPr>
        <w:spacing w:line="360" w:lineRule="auto"/>
        <w:jc w:val="both"/>
      </w:pPr>
      <w:r w:rsidRPr="009A4AFC">
        <w:rPr>
          <w:noProof/>
          <w:lang w:eastAsia="lv-LV"/>
        </w:rPr>
        <w:drawing>
          <wp:inline distT="0" distB="0" distL="0" distR="0">
            <wp:extent cx="5972175" cy="2581275"/>
            <wp:effectExtent l="19050" t="0" r="9525" b="0"/>
            <wp:docPr id="5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943E01" w:rsidRDefault="00943E01" w:rsidP="003866BC">
      <w:pPr>
        <w:spacing w:line="360" w:lineRule="auto"/>
        <w:jc w:val="both"/>
      </w:pPr>
      <w:r w:rsidRPr="00943E01">
        <w:lastRenderedPageBreak/>
        <w:t>Valsts atbalsta instrumentu pieejamība salīdzinoši biežāk ir būtisks stimuls palielināt ieguldījumus P&amp;A pēdējo piecu gadu laikā dibinātiem uzņēmumiem (30% šajā mērķa grupā sniedz galēji pozitīvu vērtējumu), kā arī tiem, kuru darbinieku skaits ir lielāks par 50 (26%).</w:t>
      </w:r>
    </w:p>
    <w:p w:rsidR="00922929" w:rsidRDefault="00922929" w:rsidP="003866BC">
      <w:pPr>
        <w:spacing w:line="360" w:lineRule="auto"/>
        <w:jc w:val="both"/>
      </w:pPr>
      <w:r w:rsidRPr="009A4AFC">
        <w:rPr>
          <w:noProof/>
          <w:lang w:eastAsia="lv-LV"/>
        </w:rPr>
        <w:drawing>
          <wp:inline distT="0" distB="0" distL="0" distR="0">
            <wp:extent cx="5972175" cy="5534025"/>
            <wp:effectExtent l="19050" t="0" r="9525" b="0"/>
            <wp:docPr id="4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87319B" w:rsidRDefault="0087319B">
      <w:pPr>
        <w:suppressAutoHyphens w:val="0"/>
        <w:spacing w:after="0"/>
      </w:pPr>
      <w:r>
        <w:br w:type="page"/>
      </w:r>
    </w:p>
    <w:p w:rsidR="0087319B" w:rsidRDefault="00136C00" w:rsidP="003866BC">
      <w:pPr>
        <w:spacing w:line="360" w:lineRule="auto"/>
        <w:jc w:val="both"/>
      </w:pPr>
      <w:r>
        <w:lastRenderedPageBreak/>
        <w:t>Lielāki uzņēmumu ienākuma nodokļa atvieglojumi būtu potenciāli visefektīvākais ieguldījumu P&amp;A veicinātājs – to kā prioritāru izvēli anketā atzīmējuši 55% uzņēmēju. Savukārt 42% par prioritāru novērtējuši mazāku P&amp;A iesaistītā darbaspēka nodokļu slogu.</w:t>
      </w:r>
    </w:p>
    <w:p w:rsidR="007F38CD" w:rsidRDefault="007F38CD" w:rsidP="003866BC">
      <w:pPr>
        <w:spacing w:line="360" w:lineRule="auto"/>
        <w:jc w:val="both"/>
      </w:pPr>
      <w:r w:rsidRPr="009A4AFC">
        <w:rPr>
          <w:noProof/>
          <w:lang w:eastAsia="lv-LV"/>
        </w:rPr>
        <w:drawing>
          <wp:inline distT="0" distB="0" distL="0" distR="0">
            <wp:extent cx="5972175" cy="2514600"/>
            <wp:effectExtent l="0" t="0" r="9525" b="19050"/>
            <wp:docPr id="69"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C24679" w:rsidRDefault="009C433D" w:rsidP="003866BC">
      <w:pPr>
        <w:spacing w:line="360" w:lineRule="auto"/>
        <w:jc w:val="both"/>
      </w:pPr>
      <w:r>
        <w:t xml:space="preserve">Par efektīvāko nodokļu atvieglojumu administrēšanas formu absolūtais vairākums – 78% - uzņēmēju uzskata vienkāršotu uz </w:t>
      </w:r>
      <w:proofErr w:type="spellStart"/>
      <w:r>
        <w:t>pašdeklarēšanās</w:t>
      </w:r>
      <w:proofErr w:type="spellEnd"/>
      <w:r>
        <w:t xml:space="preserve"> principa balstītu.</w:t>
      </w:r>
      <w:r w:rsidR="00153507">
        <w:t xml:space="preserve"> 1/4 par efektīvāko uzskatījuši projekta pieteikšanu pirms realizācijas un izmaksu saskaņošanu ar valsts institūciju.</w:t>
      </w:r>
    </w:p>
    <w:p w:rsidR="007F38CD" w:rsidRDefault="007F38CD" w:rsidP="003866BC">
      <w:pPr>
        <w:spacing w:line="360" w:lineRule="auto"/>
        <w:jc w:val="both"/>
      </w:pPr>
      <w:r w:rsidRPr="009A4AFC">
        <w:rPr>
          <w:noProof/>
          <w:lang w:eastAsia="lv-LV"/>
        </w:rPr>
        <w:drawing>
          <wp:inline distT="0" distB="0" distL="0" distR="0">
            <wp:extent cx="5972175" cy="2647950"/>
            <wp:effectExtent l="0" t="0" r="9525" b="19050"/>
            <wp:docPr id="70"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3866BC" w:rsidRDefault="003866BC" w:rsidP="003866BC">
      <w:pPr>
        <w:spacing w:line="360" w:lineRule="auto"/>
        <w:jc w:val="both"/>
      </w:pPr>
    </w:p>
    <w:p w:rsidR="007477C1" w:rsidRDefault="007477C1">
      <w:pPr>
        <w:tabs>
          <w:tab w:val="center" w:pos="4395"/>
        </w:tabs>
        <w:spacing w:after="0"/>
        <w:jc w:val="center"/>
      </w:pPr>
    </w:p>
    <w:sectPr w:rsidR="007477C1" w:rsidSect="00882685">
      <w:headerReference w:type="even" r:id="rId69"/>
      <w:headerReference w:type="default" r:id="rId70"/>
      <w:footerReference w:type="even" r:id="rId71"/>
      <w:footerReference w:type="default" r:id="rId72"/>
      <w:headerReference w:type="first" r:id="rId73"/>
      <w:footerReference w:type="first" r:id="rId74"/>
      <w:pgSz w:w="12240" w:h="15840"/>
      <w:pgMar w:top="1701" w:right="1134" w:bottom="1134"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79C" w:rsidRDefault="001B579C">
      <w:pPr>
        <w:spacing w:after="0"/>
      </w:pPr>
      <w:r>
        <w:separator/>
      </w:r>
    </w:p>
  </w:endnote>
  <w:endnote w:type="continuationSeparator" w:id="0">
    <w:p w:rsidR="001B579C" w:rsidRDefault="001B57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DINPro-Bold">
    <w:altName w:val="Times New Roman"/>
    <w:charset w:val="00"/>
    <w:family w:val="roman"/>
    <w:pitch w:val="default"/>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YInterstate Light">
    <w:altName w:val="Times New Roman"/>
    <w:charset w:val="BA"/>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1F" w:rsidRDefault="003E2E1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1F" w:rsidRPr="00A71372" w:rsidRDefault="00CE7F88">
    <w:pPr>
      <w:pStyle w:val="Footer"/>
      <w:jc w:val="right"/>
      <w:rPr>
        <w:rFonts w:asciiTheme="minorHAnsi" w:hAnsiTheme="minorHAnsi"/>
      </w:rPr>
    </w:pPr>
    <w:r w:rsidRPr="00A71372">
      <w:rPr>
        <w:rFonts w:asciiTheme="minorHAnsi" w:hAnsiTheme="minorHAnsi" w:cs="Calibri"/>
        <w:sz w:val="18"/>
        <w:szCs w:val="22"/>
      </w:rPr>
      <w:fldChar w:fldCharType="begin"/>
    </w:r>
    <w:r w:rsidR="003E2E1F" w:rsidRPr="00A71372">
      <w:rPr>
        <w:rFonts w:asciiTheme="minorHAnsi" w:hAnsiTheme="minorHAnsi" w:cs="Calibri"/>
        <w:sz w:val="18"/>
        <w:szCs w:val="22"/>
      </w:rPr>
      <w:instrText xml:space="preserve"> PAGE </w:instrText>
    </w:r>
    <w:r w:rsidRPr="00A71372">
      <w:rPr>
        <w:rFonts w:asciiTheme="minorHAnsi" w:hAnsiTheme="minorHAnsi" w:cs="Calibri"/>
        <w:sz w:val="18"/>
        <w:szCs w:val="22"/>
      </w:rPr>
      <w:fldChar w:fldCharType="separate"/>
    </w:r>
    <w:r w:rsidR="00842E52">
      <w:rPr>
        <w:rFonts w:asciiTheme="minorHAnsi" w:hAnsiTheme="minorHAnsi" w:cs="Calibri"/>
        <w:noProof/>
        <w:sz w:val="18"/>
        <w:szCs w:val="22"/>
      </w:rPr>
      <w:t>45</w:t>
    </w:r>
    <w:r w:rsidRPr="00A71372">
      <w:rPr>
        <w:rFonts w:asciiTheme="minorHAnsi" w:hAnsiTheme="minorHAnsi" w:cs="Calibri"/>
        <w:sz w:val="18"/>
        <w:szCs w:val="22"/>
      </w:rPr>
      <w:fldChar w:fldCharType="end"/>
    </w:r>
  </w:p>
  <w:p w:rsidR="003E2E1F" w:rsidRDefault="003E2E1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1F" w:rsidRDefault="003E2E1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79C" w:rsidRDefault="001B579C">
      <w:pPr>
        <w:spacing w:after="0"/>
      </w:pPr>
      <w:r>
        <w:separator/>
      </w:r>
    </w:p>
  </w:footnote>
  <w:footnote w:type="continuationSeparator" w:id="0">
    <w:p w:rsidR="001B579C" w:rsidRDefault="001B579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1F" w:rsidRDefault="003E2E1F">
    <w:pPr>
      <w:pStyle w:val="Header"/>
      <w:rPr>
        <w:lang w:val="lv-LV"/>
      </w:rPr>
    </w:pPr>
  </w:p>
  <w:p w:rsidR="003E2E1F" w:rsidRDefault="003E2E1F">
    <w:pPr>
      <w:pStyle w:val="Header"/>
      <w:rPr>
        <w:lang w:val="lv-LV"/>
      </w:rPr>
    </w:pPr>
  </w:p>
  <w:p w:rsidR="003E2E1F" w:rsidRDefault="003E2E1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1F" w:rsidRDefault="003E2E1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1F" w:rsidRDefault="003E2E1F">
    <w:pPr>
      <w:pStyle w:val="Header"/>
      <w:ind w:left="-1260"/>
    </w:pPr>
  </w:p>
  <w:p w:rsidR="003E2E1F" w:rsidRDefault="003E2E1F">
    <w:pPr>
      <w:pStyle w:val="Header"/>
      <w:ind w:left="-1260"/>
    </w:pPr>
  </w:p>
  <w:p w:rsidR="003E2E1F" w:rsidRDefault="003E2E1F">
    <w:pPr>
      <w:pStyle w:val="Header"/>
      <w:ind w:left="-1260"/>
      <w:rPr>
        <w:lang w:val="lv-LV"/>
      </w:rPr>
    </w:pPr>
    <w:r>
      <w:rPr>
        <w:noProof/>
        <w:lang w:val="lv-LV" w:eastAsia="lv-LV"/>
      </w:rPr>
      <w:drawing>
        <wp:anchor distT="0" distB="0" distL="114935" distR="114935" simplePos="0" relativeHeight="251657216" behindDoc="1" locked="0" layoutInCell="1" allowOverlap="1">
          <wp:simplePos x="0" y="0"/>
          <wp:positionH relativeFrom="column">
            <wp:posOffset>4103370</wp:posOffset>
          </wp:positionH>
          <wp:positionV relativeFrom="paragraph">
            <wp:posOffset>68580</wp:posOffset>
          </wp:positionV>
          <wp:extent cx="942975" cy="418465"/>
          <wp:effectExtent l="0" t="0" r="952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418465"/>
                  </a:xfrm>
                  <a:prstGeom prst="rect">
                    <a:avLst/>
                  </a:prstGeom>
                  <a:solidFill>
                    <a:srgbClr val="FFFFFF"/>
                  </a:solidFill>
                  <a:ln>
                    <a:noFill/>
                  </a:ln>
                </pic:spPr>
              </pic:pic>
            </a:graphicData>
          </a:graphic>
        </wp:anchor>
      </w:drawing>
    </w:r>
    <w:r>
      <w:rPr>
        <w:noProof/>
        <w:lang w:val="lv-LV" w:eastAsia="lv-LV"/>
      </w:rPr>
      <w:drawing>
        <wp:anchor distT="0" distB="0" distL="114935" distR="114935" simplePos="0" relativeHeight="251658240" behindDoc="0" locked="0" layoutInCell="1" allowOverlap="1">
          <wp:simplePos x="0" y="0"/>
          <wp:positionH relativeFrom="column">
            <wp:posOffset>5215255</wp:posOffset>
          </wp:positionH>
          <wp:positionV relativeFrom="paragraph">
            <wp:posOffset>68580</wp:posOffset>
          </wp:positionV>
          <wp:extent cx="990600" cy="494665"/>
          <wp:effectExtent l="0" t="0" r="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600" cy="494665"/>
                  </a:xfrm>
                  <a:prstGeom prst="rect">
                    <a:avLst/>
                  </a:prstGeom>
                  <a:solidFill>
                    <a:srgbClr val="FFFFFF"/>
                  </a:solidFill>
                  <a:ln>
                    <a:noFill/>
                  </a:ln>
                </pic:spPr>
              </pic:pic>
            </a:graphicData>
          </a:graphic>
        </wp:anchor>
      </w:drawing>
    </w:r>
  </w:p>
  <w:p w:rsidR="003E2E1F" w:rsidRDefault="003E2E1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1F" w:rsidRDefault="003E2E1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0"/>
        </w:tabs>
        <w:ind w:left="720" w:hanging="360"/>
      </w:pPr>
    </w:lvl>
    <w:lvl w:ilvl="1">
      <w:start w:val="1"/>
      <w:numFmt w:val="decimal"/>
      <w:pStyle w:val="Heading2"/>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0000002"/>
    <w:multiLevelType w:val="multilevel"/>
    <w:tmpl w:val="00000002"/>
    <w:name w:val="WW8Num3"/>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000003"/>
    <w:multiLevelType w:val="multilevel"/>
    <w:tmpl w:val="00000003"/>
    <w:name w:val="WW8Num7"/>
    <w:lvl w:ilvl="0">
      <w:start w:val="1"/>
      <w:numFmt w:val="decimal"/>
      <w:pStyle w:val="Punkts"/>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3">
    <w:nsid w:val="00000004"/>
    <w:multiLevelType w:val="multilevel"/>
    <w:tmpl w:val="00000004"/>
    <w:name w:val="WW8Num9"/>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00000005"/>
    <w:multiLevelType w:val="singleLevel"/>
    <w:tmpl w:val="00000005"/>
    <w:name w:val="WW8Num15"/>
    <w:lvl w:ilvl="0">
      <w:start w:val="1"/>
      <w:numFmt w:val="decimal"/>
      <w:pStyle w:val="Heading4"/>
      <w:lvlText w:val="1.4.1.%1."/>
      <w:lvlJc w:val="left"/>
      <w:pPr>
        <w:tabs>
          <w:tab w:val="num" w:pos="0"/>
        </w:tabs>
        <w:ind w:left="720" w:hanging="360"/>
      </w:pPr>
    </w:lvl>
  </w:abstractNum>
  <w:abstractNum w:abstractNumId="5">
    <w:nsid w:val="00000006"/>
    <w:multiLevelType w:val="multilevel"/>
    <w:tmpl w:val="00000006"/>
    <w:name w:val="WW8Num1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nsid w:val="00000007"/>
    <w:multiLevelType w:val="multilevel"/>
    <w:tmpl w:val="00000007"/>
    <w:name w:val="WW8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multilevel"/>
    <w:tmpl w:val="00000008"/>
    <w:name w:val="WW8Num1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00000009"/>
    <w:multiLevelType w:val="multilevel"/>
    <w:tmpl w:val="00000009"/>
    <w:name w:val="WW8Num2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nsid w:val="0000000A"/>
    <w:multiLevelType w:val="multilevel"/>
    <w:tmpl w:val="0000000A"/>
    <w:name w:val="WW8Num2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nsid w:val="0000000B"/>
    <w:multiLevelType w:val="multilevel"/>
    <w:tmpl w:val="0000000B"/>
    <w:name w:val="WW8Num28"/>
    <w:lvl w:ilvl="0">
      <w:start w:val="3"/>
      <w:numFmt w:val="decimal"/>
      <w:pStyle w:val="Heading3"/>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sz w:val="22"/>
      </w:rPr>
    </w:lvl>
    <w:lvl w:ilvl="2">
      <w:start w:val="1"/>
      <w:numFmt w:val="decimal"/>
      <w:lvlText w:val="%1.%2.%3."/>
      <w:lvlJc w:val="left"/>
      <w:pPr>
        <w:tabs>
          <w:tab w:val="num" w:pos="0"/>
        </w:tabs>
        <w:ind w:left="2564"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1">
    <w:nsid w:val="0000000C"/>
    <w:multiLevelType w:val="singleLevel"/>
    <w:tmpl w:val="0000000C"/>
    <w:name w:val="WW8Num29"/>
    <w:lvl w:ilvl="0">
      <w:start w:val="1"/>
      <w:numFmt w:val="bullet"/>
      <w:lvlText w:val=""/>
      <w:lvlJc w:val="left"/>
      <w:pPr>
        <w:tabs>
          <w:tab w:val="num" w:pos="0"/>
        </w:tabs>
        <w:ind w:left="1080" w:hanging="360"/>
      </w:pPr>
      <w:rPr>
        <w:rFonts w:ascii="Symbol" w:hAnsi="Symbol" w:cs="Symbol"/>
      </w:rPr>
    </w:lvl>
  </w:abstractNum>
  <w:abstractNum w:abstractNumId="12">
    <w:nsid w:val="0000000D"/>
    <w:multiLevelType w:val="singleLevel"/>
    <w:tmpl w:val="0000000D"/>
    <w:name w:val="WW8Num35"/>
    <w:lvl w:ilvl="0">
      <w:start w:val="1"/>
      <w:numFmt w:val="decimal"/>
      <w:lvlText w:val="%1."/>
      <w:lvlJc w:val="left"/>
      <w:pPr>
        <w:tabs>
          <w:tab w:val="num" w:pos="0"/>
        </w:tabs>
        <w:ind w:left="720" w:hanging="360"/>
      </w:pPr>
    </w:lvl>
  </w:abstractNum>
  <w:abstractNum w:abstractNumId="13">
    <w:nsid w:val="19091471"/>
    <w:multiLevelType w:val="hybridMultilevel"/>
    <w:tmpl w:val="C0564414"/>
    <w:lvl w:ilvl="0" w:tplc="B0567A6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DC2EDD"/>
    <w:rsid w:val="000050BA"/>
    <w:rsid w:val="00007A89"/>
    <w:rsid w:val="00031562"/>
    <w:rsid w:val="0004341F"/>
    <w:rsid w:val="0005320D"/>
    <w:rsid w:val="000622C6"/>
    <w:rsid w:val="000739F0"/>
    <w:rsid w:val="00083A60"/>
    <w:rsid w:val="00090DB2"/>
    <w:rsid w:val="000A5D76"/>
    <w:rsid w:val="000C2385"/>
    <w:rsid w:val="000C74EF"/>
    <w:rsid w:val="000D0FF4"/>
    <w:rsid w:val="000D5DA6"/>
    <w:rsid w:val="001001E2"/>
    <w:rsid w:val="00101EAC"/>
    <w:rsid w:val="00110BC2"/>
    <w:rsid w:val="001130F2"/>
    <w:rsid w:val="0012233A"/>
    <w:rsid w:val="00132BFC"/>
    <w:rsid w:val="00136C00"/>
    <w:rsid w:val="0014042E"/>
    <w:rsid w:val="00143BE3"/>
    <w:rsid w:val="00145588"/>
    <w:rsid w:val="00153507"/>
    <w:rsid w:val="001556A5"/>
    <w:rsid w:val="00155E33"/>
    <w:rsid w:val="001567DA"/>
    <w:rsid w:val="00187F7B"/>
    <w:rsid w:val="00191909"/>
    <w:rsid w:val="00193271"/>
    <w:rsid w:val="00196919"/>
    <w:rsid w:val="001B10F5"/>
    <w:rsid w:val="001B579C"/>
    <w:rsid w:val="001E0D4C"/>
    <w:rsid w:val="001E4BC2"/>
    <w:rsid w:val="00213E23"/>
    <w:rsid w:val="00220981"/>
    <w:rsid w:val="00225696"/>
    <w:rsid w:val="00234512"/>
    <w:rsid w:val="00235ECA"/>
    <w:rsid w:val="0023618A"/>
    <w:rsid w:val="00251BCF"/>
    <w:rsid w:val="0025386C"/>
    <w:rsid w:val="002562F0"/>
    <w:rsid w:val="00263D12"/>
    <w:rsid w:val="00266B93"/>
    <w:rsid w:val="00267CEC"/>
    <w:rsid w:val="002707A8"/>
    <w:rsid w:val="00270D5C"/>
    <w:rsid w:val="0027537D"/>
    <w:rsid w:val="00276236"/>
    <w:rsid w:val="00276860"/>
    <w:rsid w:val="00276886"/>
    <w:rsid w:val="00277AD9"/>
    <w:rsid w:val="002829F7"/>
    <w:rsid w:val="0028363D"/>
    <w:rsid w:val="00283909"/>
    <w:rsid w:val="00284E4D"/>
    <w:rsid w:val="00286AB2"/>
    <w:rsid w:val="002A4D2A"/>
    <w:rsid w:val="002A5A3D"/>
    <w:rsid w:val="002B75CC"/>
    <w:rsid w:val="002C4A58"/>
    <w:rsid w:val="002D0E4B"/>
    <w:rsid w:val="002F6827"/>
    <w:rsid w:val="00301331"/>
    <w:rsid w:val="0032257E"/>
    <w:rsid w:val="00323612"/>
    <w:rsid w:val="00342AEE"/>
    <w:rsid w:val="00345D8B"/>
    <w:rsid w:val="003516FA"/>
    <w:rsid w:val="00351A17"/>
    <w:rsid w:val="00357B73"/>
    <w:rsid w:val="00370332"/>
    <w:rsid w:val="00370637"/>
    <w:rsid w:val="00377009"/>
    <w:rsid w:val="003866BC"/>
    <w:rsid w:val="0038763B"/>
    <w:rsid w:val="003926AB"/>
    <w:rsid w:val="00392E48"/>
    <w:rsid w:val="003954B0"/>
    <w:rsid w:val="00395CD1"/>
    <w:rsid w:val="003B62B2"/>
    <w:rsid w:val="003C1B79"/>
    <w:rsid w:val="003C4EDD"/>
    <w:rsid w:val="003E2E1F"/>
    <w:rsid w:val="003F35E4"/>
    <w:rsid w:val="003F4B10"/>
    <w:rsid w:val="00415719"/>
    <w:rsid w:val="0041645A"/>
    <w:rsid w:val="004365EC"/>
    <w:rsid w:val="00440956"/>
    <w:rsid w:val="00443C52"/>
    <w:rsid w:val="00460336"/>
    <w:rsid w:val="00465E34"/>
    <w:rsid w:val="0046700F"/>
    <w:rsid w:val="004854ED"/>
    <w:rsid w:val="004962FA"/>
    <w:rsid w:val="00496817"/>
    <w:rsid w:val="004B1E8E"/>
    <w:rsid w:val="004B219F"/>
    <w:rsid w:val="004B24BC"/>
    <w:rsid w:val="004B4997"/>
    <w:rsid w:val="004B4F2B"/>
    <w:rsid w:val="004B59D7"/>
    <w:rsid w:val="004C0269"/>
    <w:rsid w:val="004C7232"/>
    <w:rsid w:val="004D35A3"/>
    <w:rsid w:val="004D699A"/>
    <w:rsid w:val="004D6E1F"/>
    <w:rsid w:val="004E0665"/>
    <w:rsid w:val="004E3FDC"/>
    <w:rsid w:val="004E6808"/>
    <w:rsid w:val="005014DB"/>
    <w:rsid w:val="00506816"/>
    <w:rsid w:val="0050773D"/>
    <w:rsid w:val="005265C9"/>
    <w:rsid w:val="005359B9"/>
    <w:rsid w:val="0053666D"/>
    <w:rsid w:val="0054275D"/>
    <w:rsid w:val="00555F98"/>
    <w:rsid w:val="00585D8F"/>
    <w:rsid w:val="00592DA2"/>
    <w:rsid w:val="0059353A"/>
    <w:rsid w:val="005B3785"/>
    <w:rsid w:val="005B6E0C"/>
    <w:rsid w:val="005E521F"/>
    <w:rsid w:val="005F141D"/>
    <w:rsid w:val="005F29C5"/>
    <w:rsid w:val="006043C4"/>
    <w:rsid w:val="00615613"/>
    <w:rsid w:val="00622AC7"/>
    <w:rsid w:val="006271D3"/>
    <w:rsid w:val="00627ACE"/>
    <w:rsid w:val="00633367"/>
    <w:rsid w:val="00655917"/>
    <w:rsid w:val="006668CD"/>
    <w:rsid w:val="00671B19"/>
    <w:rsid w:val="00676AA6"/>
    <w:rsid w:val="00680FBB"/>
    <w:rsid w:val="006A11E7"/>
    <w:rsid w:val="006C626E"/>
    <w:rsid w:val="006D614E"/>
    <w:rsid w:val="006D6B56"/>
    <w:rsid w:val="006E390F"/>
    <w:rsid w:val="006E6A79"/>
    <w:rsid w:val="006E6FC2"/>
    <w:rsid w:val="006F1198"/>
    <w:rsid w:val="006F1444"/>
    <w:rsid w:val="006F2356"/>
    <w:rsid w:val="00703699"/>
    <w:rsid w:val="00703F4D"/>
    <w:rsid w:val="0071120A"/>
    <w:rsid w:val="007162B8"/>
    <w:rsid w:val="0072291B"/>
    <w:rsid w:val="00727FB1"/>
    <w:rsid w:val="00747748"/>
    <w:rsid w:val="007477C1"/>
    <w:rsid w:val="0075019E"/>
    <w:rsid w:val="00753DF0"/>
    <w:rsid w:val="00766177"/>
    <w:rsid w:val="00784CE5"/>
    <w:rsid w:val="0079272B"/>
    <w:rsid w:val="00795806"/>
    <w:rsid w:val="007971E5"/>
    <w:rsid w:val="007A1195"/>
    <w:rsid w:val="007A2FE0"/>
    <w:rsid w:val="007C0357"/>
    <w:rsid w:val="007C1214"/>
    <w:rsid w:val="007C319E"/>
    <w:rsid w:val="007D0931"/>
    <w:rsid w:val="007D0A04"/>
    <w:rsid w:val="007D54FA"/>
    <w:rsid w:val="007F2B3C"/>
    <w:rsid w:val="007F31AD"/>
    <w:rsid w:val="007F38CD"/>
    <w:rsid w:val="007F6A19"/>
    <w:rsid w:val="00812923"/>
    <w:rsid w:val="00814745"/>
    <w:rsid w:val="00821E6C"/>
    <w:rsid w:val="00823FCE"/>
    <w:rsid w:val="0082554C"/>
    <w:rsid w:val="008332F1"/>
    <w:rsid w:val="008379D8"/>
    <w:rsid w:val="00842E52"/>
    <w:rsid w:val="00844FCC"/>
    <w:rsid w:val="008551B0"/>
    <w:rsid w:val="00855FB4"/>
    <w:rsid w:val="00867C99"/>
    <w:rsid w:val="0087319B"/>
    <w:rsid w:val="00873DF2"/>
    <w:rsid w:val="00882685"/>
    <w:rsid w:val="008839EC"/>
    <w:rsid w:val="008927D9"/>
    <w:rsid w:val="008958E8"/>
    <w:rsid w:val="00897959"/>
    <w:rsid w:val="008A24D3"/>
    <w:rsid w:val="008A6ABA"/>
    <w:rsid w:val="008A7B94"/>
    <w:rsid w:val="008B3042"/>
    <w:rsid w:val="008B5AC1"/>
    <w:rsid w:val="008C733F"/>
    <w:rsid w:val="008D6DB1"/>
    <w:rsid w:val="008E4BAB"/>
    <w:rsid w:val="008F37B5"/>
    <w:rsid w:val="008F5628"/>
    <w:rsid w:val="008F6F38"/>
    <w:rsid w:val="009023E2"/>
    <w:rsid w:val="00915A80"/>
    <w:rsid w:val="00922929"/>
    <w:rsid w:val="009276CF"/>
    <w:rsid w:val="00935A82"/>
    <w:rsid w:val="00943E01"/>
    <w:rsid w:val="00945FD3"/>
    <w:rsid w:val="00946516"/>
    <w:rsid w:val="009512C8"/>
    <w:rsid w:val="00955F96"/>
    <w:rsid w:val="009619DD"/>
    <w:rsid w:val="0096768D"/>
    <w:rsid w:val="009703C2"/>
    <w:rsid w:val="009770AA"/>
    <w:rsid w:val="00987BBB"/>
    <w:rsid w:val="009A4FED"/>
    <w:rsid w:val="009A6EBE"/>
    <w:rsid w:val="009B02EF"/>
    <w:rsid w:val="009C433D"/>
    <w:rsid w:val="009C62FD"/>
    <w:rsid w:val="009D3041"/>
    <w:rsid w:val="009D5A9D"/>
    <w:rsid w:val="009E243F"/>
    <w:rsid w:val="009E7B4E"/>
    <w:rsid w:val="00A11D9B"/>
    <w:rsid w:val="00A123DD"/>
    <w:rsid w:val="00A12EB7"/>
    <w:rsid w:val="00A13A53"/>
    <w:rsid w:val="00A1720D"/>
    <w:rsid w:val="00A5393C"/>
    <w:rsid w:val="00A53CF5"/>
    <w:rsid w:val="00A555FB"/>
    <w:rsid w:val="00A71372"/>
    <w:rsid w:val="00A8120C"/>
    <w:rsid w:val="00A81C96"/>
    <w:rsid w:val="00A864B1"/>
    <w:rsid w:val="00A8720B"/>
    <w:rsid w:val="00A95475"/>
    <w:rsid w:val="00A973D8"/>
    <w:rsid w:val="00AA04C2"/>
    <w:rsid w:val="00AA2955"/>
    <w:rsid w:val="00AA2963"/>
    <w:rsid w:val="00AA61A6"/>
    <w:rsid w:val="00AC20B7"/>
    <w:rsid w:val="00AD0628"/>
    <w:rsid w:val="00AE2C4B"/>
    <w:rsid w:val="00AF06DB"/>
    <w:rsid w:val="00AF3A2E"/>
    <w:rsid w:val="00B0692A"/>
    <w:rsid w:val="00B1074D"/>
    <w:rsid w:val="00B253F7"/>
    <w:rsid w:val="00B35ADA"/>
    <w:rsid w:val="00B37F18"/>
    <w:rsid w:val="00B419E5"/>
    <w:rsid w:val="00B47371"/>
    <w:rsid w:val="00B51AF1"/>
    <w:rsid w:val="00B620EB"/>
    <w:rsid w:val="00B71591"/>
    <w:rsid w:val="00B823B3"/>
    <w:rsid w:val="00B928CE"/>
    <w:rsid w:val="00BA692A"/>
    <w:rsid w:val="00BC1A14"/>
    <w:rsid w:val="00BD0E0D"/>
    <w:rsid w:val="00BD632C"/>
    <w:rsid w:val="00BE1E48"/>
    <w:rsid w:val="00BE5252"/>
    <w:rsid w:val="00BE56B0"/>
    <w:rsid w:val="00BF430E"/>
    <w:rsid w:val="00C06466"/>
    <w:rsid w:val="00C109AC"/>
    <w:rsid w:val="00C14B10"/>
    <w:rsid w:val="00C23CD0"/>
    <w:rsid w:val="00C24679"/>
    <w:rsid w:val="00C31513"/>
    <w:rsid w:val="00C31E3D"/>
    <w:rsid w:val="00C448B1"/>
    <w:rsid w:val="00C543D9"/>
    <w:rsid w:val="00C555E9"/>
    <w:rsid w:val="00C62F2B"/>
    <w:rsid w:val="00C74887"/>
    <w:rsid w:val="00C85E6F"/>
    <w:rsid w:val="00C8668F"/>
    <w:rsid w:val="00C96AF8"/>
    <w:rsid w:val="00CA5B8B"/>
    <w:rsid w:val="00CA5FBB"/>
    <w:rsid w:val="00CB063F"/>
    <w:rsid w:val="00CB36B2"/>
    <w:rsid w:val="00CC0A23"/>
    <w:rsid w:val="00CC1CA2"/>
    <w:rsid w:val="00CC2493"/>
    <w:rsid w:val="00CD12AB"/>
    <w:rsid w:val="00CE7F88"/>
    <w:rsid w:val="00D00B36"/>
    <w:rsid w:val="00D021E2"/>
    <w:rsid w:val="00D216EE"/>
    <w:rsid w:val="00D2437F"/>
    <w:rsid w:val="00D265FD"/>
    <w:rsid w:val="00D2681E"/>
    <w:rsid w:val="00D316D6"/>
    <w:rsid w:val="00D414F7"/>
    <w:rsid w:val="00D47A9D"/>
    <w:rsid w:val="00D47F56"/>
    <w:rsid w:val="00D52FA0"/>
    <w:rsid w:val="00D544DD"/>
    <w:rsid w:val="00D61442"/>
    <w:rsid w:val="00D61C3C"/>
    <w:rsid w:val="00D74F64"/>
    <w:rsid w:val="00D76A64"/>
    <w:rsid w:val="00D818E8"/>
    <w:rsid w:val="00D90E15"/>
    <w:rsid w:val="00D9513A"/>
    <w:rsid w:val="00DA02D2"/>
    <w:rsid w:val="00DA35B3"/>
    <w:rsid w:val="00DC2EDD"/>
    <w:rsid w:val="00DD245D"/>
    <w:rsid w:val="00DF0EB1"/>
    <w:rsid w:val="00E00A34"/>
    <w:rsid w:val="00E14DD9"/>
    <w:rsid w:val="00E40791"/>
    <w:rsid w:val="00E427B3"/>
    <w:rsid w:val="00E46697"/>
    <w:rsid w:val="00E53349"/>
    <w:rsid w:val="00E54F8B"/>
    <w:rsid w:val="00E64247"/>
    <w:rsid w:val="00E64EC5"/>
    <w:rsid w:val="00E7307A"/>
    <w:rsid w:val="00E86EF9"/>
    <w:rsid w:val="00E92834"/>
    <w:rsid w:val="00E948D8"/>
    <w:rsid w:val="00EA2220"/>
    <w:rsid w:val="00EA2B73"/>
    <w:rsid w:val="00EA3DEF"/>
    <w:rsid w:val="00EA7B91"/>
    <w:rsid w:val="00EC47C2"/>
    <w:rsid w:val="00ED3CD3"/>
    <w:rsid w:val="00EE110A"/>
    <w:rsid w:val="00EF1868"/>
    <w:rsid w:val="00F1593A"/>
    <w:rsid w:val="00F33BC4"/>
    <w:rsid w:val="00F448E1"/>
    <w:rsid w:val="00F44D0A"/>
    <w:rsid w:val="00F477DE"/>
    <w:rsid w:val="00F630DD"/>
    <w:rsid w:val="00F64317"/>
    <w:rsid w:val="00F662E3"/>
    <w:rsid w:val="00F66420"/>
    <w:rsid w:val="00F73039"/>
    <w:rsid w:val="00F823CE"/>
    <w:rsid w:val="00F82DAD"/>
    <w:rsid w:val="00F91D60"/>
    <w:rsid w:val="00F936EC"/>
    <w:rsid w:val="00F93731"/>
    <w:rsid w:val="00FA61E3"/>
    <w:rsid w:val="00FA7829"/>
    <w:rsid w:val="00FB13F6"/>
    <w:rsid w:val="00FB3A9B"/>
    <w:rsid w:val="00FC3EF5"/>
    <w:rsid w:val="00FD130A"/>
    <w:rsid w:val="00FD2B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882685"/>
    <w:pPr>
      <w:suppressAutoHyphens/>
      <w:spacing w:after="120"/>
    </w:pPr>
    <w:rPr>
      <w:rFonts w:ascii="Calibri" w:hAnsi="Calibri"/>
      <w:sz w:val="22"/>
      <w:szCs w:val="22"/>
      <w:lang w:eastAsia="ar-SA"/>
    </w:rPr>
  </w:style>
  <w:style w:type="paragraph" w:styleId="Heading1">
    <w:name w:val="heading 1"/>
    <w:basedOn w:val="Normal"/>
    <w:next w:val="Normal"/>
    <w:qFormat/>
    <w:rsid w:val="00882685"/>
    <w:pPr>
      <w:keepNext/>
      <w:widowControl w:val="0"/>
      <w:numPr>
        <w:numId w:val="1"/>
      </w:numPr>
      <w:tabs>
        <w:tab w:val="left" w:pos="284"/>
      </w:tabs>
      <w:snapToGrid w:val="0"/>
      <w:ind w:left="0" w:firstLine="0"/>
      <w:jc w:val="center"/>
      <w:outlineLvl w:val="0"/>
    </w:pPr>
    <w:rPr>
      <w:rFonts w:eastAsia="Calibri"/>
      <w:b/>
      <w:caps/>
      <w:sz w:val="28"/>
      <w:szCs w:val="20"/>
    </w:rPr>
  </w:style>
  <w:style w:type="paragraph" w:styleId="Heading2">
    <w:name w:val="heading 2"/>
    <w:basedOn w:val="Normal"/>
    <w:next w:val="Normal"/>
    <w:qFormat/>
    <w:rsid w:val="00882685"/>
    <w:pPr>
      <w:keepNext/>
      <w:numPr>
        <w:ilvl w:val="1"/>
        <w:numId w:val="1"/>
      </w:numPr>
      <w:ind w:left="0" w:firstLine="0"/>
      <w:jc w:val="center"/>
      <w:outlineLvl w:val="1"/>
    </w:pPr>
    <w:rPr>
      <w:b/>
      <w:sz w:val="24"/>
      <w:szCs w:val="20"/>
    </w:rPr>
  </w:style>
  <w:style w:type="paragraph" w:styleId="Heading3">
    <w:name w:val="heading 3"/>
    <w:basedOn w:val="Normal"/>
    <w:next w:val="Normal"/>
    <w:qFormat/>
    <w:rsid w:val="00882685"/>
    <w:pPr>
      <w:keepNext/>
      <w:keepLines/>
      <w:numPr>
        <w:numId w:val="11"/>
      </w:numPr>
      <w:jc w:val="center"/>
      <w:outlineLvl w:val="2"/>
    </w:pPr>
    <w:rPr>
      <w:rFonts w:eastAsia="Calibri"/>
      <w:b/>
      <w:bCs/>
    </w:rPr>
  </w:style>
  <w:style w:type="paragraph" w:styleId="Heading4">
    <w:name w:val="heading 4"/>
    <w:basedOn w:val="Normal"/>
    <w:next w:val="Normal"/>
    <w:qFormat/>
    <w:rsid w:val="00882685"/>
    <w:pPr>
      <w:keepNext/>
      <w:numPr>
        <w:numId w:val="5"/>
      </w:numPr>
      <w:jc w:val="center"/>
      <w:outlineLvl w:val="3"/>
    </w:pPr>
    <w:rPr>
      <w:rFonts w:eastAsia="Calibri"/>
      <w:b/>
      <w:szCs w:val="20"/>
    </w:rPr>
  </w:style>
  <w:style w:type="paragraph" w:styleId="Heading6">
    <w:name w:val="heading 6"/>
    <w:basedOn w:val="Normal"/>
    <w:next w:val="Normal"/>
    <w:qFormat/>
    <w:rsid w:val="00882685"/>
    <w:pPr>
      <w:spacing w:before="240" w:after="60"/>
      <w:outlineLvl w:val="5"/>
    </w:pPr>
    <w:rPr>
      <w:rFonts w:ascii="Times New Roman" w:eastAsia="Calibri" w:hAnsi="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882685"/>
    <w:rPr>
      <w:rFonts w:ascii="Symbol" w:hAnsi="Symbol" w:cs="Symbol"/>
    </w:rPr>
  </w:style>
  <w:style w:type="character" w:customStyle="1" w:styleId="WW8Num2z1">
    <w:name w:val="WW8Num2z1"/>
    <w:rsid w:val="00882685"/>
    <w:rPr>
      <w:rFonts w:ascii="Courier New" w:hAnsi="Courier New" w:cs="Courier New"/>
    </w:rPr>
  </w:style>
  <w:style w:type="character" w:customStyle="1" w:styleId="WW8Num2z2">
    <w:name w:val="WW8Num2z2"/>
    <w:rsid w:val="00882685"/>
    <w:rPr>
      <w:rFonts w:ascii="Wingdings" w:hAnsi="Wingdings" w:cs="Wingdings"/>
    </w:rPr>
  </w:style>
  <w:style w:type="character" w:customStyle="1" w:styleId="WW8Num7z0">
    <w:name w:val="WW8Num7z0"/>
    <w:rsid w:val="00882685"/>
    <w:rPr>
      <w:rFonts w:cs="Times New Roman"/>
    </w:rPr>
  </w:style>
  <w:style w:type="character" w:customStyle="1" w:styleId="WW8Num11z0">
    <w:name w:val="WW8Num11z0"/>
    <w:rsid w:val="00882685"/>
    <w:rPr>
      <w:rFonts w:ascii="Calibri" w:eastAsia="Times New Roman" w:hAnsi="Calibri" w:cs="Times New Roman"/>
    </w:rPr>
  </w:style>
  <w:style w:type="character" w:customStyle="1" w:styleId="WW8Num11z1">
    <w:name w:val="WW8Num11z1"/>
    <w:rsid w:val="00882685"/>
    <w:rPr>
      <w:rFonts w:ascii="Courier New" w:hAnsi="Courier New" w:cs="Courier New"/>
    </w:rPr>
  </w:style>
  <w:style w:type="character" w:customStyle="1" w:styleId="WW8Num11z2">
    <w:name w:val="WW8Num11z2"/>
    <w:rsid w:val="00882685"/>
    <w:rPr>
      <w:rFonts w:ascii="Wingdings" w:hAnsi="Wingdings" w:cs="Wingdings"/>
    </w:rPr>
  </w:style>
  <w:style w:type="character" w:customStyle="1" w:styleId="WW8Num11z3">
    <w:name w:val="WW8Num11z3"/>
    <w:rsid w:val="00882685"/>
    <w:rPr>
      <w:rFonts w:ascii="Symbol" w:hAnsi="Symbol" w:cs="Symbol"/>
    </w:rPr>
  </w:style>
  <w:style w:type="character" w:customStyle="1" w:styleId="WW8Num13z0">
    <w:name w:val="WW8Num13z0"/>
    <w:rsid w:val="00882685"/>
    <w:rPr>
      <w:rFonts w:ascii="Symbol" w:hAnsi="Symbol" w:cs="Symbol"/>
    </w:rPr>
  </w:style>
  <w:style w:type="character" w:customStyle="1" w:styleId="WW8Num13z1">
    <w:name w:val="WW8Num13z1"/>
    <w:rsid w:val="00882685"/>
    <w:rPr>
      <w:rFonts w:ascii="Courier New" w:hAnsi="Courier New" w:cs="Courier New"/>
    </w:rPr>
  </w:style>
  <w:style w:type="character" w:customStyle="1" w:styleId="WW8Num13z2">
    <w:name w:val="WW8Num13z2"/>
    <w:rsid w:val="00882685"/>
    <w:rPr>
      <w:rFonts w:ascii="Wingdings" w:hAnsi="Wingdings" w:cs="Wingdings"/>
    </w:rPr>
  </w:style>
  <w:style w:type="character" w:customStyle="1" w:styleId="WW8Num21z0">
    <w:name w:val="WW8Num21z0"/>
    <w:rsid w:val="00882685"/>
    <w:rPr>
      <w:rFonts w:ascii="Calibri" w:eastAsia="Times New Roman" w:hAnsi="Calibri" w:cs="Times New Roman"/>
    </w:rPr>
  </w:style>
  <w:style w:type="character" w:customStyle="1" w:styleId="WW8Num23z0">
    <w:name w:val="WW8Num23z0"/>
    <w:rsid w:val="00882685"/>
    <w:rPr>
      <w:rFonts w:ascii="Times New Roman" w:eastAsia="Times New Roman" w:hAnsi="Times New Roman" w:cs="Times New Roman"/>
    </w:rPr>
  </w:style>
  <w:style w:type="character" w:customStyle="1" w:styleId="WW8Num23z1">
    <w:name w:val="WW8Num23z1"/>
    <w:rsid w:val="00882685"/>
    <w:rPr>
      <w:rFonts w:ascii="Courier New" w:hAnsi="Courier New" w:cs="Courier New"/>
    </w:rPr>
  </w:style>
  <w:style w:type="character" w:customStyle="1" w:styleId="WW8Num23z2">
    <w:name w:val="WW8Num23z2"/>
    <w:rsid w:val="00882685"/>
    <w:rPr>
      <w:rFonts w:ascii="Wingdings" w:hAnsi="Wingdings" w:cs="Wingdings"/>
    </w:rPr>
  </w:style>
  <w:style w:type="character" w:customStyle="1" w:styleId="WW8Num23z3">
    <w:name w:val="WW8Num23z3"/>
    <w:rsid w:val="00882685"/>
    <w:rPr>
      <w:rFonts w:ascii="Symbol" w:hAnsi="Symbol" w:cs="Symbol"/>
    </w:rPr>
  </w:style>
  <w:style w:type="character" w:customStyle="1" w:styleId="WW8Num26z0">
    <w:name w:val="WW8Num26z0"/>
    <w:rsid w:val="00882685"/>
    <w:rPr>
      <w:rFonts w:ascii="Times New Roman" w:hAnsi="Times New Roman" w:cs="Times New Roman"/>
    </w:rPr>
  </w:style>
  <w:style w:type="character" w:customStyle="1" w:styleId="WW8Num26z1">
    <w:name w:val="WW8Num26z1"/>
    <w:rsid w:val="00882685"/>
    <w:rPr>
      <w:rFonts w:ascii="Courier New" w:hAnsi="Courier New" w:cs="Courier New"/>
    </w:rPr>
  </w:style>
  <w:style w:type="character" w:customStyle="1" w:styleId="WW8Num26z2">
    <w:name w:val="WW8Num26z2"/>
    <w:rsid w:val="00882685"/>
    <w:rPr>
      <w:rFonts w:ascii="Wingdings" w:hAnsi="Wingdings" w:cs="Wingdings"/>
    </w:rPr>
  </w:style>
  <w:style w:type="character" w:customStyle="1" w:styleId="WW8Num26z3">
    <w:name w:val="WW8Num26z3"/>
    <w:rsid w:val="00882685"/>
    <w:rPr>
      <w:rFonts w:ascii="Symbol" w:hAnsi="Symbol" w:cs="Symbol"/>
    </w:rPr>
  </w:style>
  <w:style w:type="character" w:customStyle="1" w:styleId="WW8Num28z0">
    <w:name w:val="WW8Num28z0"/>
    <w:rsid w:val="00882685"/>
    <w:rPr>
      <w:rFonts w:cs="Times New Roman"/>
    </w:rPr>
  </w:style>
  <w:style w:type="character" w:customStyle="1" w:styleId="WW8Num28z1">
    <w:name w:val="WW8Num28z1"/>
    <w:rsid w:val="00882685"/>
    <w:rPr>
      <w:rFonts w:cs="Times New Roman"/>
      <w:sz w:val="22"/>
    </w:rPr>
  </w:style>
  <w:style w:type="character" w:customStyle="1" w:styleId="WW8Num29z0">
    <w:name w:val="WW8Num29z0"/>
    <w:rsid w:val="00882685"/>
    <w:rPr>
      <w:rFonts w:ascii="Symbol" w:hAnsi="Symbol" w:cs="Symbol"/>
    </w:rPr>
  </w:style>
  <w:style w:type="character" w:customStyle="1" w:styleId="WW8Num29z1">
    <w:name w:val="WW8Num29z1"/>
    <w:rsid w:val="00882685"/>
    <w:rPr>
      <w:rFonts w:ascii="Courier New" w:hAnsi="Courier New" w:cs="Courier New"/>
    </w:rPr>
  </w:style>
  <w:style w:type="character" w:customStyle="1" w:styleId="WW8Num29z2">
    <w:name w:val="WW8Num29z2"/>
    <w:rsid w:val="00882685"/>
    <w:rPr>
      <w:rFonts w:ascii="Wingdings" w:hAnsi="Wingdings" w:cs="Wingdings"/>
    </w:rPr>
  </w:style>
  <w:style w:type="character" w:customStyle="1" w:styleId="WW8Num43z0">
    <w:name w:val="WW8Num43z0"/>
    <w:rsid w:val="00882685"/>
    <w:rPr>
      <w:rFonts w:ascii="Symbol" w:hAnsi="Symbol" w:cs="Symbol"/>
    </w:rPr>
  </w:style>
  <w:style w:type="character" w:customStyle="1" w:styleId="WW8Num43z1">
    <w:name w:val="WW8Num43z1"/>
    <w:rsid w:val="00882685"/>
    <w:rPr>
      <w:rFonts w:ascii="Courier New" w:hAnsi="Courier New" w:cs="Courier New"/>
    </w:rPr>
  </w:style>
  <w:style w:type="character" w:customStyle="1" w:styleId="WW8Num43z2">
    <w:name w:val="WW8Num43z2"/>
    <w:rsid w:val="00882685"/>
    <w:rPr>
      <w:rFonts w:ascii="Wingdings" w:hAnsi="Wingdings" w:cs="Wingdings"/>
    </w:rPr>
  </w:style>
  <w:style w:type="character" w:customStyle="1" w:styleId="WW8Num44z0">
    <w:name w:val="WW8Num44z0"/>
    <w:rsid w:val="00882685"/>
    <w:rPr>
      <w:rFonts w:ascii="Symbol" w:hAnsi="Symbol" w:cs="Symbol"/>
    </w:rPr>
  </w:style>
  <w:style w:type="character" w:customStyle="1" w:styleId="WW8Num44z1">
    <w:name w:val="WW8Num44z1"/>
    <w:rsid w:val="00882685"/>
    <w:rPr>
      <w:rFonts w:ascii="Courier New" w:hAnsi="Courier New" w:cs="Courier New"/>
    </w:rPr>
  </w:style>
  <w:style w:type="character" w:customStyle="1" w:styleId="WW8Num44z2">
    <w:name w:val="WW8Num44z2"/>
    <w:rsid w:val="00882685"/>
    <w:rPr>
      <w:rFonts w:ascii="Wingdings" w:hAnsi="Wingdings" w:cs="Wingdings"/>
    </w:rPr>
  </w:style>
  <w:style w:type="character" w:customStyle="1" w:styleId="Heading1Char">
    <w:name w:val="Heading 1 Char"/>
    <w:rsid w:val="00882685"/>
    <w:rPr>
      <w:b/>
      <w:caps/>
      <w:sz w:val="28"/>
    </w:rPr>
  </w:style>
  <w:style w:type="character" w:customStyle="1" w:styleId="Heading2Char">
    <w:name w:val="Heading 2 Char"/>
    <w:rsid w:val="00882685"/>
    <w:rPr>
      <w:rFonts w:eastAsia="Times New Roman"/>
      <w:b/>
      <w:sz w:val="24"/>
    </w:rPr>
  </w:style>
  <w:style w:type="character" w:customStyle="1" w:styleId="Heading6Char">
    <w:name w:val="Heading 6 Char"/>
    <w:rsid w:val="00882685"/>
    <w:rPr>
      <w:rFonts w:ascii="Times New Roman" w:hAnsi="Times New Roman" w:cs="Times New Roman"/>
      <w:b/>
      <w:sz w:val="22"/>
    </w:rPr>
  </w:style>
  <w:style w:type="character" w:customStyle="1" w:styleId="HeaderChar">
    <w:name w:val="Header Char"/>
    <w:rsid w:val="00882685"/>
    <w:rPr>
      <w:rFonts w:ascii="Times New Roman" w:hAnsi="Times New Roman" w:cs="Times New Roman"/>
      <w:sz w:val="24"/>
      <w:lang w:val="en-US"/>
    </w:rPr>
  </w:style>
  <w:style w:type="character" w:customStyle="1" w:styleId="FooterChar">
    <w:name w:val="Footer Char"/>
    <w:rsid w:val="00882685"/>
    <w:rPr>
      <w:rFonts w:ascii="Times New Roman" w:hAnsi="Times New Roman" w:cs="Times New Roman"/>
      <w:sz w:val="24"/>
      <w:lang w:val="en-US"/>
    </w:rPr>
  </w:style>
  <w:style w:type="character" w:customStyle="1" w:styleId="ApakpunktsChar">
    <w:name w:val="Apakšpunkts Char"/>
    <w:rsid w:val="00882685"/>
    <w:rPr>
      <w:rFonts w:ascii="Arial" w:hAnsi="Arial" w:cs="Arial"/>
      <w:b/>
    </w:rPr>
  </w:style>
  <w:style w:type="character" w:styleId="Hyperlink">
    <w:name w:val="Hyperlink"/>
    <w:uiPriority w:val="99"/>
    <w:rsid w:val="00882685"/>
    <w:rPr>
      <w:color w:val="0000FF"/>
      <w:u w:val="single"/>
    </w:rPr>
  </w:style>
  <w:style w:type="character" w:customStyle="1" w:styleId="BodyTextChar">
    <w:name w:val="Body Text Char"/>
    <w:rsid w:val="00882685"/>
    <w:rPr>
      <w:rFonts w:ascii="Times New Roman" w:hAnsi="Times New Roman" w:cs="Times New Roman"/>
      <w:sz w:val="24"/>
    </w:rPr>
  </w:style>
  <w:style w:type="character" w:customStyle="1" w:styleId="apple-style-span">
    <w:name w:val="apple-style-span"/>
    <w:rsid w:val="00882685"/>
    <w:rPr>
      <w:rFonts w:cs="Times New Roman"/>
    </w:rPr>
  </w:style>
  <w:style w:type="character" w:styleId="Strong">
    <w:name w:val="Strong"/>
    <w:qFormat/>
    <w:rsid w:val="00882685"/>
    <w:rPr>
      <w:b/>
    </w:rPr>
  </w:style>
  <w:style w:type="character" w:customStyle="1" w:styleId="apple-converted-space">
    <w:name w:val="apple-converted-space"/>
    <w:rsid w:val="00882685"/>
    <w:rPr>
      <w:rFonts w:cs="Times New Roman"/>
    </w:rPr>
  </w:style>
  <w:style w:type="character" w:customStyle="1" w:styleId="colora">
    <w:name w:val="colora"/>
    <w:rsid w:val="00882685"/>
    <w:rPr>
      <w:rFonts w:cs="Times New Roman"/>
    </w:rPr>
  </w:style>
  <w:style w:type="character" w:styleId="Emphasis">
    <w:name w:val="Emphasis"/>
    <w:qFormat/>
    <w:rsid w:val="00882685"/>
    <w:rPr>
      <w:i/>
    </w:rPr>
  </w:style>
  <w:style w:type="character" w:customStyle="1" w:styleId="searchhit">
    <w:name w:val="search_hit"/>
    <w:rsid w:val="00882685"/>
    <w:rPr>
      <w:rFonts w:cs="Times New Roman"/>
    </w:rPr>
  </w:style>
  <w:style w:type="character" w:customStyle="1" w:styleId="BalloonTextChar">
    <w:name w:val="Balloon Text Char"/>
    <w:rsid w:val="00882685"/>
    <w:rPr>
      <w:rFonts w:ascii="Tahoma" w:hAnsi="Tahoma" w:cs="Tahoma"/>
      <w:sz w:val="16"/>
    </w:rPr>
  </w:style>
  <w:style w:type="character" w:customStyle="1" w:styleId="Heading4Char">
    <w:name w:val="Heading 4 Char"/>
    <w:rsid w:val="00882685"/>
    <w:rPr>
      <w:b/>
      <w:sz w:val="22"/>
    </w:rPr>
  </w:style>
  <w:style w:type="character" w:customStyle="1" w:styleId="BodyTextIndentChar">
    <w:name w:val="Body Text Indent Char"/>
    <w:rsid w:val="00882685"/>
    <w:rPr>
      <w:rFonts w:ascii="Times New Roman" w:hAnsi="Times New Roman" w:cs="Times New Roman"/>
      <w:sz w:val="24"/>
    </w:rPr>
  </w:style>
  <w:style w:type="character" w:customStyle="1" w:styleId="SubtitleChar">
    <w:name w:val="Subtitle Char"/>
    <w:rsid w:val="00882685"/>
    <w:rPr>
      <w:rFonts w:ascii="Times New Roman" w:hAnsi="Times New Roman" w:cs="Times New Roman"/>
      <w:sz w:val="24"/>
    </w:rPr>
  </w:style>
  <w:style w:type="character" w:customStyle="1" w:styleId="BodyTextIndent2Char">
    <w:name w:val="Body Text Indent 2 Char"/>
    <w:rsid w:val="00882685"/>
    <w:rPr>
      <w:rFonts w:ascii="Times New Roman" w:hAnsi="Times New Roman" w:cs="Times New Roman"/>
      <w:sz w:val="24"/>
      <w:lang w:val="en-GB"/>
    </w:rPr>
  </w:style>
  <w:style w:type="character" w:customStyle="1" w:styleId="CharChar1">
    <w:name w:val="Char Char1"/>
    <w:rsid w:val="00882685"/>
    <w:rPr>
      <w:rFonts w:ascii="Arial" w:hAnsi="Arial" w:cs="Arial"/>
      <w:b/>
      <w:kern w:val="1"/>
      <w:sz w:val="32"/>
      <w:lang w:val="en-US"/>
    </w:rPr>
  </w:style>
  <w:style w:type="character" w:styleId="CommentReference">
    <w:name w:val="annotation reference"/>
    <w:rsid w:val="00882685"/>
    <w:rPr>
      <w:sz w:val="16"/>
    </w:rPr>
  </w:style>
  <w:style w:type="character" w:customStyle="1" w:styleId="CommentTextChar">
    <w:name w:val="Comment Text Char"/>
    <w:rsid w:val="00882685"/>
  </w:style>
  <w:style w:type="character" w:customStyle="1" w:styleId="CommentSubjectChar">
    <w:name w:val="Comment Subject Char"/>
    <w:rsid w:val="00882685"/>
    <w:rPr>
      <w:b/>
    </w:rPr>
  </w:style>
  <w:style w:type="character" w:customStyle="1" w:styleId="Heading3Char">
    <w:name w:val="Heading 3 Char"/>
    <w:rsid w:val="00882685"/>
    <w:rPr>
      <w:b/>
      <w:bCs/>
      <w:sz w:val="22"/>
      <w:szCs w:val="22"/>
    </w:rPr>
  </w:style>
  <w:style w:type="character" w:customStyle="1" w:styleId="FootnoteTextChar">
    <w:name w:val="Footnote Text Char"/>
    <w:rsid w:val="00882685"/>
    <w:rPr>
      <w:rFonts w:cs="Times New Roman"/>
    </w:rPr>
  </w:style>
  <w:style w:type="character" w:customStyle="1" w:styleId="FootnoteCharacters">
    <w:name w:val="Footnote Characters"/>
    <w:rsid w:val="00882685"/>
    <w:rPr>
      <w:rFonts w:cs="Times New Roman"/>
      <w:vertAlign w:val="superscript"/>
    </w:rPr>
  </w:style>
  <w:style w:type="character" w:customStyle="1" w:styleId="ListParagraphChar">
    <w:name w:val="List Paragraph Char"/>
    <w:rsid w:val="00882685"/>
    <w:rPr>
      <w:rFonts w:ascii="Times New Roman" w:hAnsi="Times New Roman" w:cs="Times New Roman"/>
      <w:sz w:val="24"/>
      <w:szCs w:val="24"/>
      <w:lang w:val="en-US"/>
    </w:rPr>
  </w:style>
  <w:style w:type="character" w:styleId="FootnoteReference">
    <w:name w:val="footnote reference"/>
    <w:rsid w:val="00882685"/>
    <w:rPr>
      <w:vertAlign w:val="superscript"/>
    </w:rPr>
  </w:style>
  <w:style w:type="character" w:styleId="EndnoteReference">
    <w:name w:val="endnote reference"/>
    <w:rsid w:val="00882685"/>
    <w:rPr>
      <w:vertAlign w:val="superscript"/>
    </w:rPr>
  </w:style>
  <w:style w:type="character" w:customStyle="1" w:styleId="EndnoteCharacters">
    <w:name w:val="Endnote Characters"/>
    <w:rsid w:val="00882685"/>
  </w:style>
  <w:style w:type="paragraph" w:customStyle="1" w:styleId="Heading">
    <w:name w:val="Heading"/>
    <w:basedOn w:val="Normal"/>
    <w:next w:val="BodyText"/>
    <w:rsid w:val="00882685"/>
    <w:pPr>
      <w:keepNext/>
      <w:spacing w:before="240"/>
    </w:pPr>
    <w:rPr>
      <w:rFonts w:ascii="Arial" w:eastAsia="Microsoft YaHei" w:hAnsi="Arial" w:cs="Mangal"/>
      <w:sz w:val="28"/>
      <w:szCs w:val="28"/>
    </w:rPr>
  </w:style>
  <w:style w:type="paragraph" w:styleId="BodyText">
    <w:name w:val="Body Text"/>
    <w:basedOn w:val="Normal"/>
    <w:rsid w:val="00882685"/>
    <w:pPr>
      <w:spacing w:after="0"/>
    </w:pPr>
    <w:rPr>
      <w:rFonts w:ascii="Times New Roman" w:eastAsia="Calibri" w:hAnsi="Times New Roman"/>
      <w:sz w:val="24"/>
      <w:szCs w:val="20"/>
    </w:rPr>
  </w:style>
  <w:style w:type="paragraph" w:styleId="List">
    <w:name w:val="List"/>
    <w:basedOn w:val="BodyText"/>
    <w:rsid w:val="00882685"/>
    <w:rPr>
      <w:rFonts w:cs="Mangal"/>
    </w:rPr>
  </w:style>
  <w:style w:type="paragraph" w:styleId="Caption">
    <w:name w:val="caption"/>
    <w:basedOn w:val="Normal"/>
    <w:qFormat/>
    <w:rsid w:val="00882685"/>
    <w:pPr>
      <w:suppressLineNumbers/>
      <w:spacing w:before="120"/>
    </w:pPr>
    <w:rPr>
      <w:rFonts w:cs="Mangal"/>
      <w:i/>
      <w:iCs/>
      <w:sz w:val="24"/>
      <w:szCs w:val="24"/>
    </w:rPr>
  </w:style>
  <w:style w:type="paragraph" w:customStyle="1" w:styleId="Index">
    <w:name w:val="Index"/>
    <w:basedOn w:val="Normal"/>
    <w:rsid w:val="00882685"/>
    <w:pPr>
      <w:suppressLineNumbers/>
    </w:pPr>
    <w:rPr>
      <w:rFonts w:cs="Mangal"/>
    </w:rPr>
  </w:style>
  <w:style w:type="paragraph" w:customStyle="1" w:styleId="MyStyle">
    <w:name w:val="My Style"/>
    <w:basedOn w:val="Normal"/>
    <w:rsid w:val="00882685"/>
    <w:pPr>
      <w:spacing w:after="0" w:line="360" w:lineRule="auto"/>
    </w:pPr>
    <w:rPr>
      <w:rFonts w:ascii="Times New Roman" w:hAnsi="Times New Roman"/>
      <w:sz w:val="24"/>
    </w:rPr>
  </w:style>
  <w:style w:type="paragraph" w:styleId="Header">
    <w:name w:val="header"/>
    <w:basedOn w:val="Normal"/>
    <w:rsid w:val="00882685"/>
    <w:pPr>
      <w:tabs>
        <w:tab w:val="center" w:pos="4153"/>
        <w:tab w:val="right" w:pos="8306"/>
      </w:tabs>
      <w:spacing w:after="0"/>
    </w:pPr>
    <w:rPr>
      <w:rFonts w:ascii="Times New Roman" w:eastAsia="Calibri" w:hAnsi="Times New Roman"/>
      <w:sz w:val="24"/>
      <w:szCs w:val="20"/>
      <w:lang w:val="en-US"/>
    </w:rPr>
  </w:style>
  <w:style w:type="paragraph" w:styleId="Footer">
    <w:name w:val="footer"/>
    <w:basedOn w:val="Normal"/>
    <w:rsid w:val="00882685"/>
    <w:pPr>
      <w:tabs>
        <w:tab w:val="center" w:pos="4153"/>
        <w:tab w:val="right" w:pos="8306"/>
      </w:tabs>
      <w:spacing w:after="0"/>
    </w:pPr>
    <w:rPr>
      <w:rFonts w:ascii="Times New Roman" w:eastAsia="Calibri" w:hAnsi="Times New Roman"/>
      <w:sz w:val="24"/>
      <w:szCs w:val="20"/>
      <w:lang w:val="en-US"/>
    </w:rPr>
  </w:style>
  <w:style w:type="paragraph" w:styleId="ListParagraph">
    <w:name w:val="List Paragraph"/>
    <w:basedOn w:val="Normal"/>
    <w:qFormat/>
    <w:rsid w:val="00882685"/>
    <w:pPr>
      <w:spacing w:after="0"/>
      <w:ind w:left="720"/>
    </w:pPr>
    <w:rPr>
      <w:rFonts w:ascii="Times New Roman" w:eastAsia="Calibri" w:hAnsi="Times New Roman"/>
      <w:sz w:val="24"/>
      <w:szCs w:val="24"/>
      <w:lang w:val="en-US"/>
    </w:rPr>
  </w:style>
  <w:style w:type="paragraph" w:styleId="NormalWeb">
    <w:name w:val="Normal (Web)"/>
    <w:basedOn w:val="Normal"/>
    <w:uiPriority w:val="99"/>
    <w:rsid w:val="00882685"/>
    <w:pPr>
      <w:spacing w:before="280" w:after="280"/>
    </w:pPr>
    <w:rPr>
      <w:rFonts w:ascii="Times New Roman" w:eastAsia="Calibri" w:hAnsi="Times New Roman"/>
      <w:sz w:val="24"/>
      <w:szCs w:val="24"/>
      <w:lang w:val="en-GB"/>
    </w:rPr>
  </w:style>
  <w:style w:type="paragraph" w:customStyle="1" w:styleId="Punkts">
    <w:name w:val="Punkts"/>
    <w:basedOn w:val="Normal"/>
    <w:next w:val="Apakpunkts"/>
    <w:rsid w:val="00882685"/>
    <w:pPr>
      <w:numPr>
        <w:numId w:val="3"/>
      </w:numPr>
      <w:spacing w:after="0"/>
    </w:pPr>
    <w:rPr>
      <w:rFonts w:ascii="Arial" w:eastAsia="Calibri" w:hAnsi="Arial" w:cs="Arial"/>
      <w:b/>
      <w:bCs/>
      <w:sz w:val="20"/>
      <w:szCs w:val="20"/>
    </w:rPr>
  </w:style>
  <w:style w:type="paragraph" w:customStyle="1" w:styleId="Apakpunkts">
    <w:name w:val="Apakšpunkts"/>
    <w:basedOn w:val="Normal"/>
    <w:rsid w:val="00882685"/>
    <w:pPr>
      <w:tabs>
        <w:tab w:val="num" w:pos="851"/>
      </w:tabs>
      <w:spacing w:after="0"/>
      <w:ind w:left="851" w:hanging="851"/>
    </w:pPr>
    <w:rPr>
      <w:rFonts w:ascii="Arial" w:eastAsia="Calibri" w:hAnsi="Arial" w:cs="Arial"/>
      <w:b/>
      <w:sz w:val="20"/>
      <w:szCs w:val="20"/>
    </w:rPr>
  </w:style>
  <w:style w:type="paragraph" w:customStyle="1" w:styleId="Paragrfs">
    <w:name w:val="Paragrāfs"/>
    <w:basedOn w:val="Normal"/>
    <w:next w:val="Normal"/>
    <w:rsid w:val="00882685"/>
    <w:pPr>
      <w:tabs>
        <w:tab w:val="num" w:pos="851"/>
      </w:tabs>
      <w:spacing w:after="0"/>
      <w:ind w:left="851" w:hanging="851"/>
      <w:jc w:val="both"/>
    </w:pPr>
    <w:rPr>
      <w:rFonts w:ascii="Arial" w:eastAsia="Calibri" w:hAnsi="Arial" w:cs="Arial"/>
      <w:sz w:val="20"/>
      <w:szCs w:val="20"/>
    </w:rPr>
  </w:style>
  <w:style w:type="paragraph" w:customStyle="1" w:styleId="Rindkopa">
    <w:name w:val="Rindkopa"/>
    <w:basedOn w:val="Normal"/>
    <w:next w:val="Punkts"/>
    <w:rsid w:val="00882685"/>
    <w:pPr>
      <w:spacing w:after="0"/>
      <w:ind w:left="851"/>
      <w:jc w:val="both"/>
    </w:pPr>
    <w:rPr>
      <w:rFonts w:ascii="Arial" w:eastAsia="Calibri" w:hAnsi="Arial" w:cs="Arial"/>
      <w:sz w:val="20"/>
      <w:szCs w:val="20"/>
    </w:rPr>
  </w:style>
  <w:style w:type="paragraph" w:customStyle="1" w:styleId="WW-Default">
    <w:name w:val="WW-Default"/>
    <w:rsid w:val="00882685"/>
    <w:pPr>
      <w:suppressAutoHyphens/>
      <w:autoSpaceDE w:val="0"/>
    </w:pPr>
    <w:rPr>
      <w:rFonts w:ascii="Arial" w:hAnsi="Arial" w:cs="Arial"/>
      <w:color w:val="000000"/>
      <w:sz w:val="24"/>
      <w:szCs w:val="24"/>
      <w:lang w:eastAsia="ar-SA"/>
    </w:rPr>
  </w:style>
  <w:style w:type="paragraph" w:styleId="BalloonText">
    <w:name w:val="Balloon Text"/>
    <w:basedOn w:val="Normal"/>
    <w:rsid w:val="00882685"/>
    <w:pPr>
      <w:spacing w:after="0"/>
    </w:pPr>
    <w:rPr>
      <w:rFonts w:ascii="Tahoma" w:eastAsia="Calibri" w:hAnsi="Tahoma" w:cs="Tahoma"/>
      <w:sz w:val="16"/>
      <w:szCs w:val="20"/>
    </w:rPr>
  </w:style>
  <w:style w:type="paragraph" w:styleId="BodyTextIndent">
    <w:name w:val="Body Text Indent"/>
    <w:basedOn w:val="Normal"/>
    <w:rsid w:val="00882685"/>
    <w:pPr>
      <w:ind w:left="283"/>
    </w:pPr>
    <w:rPr>
      <w:rFonts w:ascii="Times New Roman" w:eastAsia="Calibri" w:hAnsi="Times New Roman"/>
      <w:sz w:val="24"/>
      <w:szCs w:val="20"/>
    </w:rPr>
  </w:style>
  <w:style w:type="paragraph" w:styleId="Subtitle">
    <w:name w:val="Subtitle"/>
    <w:basedOn w:val="Normal"/>
    <w:next w:val="BodyText"/>
    <w:qFormat/>
    <w:rsid w:val="00882685"/>
    <w:pPr>
      <w:spacing w:after="0"/>
      <w:jc w:val="center"/>
    </w:pPr>
    <w:rPr>
      <w:rFonts w:ascii="Times New Roman" w:eastAsia="Calibri" w:hAnsi="Times New Roman"/>
      <w:sz w:val="24"/>
      <w:szCs w:val="20"/>
    </w:rPr>
  </w:style>
  <w:style w:type="paragraph" w:customStyle="1" w:styleId="BCvirsraksts">
    <w:name w:val="BC virsraksts"/>
    <w:basedOn w:val="Normal"/>
    <w:rsid w:val="00882685"/>
    <w:pPr>
      <w:spacing w:before="240"/>
    </w:pPr>
    <w:rPr>
      <w:rFonts w:ascii="DINPro-Bold" w:hAnsi="DINPro-Bold" w:cs="DINPro-Bold"/>
      <w:b/>
      <w:color w:val="332A86"/>
      <w:sz w:val="32"/>
      <w:szCs w:val="32"/>
    </w:rPr>
  </w:style>
  <w:style w:type="paragraph" w:styleId="BodyTextIndent2">
    <w:name w:val="Body Text Indent 2"/>
    <w:basedOn w:val="Normal"/>
    <w:rsid w:val="00882685"/>
    <w:pPr>
      <w:overflowPunct w:val="0"/>
      <w:autoSpaceDE w:val="0"/>
      <w:spacing w:line="480" w:lineRule="auto"/>
      <w:ind w:left="283"/>
      <w:textAlignment w:val="baseline"/>
    </w:pPr>
    <w:rPr>
      <w:rFonts w:ascii="Times New Roman" w:eastAsia="Calibri" w:hAnsi="Times New Roman"/>
      <w:sz w:val="24"/>
      <w:szCs w:val="20"/>
      <w:lang w:val="en-GB"/>
    </w:rPr>
  </w:style>
  <w:style w:type="paragraph" w:styleId="TOCHeading">
    <w:name w:val="TOC Heading"/>
    <w:basedOn w:val="Heading1"/>
    <w:next w:val="Normal"/>
    <w:uiPriority w:val="39"/>
    <w:qFormat/>
    <w:rsid w:val="00882685"/>
    <w:pPr>
      <w:keepLines/>
      <w:widowControl/>
      <w:numPr>
        <w:numId w:val="0"/>
      </w:numPr>
      <w:snapToGrid/>
      <w:spacing w:before="480" w:line="276" w:lineRule="auto"/>
    </w:pPr>
    <w:rPr>
      <w:rFonts w:ascii="Cambria" w:hAnsi="Cambria" w:cs="Cambria"/>
      <w:b w:val="0"/>
      <w:bCs/>
      <w:color w:val="365F91"/>
      <w:szCs w:val="28"/>
      <w:lang w:val="en-US"/>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882685"/>
    <w:pPr>
      <w:spacing w:before="120" w:after="160" w:line="240" w:lineRule="exact"/>
      <w:ind w:firstLine="720"/>
      <w:jc w:val="both"/>
    </w:pPr>
    <w:rPr>
      <w:rFonts w:ascii="Verdana" w:eastAsia="Calibri" w:hAnsi="Verdana" w:cs="Verdana"/>
      <w:sz w:val="20"/>
      <w:szCs w:val="20"/>
      <w:lang w:val="en-US"/>
    </w:rPr>
  </w:style>
  <w:style w:type="paragraph" w:styleId="TOC1">
    <w:name w:val="toc 1"/>
    <w:basedOn w:val="Normal"/>
    <w:next w:val="Normal"/>
    <w:uiPriority w:val="39"/>
    <w:rsid w:val="00882685"/>
    <w:pPr>
      <w:tabs>
        <w:tab w:val="left" w:pos="284"/>
        <w:tab w:val="right" w:leader="dot" w:pos="9395"/>
      </w:tabs>
      <w:ind w:left="284" w:hanging="284"/>
    </w:pPr>
  </w:style>
  <w:style w:type="paragraph" w:styleId="TOC2">
    <w:name w:val="toc 2"/>
    <w:basedOn w:val="Normal"/>
    <w:next w:val="Normal"/>
    <w:uiPriority w:val="39"/>
    <w:rsid w:val="00882685"/>
    <w:pPr>
      <w:tabs>
        <w:tab w:val="left" w:pos="709"/>
        <w:tab w:val="right" w:leader="dot" w:pos="9395"/>
      </w:tabs>
      <w:ind w:left="220"/>
    </w:pPr>
  </w:style>
  <w:style w:type="paragraph" w:styleId="CommentText">
    <w:name w:val="annotation text"/>
    <w:basedOn w:val="Normal"/>
    <w:rsid w:val="00882685"/>
    <w:rPr>
      <w:rFonts w:eastAsia="Calibri"/>
      <w:sz w:val="20"/>
      <w:szCs w:val="20"/>
    </w:rPr>
  </w:style>
  <w:style w:type="paragraph" w:styleId="CommentSubject">
    <w:name w:val="annotation subject"/>
    <w:basedOn w:val="CommentText"/>
    <w:next w:val="CommentText"/>
    <w:rsid w:val="00882685"/>
    <w:rPr>
      <w:b/>
    </w:rPr>
  </w:style>
  <w:style w:type="paragraph" w:styleId="TOC3">
    <w:name w:val="toc 3"/>
    <w:basedOn w:val="Normal"/>
    <w:next w:val="Normal"/>
    <w:rsid w:val="00882685"/>
    <w:pPr>
      <w:tabs>
        <w:tab w:val="left" w:pos="1276"/>
        <w:tab w:val="right" w:leader="dot" w:pos="9395"/>
      </w:tabs>
      <w:spacing w:after="100"/>
      <w:ind w:left="1276" w:hanging="567"/>
    </w:pPr>
  </w:style>
  <w:style w:type="paragraph" w:styleId="FootnoteText">
    <w:name w:val="footnote text"/>
    <w:basedOn w:val="Normal"/>
    <w:rsid w:val="00882685"/>
    <w:pPr>
      <w:spacing w:after="0"/>
    </w:pPr>
    <w:rPr>
      <w:rFonts w:eastAsia="Calibri"/>
      <w:sz w:val="20"/>
      <w:szCs w:val="20"/>
    </w:rPr>
  </w:style>
  <w:style w:type="paragraph" w:styleId="BlockText">
    <w:name w:val="Block Text"/>
    <w:basedOn w:val="Normal"/>
    <w:rsid w:val="00882685"/>
    <w:pPr>
      <w:spacing w:after="0"/>
      <w:ind w:left="113" w:right="113"/>
      <w:jc w:val="center"/>
    </w:pPr>
    <w:rPr>
      <w:rFonts w:ascii="Times New Roman" w:hAnsi="Times New Roman"/>
      <w:b/>
      <w:bCs/>
      <w:sz w:val="20"/>
      <w:szCs w:val="20"/>
      <w:lang w:val="en-US"/>
    </w:rPr>
  </w:style>
  <w:style w:type="paragraph" w:styleId="TOC4">
    <w:name w:val="toc 4"/>
    <w:basedOn w:val="Normal"/>
    <w:next w:val="Normal"/>
    <w:rsid w:val="00882685"/>
    <w:pPr>
      <w:ind w:left="660"/>
    </w:pPr>
  </w:style>
  <w:style w:type="paragraph" w:customStyle="1" w:styleId="EYTableText">
    <w:name w:val="EY Table Text"/>
    <w:basedOn w:val="Normal"/>
    <w:rsid w:val="00882685"/>
    <w:pPr>
      <w:spacing w:before="20" w:after="20" w:line="276" w:lineRule="auto"/>
    </w:pPr>
    <w:rPr>
      <w:rFonts w:ascii="EYInterstate Light" w:hAnsi="EYInterstate Light" w:cs="EYInterstate Light"/>
      <w:bCs/>
      <w:sz w:val="16"/>
      <w:szCs w:val="16"/>
      <w:lang w:eastAsia="lo-LA" w:bidi="lo-LA"/>
    </w:rPr>
  </w:style>
  <w:style w:type="paragraph" w:styleId="Revision">
    <w:name w:val="Revision"/>
    <w:rsid w:val="00882685"/>
    <w:pPr>
      <w:suppressAutoHyphens/>
    </w:pPr>
    <w:rPr>
      <w:rFonts w:ascii="Calibri" w:hAnsi="Calibri"/>
      <w:sz w:val="22"/>
      <w:szCs w:val="22"/>
      <w:lang w:eastAsia="ar-SA"/>
    </w:rPr>
  </w:style>
  <w:style w:type="paragraph" w:customStyle="1" w:styleId="TableContents">
    <w:name w:val="Table Contents"/>
    <w:basedOn w:val="Normal"/>
    <w:rsid w:val="00882685"/>
    <w:pPr>
      <w:suppressLineNumbers/>
    </w:pPr>
  </w:style>
  <w:style w:type="paragraph" w:customStyle="1" w:styleId="TableHeading">
    <w:name w:val="Table Heading"/>
    <w:basedOn w:val="TableContents"/>
    <w:rsid w:val="00882685"/>
    <w:pPr>
      <w:jc w:val="center"/>
    </w:pPr>
    <w:rPr>
      <w:b/>
      <w:bCs/>
    </w:rPr>
  </w:style>
  <w:style w:type="paragraph" w:styleId="TOC5">
    <w:name w:val="toc 5"/>
    <w:basedOn w:val="Index"/>
    <w:rsid w:val="00882685"/>
    <w:pPr>
      <w:tabs>
        <w:tab w:val="right" w:leader="dot" w:pos="8840"/>
      </w:tabs>
      <w:ind w:left="1132"/>
    </w:pPr>
  </w:style>
  <w:style w:type="paragraph" w:styleId="TOC6">
    <w:name w:val="toc 6"/>
    <w:basedOn w:val="Index"/>
    <w:rsid w:val="00882685"/>
    <w:pPr>
      <w:tabs>
        <w:tab w:val="right" w:leader="dot" w:pos="8557"/>
      </w:tabs>
      <w:ind w:left="1415"/>
    </w:pPr>
  </w:style>
  <w:style w:type="paragraph" w:styleId="TOC7">
    <w:name w:val="toc 7"/>
    <w:basedOn w:val="Index"/>
    <w:rsid w:val="00882685"/>
    <w:pPr>
      <w:tabs>
        <w:tab w:val="right" w:leader="dot" w:pos="8274"/>
      </w:tabs>
      <w:ind w:left="1698"/>
    </w:pPr>
  </w:style>
  <w:style w:type="paragraph" w:styleId="TOC8">
    <w:name w:val="toc 8"/>
    <w:basedOn w:val="Index"/>
    <w:rsid w:val="00882685"/>
    <w:pPr>
      <w:tabs>
        <w:tab w:val="right" w:leader="dot" w:pos="7991"/>
      </w:tabs>
      <w:ind w:left="1981"/>
    </w:pPr>
  </w:style>
  <w:style w:type="paragraph" w:styleId="TOC9">
    <w:name w:val="toc 9"/>
    <w:basedOn w:val="Index"/>
    <w:rsid w:val="00882685"/>
    <w:pPr>
      <w:tabs>
        <w:tab w:val="right" w:leader="dot" w:pos="7708"/>
      </w:tabs>
      <w:ind w:left="2264"/>
    </w:pPr>
  </w:style>
  <w:style w:type="paragraph" w:customStyle="1" w:styleId="Contents10">
    <w:name w:val="Contents 10"/>
    <w:basedOn w:val="Index"/>
    <w:rsid w:val="00882685"/>
    <w:pPr>
      <w:tabs>
        <w:tab w:val="right" w:leader="dot" w:pos="7425"/>
      </w:tabs>
      <w:ind w:left="254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uppressAutoHyphens/>
      <w:spacing w:after="120"/>
    </w:pPr>
    <w:rPr>
      <w:rFonts w:ascii="Calibri" w:hAnsi="Calibri"/>
      <w:sz w:val="22"/>
      <w:szCs w:val="22"/>
      <w:lang w:eastAsia="ar-SA"/>
    </w:rPr>
  </w:style>
  <w:style w:type="paragraph" w:styleId="Heading1">
    <w:name w:val="heading 1"/>
    <w:basedOn w:val="Normal"/>
    <w:next w:val="Normal"/>
    <w:qFormat/>
    <w:pPr>
      <w:keepNext/>
      <w:widowControl w:val="0"/>
      <w:numPr>
        <w:numId w:val="1"/>
      </w:numPr>
      <w:tabs>
        <w:tab w:val="left" w:pos="284"/>
      </w:tabs>
      <w:snapToGrid w:val="0"/>
      <w:ind w:left="0" w:firstLine="0"/>
      <w:jc w:val="center"/>
      <w:outlineLvl w:val="0"/>
    </w:pPr>
    <w:rPr>
      <w:rFonts w:eastAsia="Calibri"/>
      <w:b/>
      <w:caps/>
      <w:sz w:val="28"/>
      <w:szCs w:val="20"/>
      <w:lang w:val="x-none"/>
    </w:rPr>
  </w:style>
  <w:style w:type="paragraph" w:styleId="Heading2">
    <w:name w:val="heading 2"/>
    <w:basedOn w:val="Normal"/>
    <w:next w:val="Normal"/>
    <w:qFormat/>
    <w:pPr>
      <w:keepNext/>
      <w:numPr>
        <w:ilvl w:val="1"/>
        <w:numId w:val="1"/>
      </w:numPr>
      <w:ind w:left="0" w:firstLine="0"/>
      <w:jc w:val="center"/>
      <w:outlineLvl w:val="1"/>
    </w:pPr>
    <w:rPr>
      <w:b/>
      <w:sz w:val="24"/>
      <w:szCs w:val="20"/>
      <w:lang w:val="x-none"/>
    </w:rPr>
  </w:style>
  <w:style w:type="paragraph" w:styleId="Heading3">
    <w:name w:val="heading 3"/>
    <w:basedOn w:val="Normal"/>
    <w:next w:val="Normal"/>
    <w:qFormat/>
    <w:pPr>
      <w:keepNext/>
      <w:keepLines/>
      <w:numPr>
        <w:numId w:val="11"/>
      </w:numPr>
      <w:jc w:val="center"/>
      <w:outlineLvl w:val="2"/>
    </w:pPr>
    <w:rPr>
      <w:rFonts w:eastAsia="Calibri"/>
      <w:b/>
      <w:bCs/>
      <w:lang w:val="x-none"/>
    </w:rPr>
  </w:style>
  <w:style w:type="paragraph" w:styleId="Heading4">
    <w:name w:val="heading 4"/>
    <w:basedOn w:val="Normal"/>
    <w:next w:val="Normal"/>
    <w:qFormat/>
    <w:pPr>
      <w:keepNext/>
      <w:numPr>
        <w:numId w:val="5"/>
      </w:numPr>
      <w:jc w:val="center"/>
      <w:outlineLvl w:val="3"/>
    </w:pPr>
    <w:rPr>
      <w:rFonts w:eastAsia="Calibri"/>
      <w:b/>
      <w:szCs w:val="20"/>
      <w:lang w:val="x-none"/>
    </w:rPr>
  </w:style>
  <w:style w:type="paragraph" w:styleId="Heading6">
    <w:name w:val="heading 6"/>
    <w:basedOn w:val="Normal"/>
    <w:next w:val="Normal"/>
    <w:qFormat/>
    <w:pPr>
      <w:spacing w:before="240" w:after="60"/>
      <w:outlineLvl w:val="5"/>
    </w:pPr>
    <w:rPr>
      <w:rFonts w:ascii="Times New Roman" w:eastAsia="Calibri" w:hAnsi="Times New Roman"/>
      <w:b/>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7z0">
    <w:name w:val="WW8Num7z0"/>
    <w:rPr>
      <w:rFonts w:cs="Times New Roman"/>
    </w:rPr>
  </w:style>
  <w:style w:type="character" w:customStyle="1" w:styleId="WW8Num11z0">
    <w:name w:val="WW8Num11z0"/>
    <w:rPr>
      <w:rFonts w:ascii="Calibri" w:eastAsia="Times New Roman" w:hAnsi="Calibri"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21z0">
    <w:name w:val="WW8Num21z0"/>
    <w:rPr>
      <w:rFonts w:ascii="Calibri" w:eastAsia="Times New Roman" w:hAnsi="Calibri" w:cs="Times New Roman"/>
    </w:rPr>
  </w:style>
  <w:style w:type="character" w:customStyle="1" w:styleId="WW8Num23z0">
    <w:name w:val="WW8Num23z0"/>
    <w:rPr>
      <w:rFonts w:ascii="Times New Roman" w:eastAsia="Times New Roman" w:hAnsi="Times New Roman" w:cs="Times New Roman"/>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6z0">
    <w:name w:val="WW8Num26z0"/>
    <w:rPr>
      <w:rFonts w:ascii="Times New Roman" w:hAnsi="Times New Roman" w:cs="Times New Roman"/>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8z0">
    <w:name w:val="WW8Num28z0"/>
    <w:rPr>
      <w:rFonts w:cs="Times New Roman"/>
    </w:rPr>
  </w:style>
  <w:style w:type="character" w:customStyle="1" w:styleId="WW8Num28z1">
    <w:name w:val="WW8Num28z1"/>
    <w:rPr>
      <w:rFonts w:cs="Times New Roman"/>
      <w:sz w:val="22"/>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Heading1Char">
    <w:name w:val="Heading 1 Char"/>
    <w:rPr>
      <w:b/>
      <w:caps/>
      <w:sz w:val="28"/>
      <w:lang w:val="x-none"/>
    </w:rPr>
  </w:style>
  <w:style w:type="character" w:customStyle="1" w:styleId="Heading2Char">
    <w:name w:val="Heading 2 Char"/>
    <w:rPr>
      <w:rFonts w:eastAsia="Times New Roman"/>
      <w:b/>
      <w:sz w:val="24"/>
      <w:lang w:val="x-none"/>
    </w:rPr>
  </w:style>
  <w:style w:type="character" w:customStyle="1" w:styleId="Heading6Char">
    <w:name w:val="Heading 6 Char"/>
    <w:rPr>
      <w:rFonts w:ascii="Times New Roman" w:hAnsi="Times New Roman" w:cs="Times New Roman"/>
      <w:b/>
      <w:sz w:val="22"/>
      <w:lang w:val="x-none"/>
    </w:rPr>
  </w:style>
  <w:style w:type="character" w:customStyle="1" w:styleId="HeaderChar">
    <w:name w:val="Header Char"/>
    <w:rPr>
      <w:rFonts w:ascii="Times New Roman" w:hAnsi="Times New Roman" w:cs="Times New Roman"/>
      <w:sz w:val="24"/>
      <w:lang w:val="en-US"/>
    </w:rPr>
  </w:style>
  <w:style w:type="character" w:customStyle="1" w:styleId="FooterChar">
    <w:name w:val="Footer Char"/>
    <w:rPr>
      <w:rFonts w:ascii="Times New Roman" w:hAnsi="Times New Roman" w:cs="Times New Roman"/>
      <w:sz w:val="24"/>
      <w:lang w:val="en-US"/>
    </w:rPr>
  </w:style>
  <w:style w:type="character" w:customStyle="1" w:styleId="ApakpunktsChar">
    <w:name w:val="Apakšpunkts Char"/>
    <w:rPr>
      <w:rFonts w:ascii="Arial" w:hAnsi="Arial" w:cs="Arial"/>
      <w:b/>
      <w:lang w:val="x-none"/>
    </w:rPr>
  </w:style>
  <w:style w:type="character" w:styleId="Hyperlink">
    <w:name w:val="Hyperlink"/>
    <w:rPr>
      <w:color w:val="0000FF"/>
      <w:u w:val="single"/>
    </w:rPr>
  </w:style>
  <w:style w:type="character" w:customStyle="1" w:styleId="BodyTextChar">
    <w:name w:val="Body Text Char"/>
    <w:rPr>
      <w:rFonts w:ascii="Times New Roman" w:hAnsi="Times New Roman" w:cs="Times New Roman"/>
      <w:sz w:val="24"/>
      <w:lang w:val="x-none"/>
    </w:rPr>
  </w:style>
  <w:style w:type="character" w:customStyle="1" w:styleId="apple-style-span">
    <w:name w:val="apple-style-span"/>
    <w:rPr>
      <w:rFonts w:cs="Times New Roman"/>
    </w:rPr>
  </w:style>
  <w:style w:type="character" w:styleId="Strong">
    <w:name w:val="Strong"/>
    <w:qFormat/>
    <w:rPr>
      <w:b/>
    </w:rPr>
  </w:style>
  <w:style w:type="character" w:customStyle="1" w:styleId="apple-converted-space">
    <w:name w:val="apple-converted-space"/>
    <w:rPr>
      <w:rFonts w:cs="Times New Roman"/>
    </w:rPr>
  </w:style>
  <w:style w:type="character" w:customStyle="1" w:styleId="colora">
    <w:name w:val="colora"/>
    <w:rPr>
      <w:rFonts w:cs="Times New Roman"/>
    </w:rPr>
  </w:style>
  <w:style w:type="character" w:styleId="Emphasis">
    <w:name w:val="Emphasis"/>
    <w:qFormat/>
    <w:rPr>
      <w:i/>
    </w:rPr>
  </w:style>
  <w:style w:type="character" w:customStyle="1" w:styleId="searchhit">
    <w:name w:val="search_hit"/>
    <w:rPr>
      <w:rFonts w:cs="Times New Roman"/>
    </w:rPr>
  </w:style>
  <w:style w:type="character" w:customStyle="1" w:styleId="BalloonTextChar">
    <w:name w:val="Balloon Text Char"/>
    <w:rPr>
      <w:rFonts w:ascii="Tahoma" w:hAnsi="Tahoma" w:cs="Tahoma"/>
      <w:sz w:val="16"/>
      <w:lang w:val="x-none"/>
    </w:rPr>
  </w:style>
  <w:style w:type="character" w:customStyle="1" w:styleId="Heading4Char">
    <w:name w:val="Heading 4 Char"/>
    <w:rPr>
      <w:b/>
      <w:sz w:val="22"/>
      <w:lang w:val="x-none"/>
    </w:rPr>
  </w:style>
  <w:style w:type="character" w:customStyle="1" w:styleId="BodyTextIndentChar">
    <w:name w:val="Body Text Indent Char"/>
    <w:rPr>
      <w:rFonts w:ascii="Times New Roman" w:hAnsi="Times New Roman" w:cs="Times New Roman"/>
      <w:sz w:val="24"/>
      <w:lang w:val="x-none"/>
    </w:rPr>
  </w:style>
  <w:style w:type="character" w:customStyle="1" w:styleId="SubtitleChar">
    <w:name w:val="Subtitle Char"/>
    <w:rPr>
      <w:rFonts w:ascii="Times New Roman" w:hAnsi="Times New Roman" w:cs="Times New Roman"/>
      <w:sz w:val="24"/>
      <w:lang w:val="x-none"/>
    </w:rPr>
  </w:style>
  <w:style w:type="character" w:customStyle="1" w:styleId="BodyTextIndent2Char">
    <w:name w:val="Body Text Indent 2 Char"/>
    <w:rPr>
      <w:rFonts w:ascii="Times New Roman" w:hAnsi="Times New Roman" w:cs="Times New Roman"/>
      <w:sz w:val="24"/>
      <w:lang w:val="en-GB"/>
    </w:rPr>
  </w:style>
  <w:style w:type="character" w:customStyle="1" w:styleId="CharChar1">
    <w:name w:val="Char Char1"/>
    <w:rPr>
      <w:rFonts w:ascii="Arial" w:hAnsi="Arial" w:cs="Arial"/>
      <w:b/>
      <w:kern w:val="1"/>
      <w:sz w:val="32"/>
      <w:lang w:val="en-US"/>
    </w:rPr>
  </w:style>
  <w:style w:type="character" w:styleId="CommentReference">
    <w:name w:val="annotation reference"/>
    <w:rPr>
      <w:sz w:val="16"/>
    </w:rPr>
  </w:style>
  <w:style w:type="character" w:customStyle="1" w:styleId="CommentTextChar">
    <w:name w:val="Comment Text Char"/>
    <w:rPr>
      <w:lang w:val="x-none"/>
    </w:rPr>
  </w:style>
  <w:style w:type="character" w:customStyle="1" w:styleId="CommentSubjectChar">
    <w:name w:val="Comment Subject Char"/>
    <w:rPr>
      <w:b/>
      <w:lang w:val="x-none"/>
    </w:rPr>
  </w:style>
  <w:style w:type="character" w:customStyle="1" w:styleId="Heading3Char">
    <w:name w:val="Heading 3 Char"/>
    <w:rPr>
      <w:b/>
      <w:bCs/>
      <w:sz w:val="22"/>
      <w:szCs w:val="22"/>
      <w:lang w:val="x-none"/>
    </w:rPr>
  </w:style>
  <w:style w:type="character" w:customStyle="1" w:styleId="FootnoteTextChar">
    <w:name w:val="Footnote Text Char"/>
    <w:rPr>
      <w:rFonts w:cs="Times New Roman"/>
      <w:lang w:val="x-none"/>
    </w:rPr>
  </w:style>
  <w:style w:type="character" w:customStyle="1" w:styleId="FootnoteCharacters">
    <w:name w:val="Footnote Characters"/>
    <w:rPr>
      <w:rFonts w:cs="Times New Roman"/>
      <w:vertAlign w:val="superscript"/>
    </w:rPr>
  </w:style>
  <w:style w:type="character" w:customStyle="1" w:styleId="ListParagraphChar">
    <w:name w:val="List Paragraph Char"/>
    <w:rPr>
      <w:rFonts w:ascii="Times New Roman" w:hAnsi="Times New Roman" w:cs="Times New Roman"/>
      <w:sz w:val="24"/>
      <w:szCs w:val="24"/>
      <w:lang w:val="en-U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pPr>
    <w:rPr>
      <w:rFonts w:ascii="Arial" w:eastAsia="Microsoft YaHei" w:hAnsi="Arial" w:cs="Mangal"/>
      <w:sz w:val="28"/>
      <w:szCs w:val="28"/>
    </w:rPr>
  </w:style>
  <w:style w:type="paragraph" w:styleId="BodyText">
    <w:name w:val="Body Text"/>
    <w:basedOn w:val="Normal"/>
    <w:pPr>
      <w:spacing w:after="0"/>
    </w:pPr>
    <w:rPr>
      <w:rFonts w:ascii="Times New Roman" w:eastAsia="Calibri" w:hAnsi="Times New Roman"/>
      <w:sz w:val="24"/>
      <w:szCs w:val="20"/>
      <w:lang w:val="x-none"/>
    </w:rPr>
  </w:style>
  <w:style w:type="paragraph" w:styleId="List">
    <w:name w:val="List"/>
    <w:basedOn w:val="BodyText"/>
    <w:rPr>
      <w:rFonts w:cs="Mangal"/>
    </w:rPr>
  </w:style>
  <w:style w:type="paragraph" w:styleId="Caption">
    <w:name w:val="caption"/>
    <w:basedOn w:val="Normal"/>
    <w:qFormat/>
    <w:pPr>
      <w:suppressLineNumbers/>
      <w:spacing w:before="120"/>
    </w:pPr>
    <w:rPr>
      <w:rFonts w:cs="Mangal"/>
      <w:i/>
      <w:iCs/>
      <w:sz w:val="24"/>
      <w:szCs w:val="24"/>
    </w:rPr>
  </w:style>
  <w:style w:type="paragraph" w:customStyle="1" w:styleId="Index">
    <w:name w:val="Index"/>
    <w:basedOn w:val="Normal"/>
    <w:pPr>
      <w:suppressLineNumbers/>
    </w:pPr>
    <w:rPr>
      <w:rFonts w:cs="Mangal"/>
    </w:rPr>
  </w:style>
  <w:style w:type="paragraph" w:customStyle="1" w:styleId="MyStyle">
    <w:name w:val="My Style"/>
    <w:basedOn w:val="Normal"/>
    <w:pPr>
      <w:spacing w:after="0" w:line="360" w:lineRule="auto"/>
    </w:pPr>
    <w:rPr>
      <w:rFonts w:ascii="Times New Roman" w:hAnsi="Times New Roman"/>
      <w:sz w:val="24"/>
    </w:rPr>
  </w:style>
  <w:style w:type="paragraph" w:styleId="Header">
    <w:name w:val="header"/>
    <w:basedOn w:val="Normal"/>
    <w:pPr>
      <w:tabs>
        <w:tab w:val="center" w:pos="4153"/>
        <w:tab w:val="right" w:pos="8306"/>
      </w:tabs>
      <w:spacing w:after="0"/>
    </w:pPr>
    <w:rPr>
      <w:rFonts w:ascii="Times New Roman" w:eastAsia="Calibri" w:hAnsi="Times New Roman"/>
      <w:sz w:val="24"/>
      <w:szCs w:val="20"/>
      <w:lang w:val="en-US"/>
    </w:rPr>
  </w:style>
  <w:style w:type="paragraph" w:styleId="Footer">
    <w:name w:val="footer"/>
    <w:basedOn w:val="Normal"/>
    <w:pPr>
      <w:tabs>
        <w:tab w:val="center" w:pos="4153"/>
        <w:tab w:val="right" w:pos="8306"/>
      </w:tabs>
      <w:spacing w:after="0"/>
    </w:pPr>
    <w:rPr>
      <w:rFonts w:ascii="Times New Roman" w:eastAsia="Calibri" w:hAnsi="Times New Roman"/>
      <w:sz w:val="24"/>
      <w:szCs w:val="20"/>
      <w:lang w:val="en-US"/>
    </w:rPr>
  </w:style>
  <w:style w:type="paragraph" w:styleId="ListParagraph">
    <w:name w:val="List Paragraph"/>
    <w:basedOn w:val="Normal"/>
    <w:qFormat/>
    <w:pPr>
      <w:spacing w:after="0"/>
      <w:ind w:left="720"/>
    </w:pPr>
    <w:rPr>
      <w:rFonts w:ascii="Times New Roman" w:eastAsia="Calibri" w:hAnsi="Times New Roman"/>
      <w:sz w:val="24"/>
      <w:szCs w:val="24"/>
      <w:lang w:val="en-US"/>
    </w:rPr>
  </w:style>
  <w:style w:type="paragraph" w:styleId="NormalWeb">
    <w:name w:val="Normal (Web)"/>
    <w:basedOn w:val="Normal"/>
    <w:uiPriority w:val="99"/>
    <w:pPr>
      <w:spacing w:before="280" w:after="280"/>
    </w:pPr>
    <w:rPr>
      <w:rFonts w:ascii="Times New Roman" w:eastAsia="Calibri" w:hAnsi="Times New Roman"/>
      <w:sz w:val="24"/>
      <w:szCs w:val="24"/>
      <w:lang w:val="en-GB"/>
    </w:rPr>
  </w:style>
  <w:style w:type="paragraph" w:customStyle="1" w:styleId="Punkts">
    <w:name w:val="Punkts"/>
    <w:basedOn w:val="Normal"/>
    <w:next w:val="Apakpunkts"/>
    <w:pPr>
      <w:numPr>
        <w:numId w:val="3"/>
      </w:numPr>
      <w:spacing w:after="0"/>
    </w:pPr>
    <w:rPr>
      <w:rFonts w:ascii="Arial" w:eastAsia="Calibri" w:hAnsi="Arial" w:cs="Arial"/>
      <w:b/>
      <w:bCs/>
      <w:sz w:val="20"/>
      <w:szCs w:val="20"/>
    </w:rPr>
  </w:style>
  <w:style w:type="paragraph" w:customStyle="1" w:styleId="Apakpunkts">
    <w:name w:val="Apakšpunkts"/>
    <w:basedOn w:val="Normal"/>
    <w:pPr>
      <w:tabs>
        <w:tab w:val="num" w:pos="851"/>
      </w:tabs>
      <w:spacing w:after="0"/>
      <w:ind w:left="851" w:hanging="851"/>
    </w:pPr>
    <w:rPr>
      <w:rFonts w:ascii="Arial" w:eastAsia="Calibri" w:hAnsi="Arial" w:cs="Arial"/>
      <w:b/>
      <w:sz w:val="20"/>
      <w:szCs w:val="20"/>
      <w:lang w:val="x-none"/>
    </w:rPr>
  </w:style>
  <w:style w:type="paragraph" w:customStyle="1" w:styleId="Paragrfs">
    <w:name w:val="Paragrāfs"/>
    <w:basedOn w:val="Normal"/>
    <w:next w:val="Normal"/>
    <w:pPr>
      <w:tabs>
        <w:tab w:val="num" w:pos="851"/>
      </w:tabs>
      <w:spacing w:after="0"/>
      <w:ind w:left="851" w:hanging="851"/>
      <w:jc w:val="both"/>
    </w:pPr>
    <w:rPr>
      <w:rFonts w:ascii="Arial" w:eastAsia="Calibri" w:hAnsi="Arial" w:cs="Arial"/>
      <w:sz w:val="20"/>
      <w:szCs w:val="20"/>
    </w:rPr>
  </w:style>
  <w:style w:type="paragraph" w:customStyle="1" w:styleId="Rindkopa">
    <w:name w:val="Rindkopa"/>
    <w:basedOn w:val="Normal"/>
    <w:next w:val="Punkts"/>
    <w:pPr>
      <w:spacing w:after="0"/>
      <w:ind w:left="851"/>
      <w:jc w:val="both"/>
    </w:pPr>
    <w:rPr>
      <w:rFonts w:ascii="Arial" w:eastAsia="Calibri" w:hAnsi="Arial" w:cs="Arial"/>
      <w:sz w:val="20"/>
      <w:szCs w:val="20"/>
    </w:rPr>
  </w:style>
  <w:style w:type="paragraph" w:customStyle="1" w:styleId="WW-Default">
    <w:name w:val="WW-Default"/>
    <w:pPr>
      <w:suppressAutoHyphens/>
      <w:autoSpaceDE w:val="0"/>
    </w:pPr>
    <w:rPr>
      <w:rFonts w:ascii="Arial" w:hAnsi="Arial" w:cs="Arial"/>
      <w:color w:val="000000"/>
      <w:sz w:val="24"/>
      <w:szCs w:val="24"/>
      <w:lang w:eastAsia="ar-SA"/>
    </w:rPr>
  </w:style>
  <w:style w:type="paragraph" w:styleId="BalloonText">
    <w:name w:val="Balloon Text"/>
    <w:basedOn w:val="Normal"/>
    <w:pPr>
      <w:spacing w:after="0"/>
    </w:pPr>
    <w:rPr>
      <w:rFonts w:ascii="Tahoma" w:eastAsia="Calibri" w:hAnsi="Tahoma" w:cs="Tahoma"/>
      <w:sz w:val="16"/>
      <w:szCs w:val="20"/>
      <w:lang w:val="x-none"/>
    </w:rPr>
  </w:style>
  <w:style w:type="paragraph" w:styleId="BodyTextIndent">
    <w:name w:val="Body Text Indent"/>
    <w:basedOn w:val="Normal"/>
    <w:pPr>
      <w:ind w:left="283"/>
    </w:pPr>
    <w:rPr>
      <w:rFonts w:ascii="Times New Roman" w:eastAsia="Calibri" w:hAnsi="Times New Roman"/>
      <w:sz w:val="24"/>
      <w:szCs w:val="20"/>
      <w:lang w:val="x-none"/>
    </w:rPr>
  </w:style>
  <w:style w:type="paragraph" w:styleId="Subtitle">
    <w:name w:val="Subtitle"/>
    <w:basedOn w:val="Normal"/>
    <w:next w:val="BodyText"/>
    <w:qFormat/>
    <w:pPr>
      <w:spacing w:after="0"/>
      <w:jc w:val="center"/>
    </w:pPr>
    <w:rPr>
      <w:rFonts w:ascii="Times New Roman" w:eastAsia="Calibri" w:hAnsi="Times New Roman"/>
      <w:sz w:val="24"/>
      <w:szCs w:val="20"/>
      <w:lang w:val="x-none"/>
    </w:rPr>
  </w:style>
  <w:style w:type="paragraph" w:customStyle="1" w:styleId="BCvirsraksts">
    <w:name w:val="BC virsraksts"/>
    <w:basedOn w:val="Normal"/>
    <w:pPr>
      <w:spacing w:before="240"/>
    </w:pPr>
    <w:rPr>
      <w:rFonts w:ascii="DINPro-Bold" w:hAnsi="DINPro-Bold" w:cs="DINPro-Bold"/>
      <w:b/>
      <w:color w:val="332A86"/>
      <w:sz w:val="32"/>
      <w:szCs w:val="32"/>
    </w:rPr>
  </w:style>
  <w:style w:type="paragraph" w:styleId="BodyTextIndent2">
    <w:name w:val="Body Text Indent 2"/>
    <w:basedOn w:val="Normal"/>
    <w:pPr>
      <w:overflowPunct w:val="0"/>
      <w:autoSpaceDE w:val="0"/>
      <w:spacing w:line="480" w:lineRule="auto"/>
      <w:ind w:left="283"/>
      <w:textAlignment w:val="baseline"/>
    </w:pPr>
    <w:rPr>
      <w:rFonts w:ascii="Times New Roman" w:eastAsia="Calibri" w:hAnsi="Times New Roman"/>
      <w:sz w:val="24"/>
      <w:szCs w:val="20"/>
      <w:lang w:val="en-GB"/>
    </w:rPr>
  </w:style>
  <w:style w:type="paragraph" w:styleId="TOCHeading">
    <w:name w:val="TOC Heading"/>
    <w:basedOn w:val="Heading1"/>
    <w:next w:val="Normal"/>
    <w:qFormat/>
    <w:pPr>
      <w:keepLines/>
      <w:widowControl/>
      <w:numPr>
        <w:numId w:val="0"/>
      </w:numPr>
      <w:snapToGrid/>
      <w:spacing w:before="480" w:line="276" w:lineRule="auto"/>
    </w:pPr>
    <w:rPr>
      <w:rFonts w:ascii="Cambria" w:hAnsi="Cambria" w:cs="Cambria"/>
      <w:b w:val="0"/>
      <w:bCs/>
      <w:color w:val="365F91"/>
      <w:szCs w:val="28"/>
      <w:lang w:val="en-US"/>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pPr>
      <w:spacing w:before="120" w:after="160" w:line="240" w:lineRule="exact"/>
      <w:ind w:firstLine="720"/>
      <w:jc w:val="both"/>
    </w:pPr>
    <w:rPr>
      <w:rFonts w:ascii="Verdana" w:eastAsia="Calibri" w:hAnsi="Verdana" w:cs="Verdana"/>
      <w:sz w:val="20"/>
      <w:szCs w:val="20"/>
      <w:lang w:val="en-US"/>
    </w:rPr>
  </w:style>
  <w:style w:type="paragraph" w:styleId="TOC1">
    <w:name w:val="toc 1"/>
    <w:basedOn w:val="Normal"/>
    <w:next w:val="Normal"/>
    <w:pPr>
      <w:tabs>
        <w:tab w:val="left" w:pos="284"/>
        <w:tab w:val="right" w:leader="dot" w:pos="9395"/>
      </w:tabs>
      <w:ind w:left="284" w:hanging="284"/>
    </w:pPr>
  </w:style>
  <w:style w:type="paragraph" w:styleId="TOC2">
    <w:name w:val="toc 2"/>
    <w:basedOn w:val="Normal"/>
    <w:next w:val="Normal"/>
    <w:pPr>
      <w:tabs>
        <w:tab w:val="left" w:pos="709"/>
        <w:tab w:val="right" w:leader="dot" w:pos="9395"/>
      </w:tabs>
      <w:ind w:left="220"/>
    </w:pPr>
  </w:style>
  <w:style w:type="paragraph" w:styleId="CommentText">
    <w:name w:val="annotation text"/>
    <w:basedOn w:val="Normal"/>
    <w:rPr>
      <w:rFonts w:eastAsia="Calibri"/>
      <w:sz w:val="20"/>
      <w:szCs w:val="20"/>
      <w:lang w:val="x-none"/>
    </w:rPr>
  </w:style>
  <w:style w:type="paragraph" w:styleId="CommentSubject">
    <w:name w:val="annotation subject"/>
    <w:basedOn w:val="CommentText"/>
    <w:next w:val="CommentText"/>
    <w:rPr>
      <w:b/>
    </w:rPr>
  </w:style>
  <w:style w:type="paragraph" w:styleId="TOC3">
    <w:name w:val="toc 3"/>
    <w:basedOn w:val="Normal"/>
    <w:next w:val="Normal"/>
    <w:pPr>
      <w:tabs>
        <w:tab w:val="left" w:pos="1276"/>
        <w:tab w:val="right" w:leader="dot" w:pos="9395"/>
      </w:tabs>
      <w:spacing w:after="100"/>
      <w:ind w:left="1276" w:hanging="567"/>
    </w:pPr>
  </w:style>
  <w:style w:type="paragraph" w:styleId="FootnoteText">
    <w:name w:val="footnote text"/>
    <w:basedOn w:val="Normal"/>
    <w:pPr>
      <w:spacing w:after="0"/>
    </w:pPr>
    <w:rPr>
      <w:rFonts w:eastAsia="Calibri"/>
      <w:sz w:val="20"/>
      <w:szCs w:val="20"/>
      <w:lang w:val="x-none"/>
    </w:rPr>
  </w:style>
  <w:style w:type="paragraph" w:styleId="BlockText">
    <w:name w:val="Block Text"/>
    <w:basedOn w:val="Normal"/>
    <w:pPr>
      <w:spacing w:after="0"/>
      <w:ind w:left="113" w:right="113"/>
      <w:jc w:val="center"/>
    </w:pPr>
    <w:rPr>
      <w:rFonts w:ascii="Times New Roman" w:hAnsi="Times New Roman"/>
      <w:b/>
      <w:bCs/>
      <w:sz w:val="20"/>
      <w:szCs w:val="20"/>
      <w:lang w:val="en-US"/>
    </w:rPr>
  </w:style>
  <w:style w:type="paragraph" w:styleId="TOC4">
    <w:name w:val="toc 4"/>
    <w:basedOn w:val="Normal"/>
    <w:next w:val="Normal"/>
    <w:pPr>
      <w:ind w:left="660"/>
    </w:pPr>
  </w:style>
  <w:style w:type="paragraph" w:customStyle="1" w:styleId="EYTableText">
    <w:name w:val="EY Table Text"/>
    <w:basedOn w:val="Normal"/>
    <w:pPr>
      <w:spacing w:before="20" w:after="20" w:line="276" w:lineRule="auto"/>
    </w:pPr>
    <w:rPr>
      <w:rFonts w:ascii="EYInterstate Light" w:hAnsi="EYInterstate Light" w:cs="EYInterstate Light"/>
      <w:bCs/>
      <w:sz w:val="16"/>
      <w:szCs w:val="16"/>
      <w:lang w:eastAsia="lo-LA" w:bidi="lo-LA"/>
    </w:rPr>
  </w:style>
  <w:style w:type="paragraph" w:styleId="Revision">
    <w:name w:val="Revision"/>
    <w:pPr>
      <w:suppressAutoHyphens/>
    </w:pPr>
    <w:rPr>
      <w:rFonts w:ascii="Calibri" w:hAnsi="Calibri"/>
      <w:sz w:val="22"/>
      <w:szCs w:val="22"/>
      <w:lang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OC5">
    <w:name w:val="toc 5"/>
    <w:basedOn w:val="Index"/>
    <w:pPr>
      <w:tabs>
        <w:tab w:val="right" w:leader="dot" w:pos="8840"/>
      </w:tabs>
      <w:ind w:left="1132"/>
    </w:pPr>
  </w:style>
  <w:style w:type="paragraph" w:styleId="TOC6">
    <w:name w:val="toc 6"/>
    <w:basedOn w:val="Index"/>
    <w:pPr>
      <w:tabs>
        <w:tab w:val="right" w:leader="dot" w:pos="8557"/>
      </w:tabs>
      <w:ind w:left="1415"/>
    </w:pPr>
  </w:style>
  <w:style w:type="paragraph" w:styleId="TOC7">
    <w:name w:val="toc 7"/>
    <w:basedOn w:val="Index"/>
    <w:pPr>
      <w:tabs>
        <w:tab w:val="right" w:leader="dot" w:pos="8274"/>
      </w:tabs>
      <w:ind w:left="1698"/>
    </w:pPr>
  </w:style>
  <w:style w:type="paragraph" w:styleId="TOC8">
    <w:name w:val="toc 8"/>
    <w:basedOn w:val="Index"/>
    <w:pPr>
      <w:tabs>
        <w:tab w:val="right" w:leader="dot" w:pos="7991"/>
      </w:tabs>
      <w:ind w:left="1981"/>
    </w:pPr>
  </w:style>
  <w:style w:type="paragraph" w:styleId="TOC9">
    <w:name w:val="toc 9"/>
    <w:basedOn w:val="Index"/>
    <w:pPr>
      <w:tabs>
        <w:tab w:val="right" w:leader="dot" w:pos="7708"/>
      </w:tabs>
      <w:ind w:left="2264"/>
    </w:pPr>
  </w:style>
  <w:style w:type="paragraph" w:customStyle="1" w:styleId="Contents10">
    <w:name w:val="Contents 10"/>
    <w:basedOn w:val="Index"/>
    <w:pPr>
      <w:tabs>
        <w:tab w:val="right" w:leader="dot" w:pos="7425"/>
      </w:tabs>
      <w:ind w:left="254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9.xm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chart" Target="charts/chart32.xml"/><Relationship Id="rId47" Type="http://schemas.openxmlformats.org/officeDocument/2006/relationships/chart" Target="charts/chart37.xml"/><Relationship Id="rId50" Type="http://schemas.openxmlformats.org/officeDocument/2006/relationships/chart" Target="charts/chart40.xml"/><Relationship Id="rId55" Type="http://schemas.openxmlformats.org/officeDocument/2006/relationships/chart" Target="charts/chart45.xml"/><Relationship Id="rId63" Type="http://schemas.openxmlformats.org/officeDocument/2006/relationships/chart" Target="charts/chart53.xml"/><Relationship Id="rId68" Type="http://schemas.openxmlformats.org/officeDocument/2006/relationships/chart" Target="charts/chart58.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9.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chart" Target="charts/chart35.xml"/><Relationship Id="rId53" Type="http://schemas.openxmlformats.org/officeDocument/2006/relationships/chart" Target="charts/chart43.xml"/><Relationship Id="rId58" Type="http://schemas.openxmlformats.org/officeDocument/2006/relationships/chart" Target="charts/chart48.xml"/><Relationship Id="rId66" Type="http://schemas.openxmlformats.org/officeDocument/2006/relationships/chart" Target="charts/chart56.xml"/><Relationship Id="rId7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chart" Target="charts/chart39.xml"/><Relationship Id="rId57" Type="http://schemas.openxmlformats.org/officeDocument/2006/relationships/chart" Target="charts/chart47.xml"/><Relationship Id="rId61" Type="http://schemas.openxmlformats.org/officeDocument/2006/relationships/chart" Target="charts/chart51.xml"/><Relationship Id="rId10" Type="http://schemas.openxmlformats.org/officeDocument/2006/relationships/header" Target="header1.xml"/><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chart" Target="charts/chart34.xml"/><Relationship Id="rId52" Type="http://schemas.openxmlformats.org/officeDocument/2006/relationships/chart" Target="charts/chart42.xml"/><Relationship Id="rId60" Type="http://schemas.openxmlformats.org/officeDocument/2006/relationships/chart" Target="charts/chart50.xml"/><Relationship Id="rId65" Type="http://schemas.openxmlformats.org/officeDocument/2006/relationships/chart" Target="charts/chart55.xml"/><Relationship Id="rId73"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3.xml"/><Relationship Id="rId48" Type="http://schemas.openxmlformats.org/officeDocument/2006/relationships/chart" Target="charts/chart38.xml"/><Relationship Id="rId56" Type="http://schemas.openxmlformats.org/officeDocument/2006/relationships/chart" Target="charts/chart46.xml"/><Relationship Id="rId64" Type="http://schemas.openxmlformats.org/officeDocument/2006/relationships/chart" Target="charts/chart54.xml"/><Relationship Id="rId69"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chart" Target="charts/chart41.xm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chart" Target="charts/chart36.xml"/><Relationship Id="rId59" Type="http://schemas.openxmlformats.org/officeDocument/2006/relationships/chart" Target="charts/chart49.xml"/><Relationship Id="rId67" Type="http://schemas.openxmlformats.org/officeDocument/2006/relationships/chart" Target="charts/chart57.xml"/><Relationship Id="rId20" Type="http://schemas.openxmlformats.org/officeDocument/2006/relationships/chart" Target="charts/chart10.xml"/><Relationship Id="rId41" Type="http://schemas.openxmlformats.org/officeDocument/2006/relationships/chart" Target="charts/chart31.xml"/><Relationship Id="rId54" Type="http://schemas.openxmlformats.org/officeDocument/2006/relationships/chart" Target="charts/chart44.xml"/><Relationship Id="rId62" Type="http://schemas.openxmlformats.org/officeDocument/2006/relationships/chart" Target="charts/chart52.xml"/><Relationship Id="rId70" Type="http://schemas.openxmlformats.org/officeDocument/2006/relationships/header" Target="header3.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15.xml"/><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16.xml"/><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17.xml"/><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18.xml"/><Relationship Id="rId2" Type="http://schemas.openxmlformats.org/officeDocument/2006/relationships/package" Target="../embeddings/Microsoft_Excel_Worksheet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19.xml"/><Relationship Id="rId2" Type="http://schemas.openxmlformats.org/officeDocument/2006/relationships/package" Target="../embeddings/Microsoft_Excel_Worksheet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chartUserShapes" Target="../drawings/drawing20.xml"/><Relationship Id="rId2" Type="http://schemas.openxmlformats.org/officeDocument/2006/relationships/package" Target="../embeddings/Microsoft_Excel_Worksheet20.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21.xml"/><Relationship Id="rId2" Type="http://schemas.openxmlformats.org/officeDocument/2006/relationships/package" Target="../embeddings/Microsoft_Excel_Worksheet21.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3" Type="http://schemas.openxmlformats.org/officeDocument/2006/relationships/chartUserShapes" Target="../drawings/drawing22.xml"/><Relationship Id="rId2" Type="http://schemas.openxmlformats.org/officeDocument/2006/relationships/package" Target="../embeddings/Microsoft_Excel_Worksheet22.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3" Type="http://schemas.openxmlformats.org/officeDocument/2006/relationships/chartUserShapes" Target="../drawings/drawing23.xml"/><Relationship Id="rId2" Type="http://schemas.openxmlformats.org/officeDocument/2006/relationships/package" Target="../embeddings/Microsoft_Excel_Worksheet23.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3" Type="http://schemas.openxmlformats.org/officeDocument/2006/relationships/chartUserShapes" Target="../drawings/drawing24.xml"/><Relationship Id="rId2" Type="http://schemas.openxmlformats.org/officeDocument/2006/relationships/package" Target="../embeddings/Microsoft_Excel_Worksheet24.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3" Type="http://schemas.openxmlformats.org/officeDocument/2006/relationships/chartUserShapes" Target="../drawings/drawing25.xml"/><Relationship Id="rId2" Type="http://schemas.openxmlformats.org/officeDocument/2006/relationships/package" Target="../embeddings/Microsoft_Excel_Worksheet25.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3" Type="http://schemas.openxmlformats.org/officeDocument/2006/relationships/chartUserShapes" Target="../drawings/drawing26.xml"/><Relationship Id="rId2" Type="http://schemas.openxmlformats.org/officeDocument/2006/relationships/package" Target="../embeddings/Microsoft_Excel_Worksheet26.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3" Type="http://schemas.openxmlformats.org/officeDocument/2006/relationships/chartUserShapes" Target="../drawings/drawing27.xml"/><Relationship Id="rId2" Type="http://schemas.openxmlformats.org/officeDocument/2006/relationships/package" Target="../embeddings/Microsoft_Excel_Worksheet27.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3" Type="http://schemas.openxmlformats.org/officeDocument/2006/relationships/chartUserShapes" Target="../drawings/drawing28.xml"/><Relationship Id="rId2" Type="http://schemas.openxmlformats.org/officeDocument/2006/relationships/package" Target="../embeddings/Microsoft_Excel_Worksheet28.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3" Type="http://schemas.openxmlformats.org/officeDocument/2006/relationships/chartUserShapes" Target="../drawings/drawing29.xml"/><Relationship Id="rId2" Type="http://schemas.openxmlformats.org/officeDocument/2006/relationships/package" Target="../embeddings/Microsoft_Excel_Worksheet29.xlsx"/><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3" Type="http://schemas.openxmlformats.org/officeDocument/2006/relationships/chartUserShapes" Target="../drawings/drawing30.xml"/><Relationship Id="rId2" Type="http://schemas.openxmlformats.org/officeDocument/2006/relationships/package" Target="../embeddings/Microsoft_Excel_Worksheet30.xlsx"/><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3" Type="http://schemas.openxmlformats.org/officeDocument/2006/relationships/chartUserShapes" Target="../drawings/drawing31.xml"/><Relationship Id="rId2" Type="http://schemas.openxmlformats.org/officeDocument/2006/relationships/package" Target="../embeddings/Microsoft_Excel_Worksheet31.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3" Type="http://schemas.openxmlformats.org/officeDocument/2006/relationships/chartUserShapes" Target="../drawings/drawing32.xml"/><Relationship Id="rId2" Type="http://schemas.openxmlformats.org/officeDocument/2006/relationships/package" Target="../embeddings/Microsoft_Excel_Worksheet32.xlsx"/><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3" Type="http://schemas.openxmlformats.org/officeDocument/2006/relationships/chartUserShapes" Target="../drawings/drawing33.xml"/><Relationship Id="rId2" Type="http://schemas.openxmlformats.org/officeDocument/2006/relationships/package" Target="../embeddings/Microsoft_Excel_Worksheet33.xlsx"/><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3" Type="http://schemas.openxmlformats.org/officeDocument/2006/relationships/chartUserShapes" Target="../drawings/drawing34.xml"/><Relationship Id="rId2" Type="http://schemas.openxmlformats.org/officeDocument/2006/relationships/package" Target="../embeddings/Microsoft_Excel_Worksheet34.xlsx"/><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3" Type="http://schemas.openxmlformats.org/officeDocument/2006/relationships/chartUserShapes" Target="../drawings/drawing35.xml"/><Relationship Id="rId2" Type="http://schemas.openxmlformats.org/officeDocument/2006/relationships/package" Target="../embeddings/Microsoft_Excel_Worksheet35.xlsx"/><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3" Type="http://schemas.openxmlformats.org/officeDocument/2006/relationships/chartUserShapes" Target="../drawings/drawing36.xml"/><Relationship Id="rId2" Type="http://schemas.openxmlformats.org/officeDocument/2006/relationships/package" Target="../embeddings/Microsoft_Excel_Worksheet36.xlsx"/><Relationship Id="rId1" Type="http://schemas.openxmlformats.org/officeDocument/2006/relationships/themeOverride" Target="../theme/themeOverride36.xml"/></Relationships>
</file>

<file path=word/charts/_rels/chart37.xml.rels><?xml version="1.0" encoding="UTF-8" standalone="yes"?>
<Relationships xmlns="http://schemas.openxmlformats.org/package/2006/relationships"><Relationship Id="rId3" Type="http://schemas.openxmlformats.org/officeDocument/2006/relationships/chartUserShapes" Target="../drawings/drawing37.xml"/><Relationship Id="rId2" Type="http://schemas.openxmlformats.org/officeDocument/2006/relationships/package" Target="../embeddings/Microsoft_Excel_Worksheet37.xlsx"/><Relationship Id="rId1" Type="http://schemas.openxmlformats.org/officeDocument/2006/relationships/themeOverride" Target="../theme/themeOverride37.xml"/></Relationships>
</file>

<file path=word/charts/_rels/chart38.xml.rels><?xml version="1.0" encoding="UTF-8" standalone="yes"?>
<Relationships xmlns="http://schemas.openxmlformats.org/package/2006/relationships"><Relationship Id="rId3" Type="http://schemas.openxmlformats.org/officeDocument/2006/relationships/chartUserShapes" Target="../drawings/drawing38.xml"/><Relationship Id="rId2" Type="http://schemas.openxmlformats.org/officeDocument/2006/relationships/package" Target="../embeddings/Microsoft_Excel_Worksheet38.xlsx"/><Relationship Id="rId1" Type="http://schemas.openxmlformats.org/officeDocument/2006/relationships/themeOverride" Target="../theme/themeOverride38.xml"/></Relationships>
</file>

<file path=word/charts/_rels/chart39.xml.rels><?xml version="1.0" encoding="UTF-8" standalone="yes"?>
<Relationships xmlns="http://schemas.openxmlformats.org/package/2006/relationships"><Relationship Id="rId3" Type="http://schemas.openxmlformats.org/officeDocument/2006/relationships/chartUserShapes" Target="../drawings/drawing39.xml"/><Relationship Id="rId2" Type="http://schemas.openxmlformats.org/officeDocument/2006/relationships/package" Target="../embeddings/Microsoft_Excel_Worksheet39.xlsx"/><Relationship Id="rId1" Type="http://schemas.openxmlformats.org/officeDocument/2006/relationships/themeOverride" Target="../theme/themeOverride39.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3" Type="http://schemas.openxmlformats.org/officeDocument/2006/relationships/chartUserShapes" Target="../drawings/drawing40.xml"/><Relationship Id="rId2" Type="http://schemas.openxmlformats.org/officeDocument/2006/relationships/package" Target="../embeddings/Microsoft_Excel_Worksheet40.xlsx"/><Relationship Id="rId1" Type="http://schemas.openxmlformats.org/officeDocument/2006/relationships/themeOverride" Target="../theme/themeOverride40.xml"/></Relationships>
</file>

<file path=word/charts/_rels/chart41.xml.rels><?xml version="1.0" encoding="UTF-8" standalone="yes"?>
<Relationships xmlns="http://schemas.openxmlformats.org/package/2006/relationships"><Relationship Id="rId3" Type="http://schemas.openxmlformats.org/officeDocument/2006/relationships/chartUserShapes" Target="../drawings/drawing41.xml"/><Relationship Id="rId2" Type="http://schemas.openxmlformats.org/officeDocument/2006/relationships/package" Target="../embeddings/Microsoft_Excel_Worksheet41.xlsx"/><Relationship Id="rId1" Type="http://schemas.openxmlformats.org/officeDocument/2006/relationships/themeOverride" Target="../theme/themeOverride41.xml"/></Relationships>
</file>

<file path=word/charts/_rels/chart42.xml.rels><?xml version="1.0" encoding="UTF-8" standalone="yes"?>
<Relationships xmlns="http://schemas.openxmlformats.org/package/2006/relationships"><Relationship Id="rId3" Type="http://schemas.openxmlformats.org/officeDocument/2006/relationships/chartUserShapes" Target="../drawings/drawing42.xml"/><Relationship Id="rId2" Type="http://schemas.openxmlformats.org/officeDocument/2006/relationships/package" Target="../embeddings/Microsoft_Excel_Worksheet42.xlsx"/><Relationship Id="rId1" Type="http://schemas.openxmlformats.org/officeDocument/2006/relationships/themeOverride" Target="../theme/themeOverride42.xml"/></Relationships>
</file>

<file path=word/charts/_rels/chart43.xml.rels><?xml version="1.0" encoding="UTF-8" standalone="yes"?>
<Relationships xmlns="http://schemas.openxmlformats.org/package/2006/relationships"><Relationship Id="rId3" Type="http://schemas.openxmlformats.org/officeDocument/2006/relationships/chartUserShapes" Target="../drawings/drawing43.xml"/><Relationship Id="rId2" Type="http://schemas.openxmlformats.org/officeDocument/2006/relationships/package" Target="../embeddings/Microsoft_Excel_Worksheet43.xlsx"/><Relationship Id="rId1" Type="http://schemas.openxmlformats.org/officeDocument/2006/relationships/themeOverride" Target="../theme/themeOverride43.xml"/></Relationships>
</file>

<file path=word/charts/_rels/chart44.xml.rels><?xml version="1.0" encoding="UTF-8" standalone="yes"?>
<Relationships xmlns="http://schemas.openxmlformats.org/package/2006/relationships"><Relationship Id="rId3" Type="http://schemas.openxmlformats.org/officeDocument/2006/relationships/chartUserShapes" Target="../drawings/drawing44.xml"/><Relationship Id="rId2" Type="http://schemas.openxmlformats.org/officeDocument/2006/relationships/package" Target="../embeddings/Microsoft_Excel_Worksheet44.xlsx"/><Relationship Id="rId1" Type="http://schemas.openxmlformats.org/officeDocument/2006/relationships/themeOverride" Target="../theme/themeOverride44.xml"/></Relationships>
</file>

<file path=word/charts/_rels/chart45.xml.rels><?xml version="1.0" encoding="UTF-8" standalone="yes"?>
<Relationships xmlns="http://schemas.openxmlformats.org/package/2006/relationships"><Relationship Id="rId3" Type="http://schemas.openxmlformats.org/officeDocument/2006/relationships/chartUserShapes" Target="../drawings/drawing45.xml"/><Relationship Id="rId2" Type="http://schemas.openxmlformats.org/officeDocument/2006/relationships/package" Target="../embeddings/Microsoft_Excel_Worksheet45.xlsx"/><Relationship Id="rId1" Type="http://schemas.openxmlformats.org/officeDocument/2006/relationships/themeOverride" Target="../theme/themeOverride45.xml"/></Relationships>
</file>

<file path=word/charts/_rels/chart46.xml.rels><?xml version="1.0" encoding="UTF-8" standalone="yes"?>
<Relationships xmlns="http://schemas.openxmlformats.org/package/2006/relationships"><Relationship Id="rId3" Type="http://schemas.openxmlformats.org/officeDocument/2006/relationships/chartUserShapes" Target="../drawings/drawing46.xml"/><Relationship Id="rId2" Type="http://schemas.openxmlformats.org/officeDocument/2006/relationships/package" Target="../embeddings/Microsoft_Excel_Worksheet46.xlsx"/><Relationship Id="rId1" Type="http://schemas.openxmlformats.org/officeDocument/2006/relationships/themeOverride" Target="../theme/themeOverride46.xml"/></Relationships>
</file>

<file path=word/charts/_rels/chart47.xml.rels><?xml version="1.0" encoding="UTF-8" standalone="yes"?>
<Relationships xmlns="http://schemas.openxmlformats.org/package/2006/relationships"><Relationship Id="rId3" Type="http://schemas.openxmlformats.org/officeDocument/2006/relationships/chartUserShapes" Target="../drawings/drawing47.xml"/><Relationship Id="rId2" Type="http://schemas.openxmlformats.org/officeDocument/2006/relationships/package" Target="../embeddings/Microsoft_Excel_Worksheet47.xlsx"/><Relationship Id="rId1" Type="http://schemas.openxmlformats.org/officeDocument/2006/relationships/themeOverride" Target="../theme/themeOverride47.xml"/></Relationships>
</file>

<file path=word/charts/_rels/chart48.xml.rels><?xml version="1.0" encoding="UTF-8" standalone="yes"?>
<Relationships xmlns="http://schemas.openxmlformats.org/package/2006/relationships"><Relationship Id="rId3" Type="http://schemas.openxmlformats.org/officeDocument/2006/relationships/chartUserShapes" Target="../drawings/drawing48.xml"/><Relationship Id="rId2" Type="http://schemas.openxmlformats.org/officeDocument/2006/relationships/package" Target="../embeddings/Microsoft_Excel_Worksheet48.xlsx"/><Relationship Id="rId1" Type="http://schemas.openxmlformats.org/officeDocument/2006/relationships/themeOverride" Target="../theme/themeOverride48.xml"/></Relationships>
</file>

<file path=word/charts/_rels/chart49.xml.rels><?xml version="1.0" encoding="UTF-8" standalone="yes"?>
<Relationships xmlns="http://schemas.openxmlformats.org/package/2006/relationships"><Relationship Id="rId3" Type="http://schemas.openxmlformats.org/officeDocument/2006/relationships/chartUserShapes" Target="../drawings/drawing49.xml"/><Relationship Id="rId2" Type="http://schemas.openxmlformats.org/officeDocument/2006/relationships/package" Target="../embeddings/Microsoft_Excel_Worksheet49.xlsx"/><Relationship Id="rId1" Type="http://schemas.openxmlformats.org/officeDocument/2006/relationships/themeOverride" Target="../theme/themeOverride49.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3" Type="http://schemas.openxmlformats.org/officeDocument/2006/relationships/chartUserShapes" Target="../drawings/drawing50.xml"/><Relationship Id="rId2" Type="http://schemas.openxmlformats.org/officeDocument/2006/relationships/package" Target="../embeddings/Microsoft_Excel_Worksheet50.xlsx"/><Relationship Id="rId1" Type="http://schemas.openxmlformats.org/officeDocument/2006/relationships/themeOverride" Target="../theme/themeOverride50.xml"/></Relationships>
</file>

<file path=word/charts/_rels/chart51.xml.rels><?xml version="1.0" encoding="UTF-8" standalone="yes"?>
<Relationships xmlns="http://schemas.openxmlformats.org/package/2006/relationships"><Relationship Id="rId3" Type="http://schemas.openxmlformats.org/officeDocument/2006/relationships/chartUserShapes" Target="../drawings/drawing51.xml"/><Relationship Id="rId2" Type="http://schemas.openxmlformats.org/officeDocument/2006/relationships/package" Target="../embeddings/Microsoft_Excel_Worksheet51.xlsx"/><Relationship Id="rId1" Type="http://schemas.openxmlformats.org/officeDocument/2006/relationships/themeOverride" Target="../theme/themeOverride51.xml"/></Relationships>
</file>

<file path=word/charts/_rels/chart52.xml.rels><?xml version="1.0" encoding="UTF-8" standalone="yes"?>
<Relationships xmlns="http://schemas.openxmlformats.org/package/2006/relationships"><Relationship Id="rId3" Type="http://schemas.openxmlformats.org/officeDocument/2006/relationships/chartUserShapes" Target="../drawings/drawing52.xml"/><Relationship Id="rId2" Type="http://schemas.openxmlformats.org/officeDocument/2006/relationships/package" Target="../embeddings/Microsoft_Excel_Worksheet52.xlsx"/><Relationship Id="rId1" Type="http://schemas.openxmlformats.org/officeDocument/2006/relationships/themeOverride" Target="../theme/themeOverride52.xml"/></Relationships>
</file>

<file path=word/charts/_rels/chart53.xml.rels><?xml version="1.0" encoding="UTF-8" standalone="yes"?>
<Relationships xmlns="http://schemas.openxmlformats.org/package/2006/relationships"><Relationship Id="rId3" Type="http://schemas.openxmlformats.org/officeDocument/2006/relationships/chartUserShapes" Target="../drawings/drawing53.xml"/><Relationship Id="rId2" Type="http://schemas.openxmlformats.org/officeDocument/2006/relationships/package" Target="../embeddings/Microsoft_Excel_Worksheet53.xlsx"/><Relationship Id="rId1" Type="http://schemas.openxmlformats.org/officeDocument/2006/relationships/themeOverride" Target="../theme/themeOverride53.xml"/></Relationships>
</file>

<file path=word/charts/_rels/chart54.xml.rels><?xml version="1.0" encoding="UTF-8" standalone="yes"?>
<Relationships xmlns="http://schemas.openxmlformats.org/package/2006/relationships"><Relationship Id="rId3" Type="http://schemas.openxmlformats.org/officeDocument/2006/relationships/chartUserShapes" Target="../drawings/drawing54.xml"/><Relationship Id="rId2" Type="http://schemas.openxmlformats.org/officeDocument/2006/relationships/package" Target="../embeddings/Microsoft_Excel_Worksheet54.xlsx"/><Relationship Id="rId1" Type="http://schemas.openxmlformats.org/officeDocument/2006/relationships/themeOverride" Target="../theme/themeOverride54.xml"/></Relationships>
</file>

<file path=word/charts/_rels/chart55.xml.rels><?xml version="1.0" encoding="UTF-8" standalone="yes"?>
<Relationships xmlns="http://schemas.openxmlformats.org/package/2006/relationships"><Relationship Id="rId3" Type="http://schemas.openxmlformats.org/officeDocument/2006/relationships/chartUserShapes" Target="../drawings/drawing55.xml"/><Relationship Id="rId2" Type="http://schemas.openxmlformats.org/officeDocument/2006/relationships/package" Target="../embeddings/Microsoft_Excel_Worksheet55.xlsx"/><Relationship Id="rId1" Type="http://schemas.openxmlformats.org/officeDocument/2006/relationships/themeOverride" Target="../theme/themeOverride55.xml"/></Relationships>
</file>

<file path=word/charts/_rels/chart56.xml.rels><?xml version="1.0" encoding="UTF-8" standalone="yes"?>
<Relationships xmlns="http://schemas.openxmlformats.org/package/2006/relationships"><Relationship Id="rId3" Type="http://schemas.openxmlformats.org/officeDocument/2006/relationships/chartUserShapes" Target="../drawings/drawing56.xml"/><Relationship Id="rId2" Type="http://schemas.openxmlformats.org/officeDocument/2006/relationships/package" Target="../embeddings/Microsoft_Excel_Worksheet56.xlsx"/><Relationship Id="rId1" Type="http://schemas.openxmlformats.org/officeDocument/2006/relationships/themeOverride" Target="../theme/themeOverride56.xml"/></Relationships>
</file>

<file path=word/charts/_rels/chart57.xml.rels><?xml version="1.0" encoding="UTF-8" standalone="yes"?>
<Relationships xmlns="http://schemas.openxmlformats.org/package/2006/relationships"><Relationship Id="rId3" Type="http://schemas.openxmlformats.org/officeDocument/2006/relationships/chartUserShapes" Target="../drawings/drawing57.xml"/><Relationship Id="rId2" Type="http://schemas.openxmlformats.org/officeDocument/2006/relationships/package" Target="../embeddings/Microsoft_Excel_Worksheet57.xlsx"/><Relationship Id="rId1" Type="http://schemas.openxmlformats.org/officeDocument/2006/relationships/themeOverride" Target="../theme/themeOverride57.xml"/></Relationships>
</file>

<file path=word/charts/_rels/chart58.xml.rels><?xml version="1.0" encoding="UTF-8" standalone="yes"?>
<Relationships xmlns="http://schemas.openxmlformats.org/package/2006/relationships"><Relationship Id="rId3" Type="http://schemas.openxmlformats.org/officeDocument/2006/relationships/chartUserShapes" Target="../drawings/drawing58.xml"/><Relationship Id="rId2" Type="http://schemas.openxmlformats.org/officeDocument/2006/relationships/package" Target="../embeddings/Microsoft_Excel_Worksheet58.xlsx"/><Relationship Id="rId1" Type="http://schemas.openxmlformats.org/officeDocument/2006/relationships/themeOverride" Target="../theme/themeOverride58.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Aptaujas rezultātu</a:t>
            </a:r>
            <a:r>
              <a:rPr lang="lv-LV" sz="1050" baseline="0"/>
              <a:t> kopsavilkums</a:t>
            </a:r>
            <a:r>
              <a:rPr lang="lv-LV" sz="1050"/>
              <a:t> (%)</a:t>
            </a:r>
            <a:endParaRPr lang="en-US" sz="1050"/>
          </a:p>
        </c:rich>
      </c:tx>
      <c:layout>
        <c:manualLayout>
          <c:xMode val="edge"/>
          <c:yMode val="edge"/>
          <c:x val="0.33560871876661375"/>
          <c:y val="7.0983664355388579E-4"/>
        </c:manualLayout>
      </c:layout>
      <c:overlay val="0"/>
    </c:title>
    <c:autoTitleDeleted val="0"/>
    <c:plotArea>
      <c:layout>
        <c:manualLayout>
          <c:layoutTarget val="inner"/>
          <c:xMode val="edge"/>
          <c:yMode val="edge"/>
          <c:x val="0.5195925784002271"/>
          <c:y val="3.8217691993428025E-2"/>
          <c:w val="0.443051871263345"/>
          <c:h val="0.90970717126204659"/>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Sheet1!$A$2:$A$49</c:f>
              <c:strCache>
                <c:ptCount val="48"/>
                <c:pt idx="0">
                  <c:v>P&amp;A ir būtiska uzņēmuma darbībā</c:v>
                </c:pt>
                <c:pt idx="2">
                  <c:v>Pēdējo 3 gadu laikā ir veikuši ieguldījumus P&amp;A, t.sk.,</c:v>
                </c:pt>
                <c:pt idx="3">
                  <c:v>regulāri</c:v>
                </c:pt>
                <c:pt idx="4">
                  <c:v>dažkārt</c:v>
                </c:pt>
                <c:pt idx="5">
                  <c:v>vienreiz</c:v>
                </c:pt>
                <c:pt idx="7">
                  <c:v>Ir veikuši ieguldījumus</c:v>
                </c:pt>
                <c:pt idx="8">
                  <c:v>fundamentālos pētījumos</c:v>
                </c:pt>
                <c:pt idx="9">
                  <c:v>lietišķos pētījumos</c:v>
                </c:pt>
                <c:pt idx="10">
                  <c:v>eksperimentālās izstrādēs</c:v>
                </c:pt>
                <c:pt idx="12">
                  <c:v>Ir ieviests</c:v>
                </c:pt>
                <c:pt idx="13">
                  <c:v>jauns produkts</c:v>
                </c:pt>
                <c:pt idx="14">
                  <c:v>jauns pakalpojums</c:v>
                </c:pt>
                <c:pt idx="15">
                  <c:v>jauna tehnoloģija</c:v>
                </c:pt>
                <c:pt idx="17">
                  <c:v>Ir reģistrētas rūpnieciskā īpašuma tiesības (iegūts patents), t.sk.,</c:v>
                </c:pt>
                <c:pt idx="18">
                  <c:v>vairākas reizes</c:v>
                </c:pt>
                <c:pt idx="19">
                  <c:v>vienreiz</c:v>
                </c:pt>
                <c:pt idx="21">
                  <c:v>Ir iegādātas izgudrojumu u.c. veida zināšanu lietošanas tiesības, t.sk.,</c:v>
                </c:pt>
                <c:pt idx="22">
                  <c:v>vairākas reizes</c:v>
                </c:pt>
                <c:pt idx="23">
                  <c:v>vienreiz</c:v>
                </c:pt>
                <c:pt idx="25">
                  <c:v>Plāno veikt ieguldījumus P&amp;A tuvāko trīs gadu laikā, t.sk.,</c:v>
                </c:pt>
                <c:pt idx="26">
                  <c:v>Noteikti jā</c:v>
                </c:pt>
                <c:pt idx="27">
                  <c:v>Drīzāk jā</c:v>
                </c:pt>
                <c:pt idx="29">
                  <c:v>Ieguldījumi P&amp;A bijuši nepieciešami, bet trūcis finansējuma, t.sk.,</c:v>
                </c:pt>
                <c:pt idx="30">
                  <c:v>vairākas reizes</c:v>
                </c:pt>
                <c:pt idx="31">
                  <c:v>vienreiz</c:v>
                </c:pt>
                <c:pt idx="33">
                  <c:v>Būtiskākie šķēršļi uzņēmuma iespējām veikt ieguldījumus P&amp;A</c:v>
                </c:pt>
                <c:pt idx="34">
                  <c:v>Pašu līdzekļu nepietiekamība</c:v>
                </c:pt>
                <c:pt idx="35">
                  <c:v>Ārējā finansējuma nepieejamība</c:v>
                </c:pt>
                <c:pt idx="36">
                  <c:v>Ārējā finansējuma nepietiekamība</c:v>
                </c:pt>
                <c:pt idx="38">
                  <c:v>Esošie valsts atbalsta instrumenti ir</c:v>
                </c:pt>
                <c:pt idx="39">
                  <c:v>pietiekami</c:v>
                </c:pt>
                <c:pt idx="40">
                  <c:v>nepietiekami</c:v>
                </c:pt>
                <c:pt idx="42">
                  <c:v>Nepieciešamie papildu valsts atbalsta instrumenti</c:v>
                </c:pt>
                <c:pt idx="43">
                  <c:v>Nodokļu atvieglojumi</c:v>
                </c:pt>
                <c:pt idx="44">
                  <c:v>Finansējuma pieejamība, granti</c:v>
                </c:pt>
                <c:pt idx="45">
                  <c:v>Birokrātijas samazināšana</c:v>
                </c:pt>
                <c:pt idx="46">
                  <c:v>Valsts garantijas kredītiem bankās</c:v>
                </c:pt>
                <c:pt idx="47">
                  <c:v>Speciālistu konsultācijas</c:v>
                </c:pt>
              </c:strCache>
            </c:strRef>
          </c:cat>
          <c:val>
            <c:numRef>
              <c:f>Sheet1!$B$2:$B$49</c:f>
              <c:numCache>
                <c:formatCode>General</c:formatCode>
                <c:ptCount val="48"/>
                <c:pt idx="0" formatCode="0">
                  <c:v>38.405797101449274</c:v>
                </c:pt>
                <c:pt idx="2" formatCode="0">
                  <c:v>38.164251207729471</c:v>
                </c:pt>
                <c:pt idx="3" formatCode="0">
                  <c:v>10.386473429951694</c:v>
                </c:pt>
                <c:pt idx="4" formatCode="0">
                  <c:v>20.289855072463769</c:v>
                </c:pt>
                <c:pt idx="5" formatCode="0">
                  <c:v>7.4879227053140127</c:v>
                </c:pt>
                <c:pt idx="8" formatCode="0">
                  <c:v>3.9702233250620349</c:v>
                </c:pt>
                <c:pt idx="9" formatCode="0">
                  <c:v>18.610421836228287</c:v>
                </c:pt>
                <c:pt idx="10" formatCode="0">
                  <c:v>20.595533498759291</c:v>
                </c:pt>
                <c:pt idx="13" formatCode="0">
                  <c:v>20.48517520215632</c:v>
                </c:pt>
                <c:pt idx="14" formatCode="0">
                  <c:v>19.137466307277631</c:v>
                </c:pt>
                <c:pt idx="15" formatCode="0">
                  <c:v>18.059299191374663</c:v>
                </c:pt>
                <c:pt idx="17" formatCode="0">
                  <c:v>2</c:v>
                </c:pt>
                <c:pt idx="18" formatCode="0">
                  <c:v>0.81300813008130079</c:v>
                </c:pt>
                <c:pt idx="19" formatCode="0">
                  <c:v>1.0840108401084017</c:v>
                </c:pt>
                <c:pt idx="21" formatCode="0">
                  <c:v>7</c:v>
                </c:pt>
                <c:pt idx="22" formatCode="0">
                  <c:v>3.2520325203252027</c:v>
                </c:pt>
                <c:pt idx="23" formatCode="0">
                  <c:v>3.5230352303523049</c:v>
                </c:pt>
                <c:pt idx="25" formatCode="0">
                  <c:v>31</c:v>
                </c:pt>
                <c:pt idx="26" formatCode="0">
                  <c:v>11.815561959654179</c:v>
                </c:pt>
                <c:pt idx="27" formatCode="0">
                  <c:v>18.731988472622497</c:v>
                </c:pt>
                <c:pt idx="29" formatCode="0">
                  <c:v>43</c:v>
                </c:pt>
                <c:pt idx="30" formatCode="0">
                  <c:v>33.237822349570223</c:v>
                </c:pt>
                <c:pt idx="31" formatCode="0">
                  <c:v>9.4555873925501519</c:v>
                </c:pt>
                <c:pt idx="34" formatCode="0">
                  <c:v>56.591639871382604</c:v>
                </c:pt>
                <c:pt idx="35" formatCode="0">
                  <c:v>16.720257234726677</c:v>
                </c:pt>
                <c:pt idx="36" formatCode="0">
                  <c:v>8.3601286173633493</c:v>
                </c:pt>
                <c:pt idx="39" formatCode="0">
                  <c:v>3.6144578313253013</c:v>
                </c:pt>
                <c:pt idx="40" formatCode="0">
                  <c:v>59.939759036144579</c:v>
                </c:pt>
                <c:pt idx="43" formatCode="0">
                  <c:v>61.176470588235297</c:v>
                </c:pt>
                <c:pt idx="44" formatCode="0">
                  <c:v>35.294117647058869</c:v>
                </c:pt>
                <c:pt idx="45" formatCode="0">
                  <c:v>9.4117647058823533</c:v>
                </c:pt>
                <c:pt idx="46" formatCode="0">
                  <c:v>4.7058823529411784</c:v>
                </c:pt>
                <c:pt idx="47" formatCode="0">
                  <c:v>3.5294117647058822</c:v>
                </c:pt>
              </c:numCache>
            </c:numRef>
          </c:val>
        </c:ser>
        <c:dLbls>
          <c:showLegendKey val="0"/>
          <c:showVal val="0"/>
          <c:showCatName val="0"/>
          <c:showSerName val="0"/>
          <c:showPercent val="0"/>
          <c:showBubbleSize val="0"/>
        </c:dLbls>
        <c:gapWidth val="50"/>
        <c:axId val="179873664"/>
        <c:axId val="179875200"/>
      </c:barChart>
      <c:catAx>
        <c:axId val="179873664"/>
        <c:scaling>
          <c:orientation val="maxMin"/>
        </c:scaling>
        <c:delete val="0"/>
        <c:axPos val="l"/>
        <c:majorTickMark val="out"/>
        <c:minorTickMark val="none"/>
        <c:tickLblPos val="nextTo"/>
        <c:txPr>
          <a:bodyPr/>
          <a:lstStyle/>
          <a:p>
            <a:pPr>
              <a:defRPr sz="800"/>
            </a:pPr>
            <a:endParaRPr lang="lv-LV"/>
          </a:p>
        </c:txPr>
        <c:crossAx val="179875200"/>
        <c:crosses val="autoZero"/>
        <c:auto val="1"/>
        <c:lblAlgn val="ctr"/>
        <c:lblOffset val="100"/>
        <c:noMultiLvlLbl val="0"/>
      </c:catAx>
      <c:valAx>
        <c:axId val="179875200"/>
        <c:scaling>
          <c:orientation val="minMax"/>
          <c:max val="100"/>
          <c:min val="0"/>
        </c:scaling>
        <c:delete val="1"/>
        <c:axPos val="t"/>
        <c:numFmt formatCode="0" sourceLinked="1"/>
        <c:majorTickMark val="out"/>
        <c:minorTickMark val="none"/>
        <c:tickLblPos val="none"/>
        <c:crossAx val="179873664"/>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Kāds ir bijis ieguldījumu īpatsvars no jūsu uzņēmuma apgrozījuma vidēji gadā? (%)</a:t>
            </a:r>
            <a:endParaRPr lang="en-US" sz="1050"/>
          </a:p>
        </c:rich>
      </c:tx>
      <c:layout>
        <c:manualLayout>
          <c:xMode val="edge"/>
          <c:yMode val="edge"/>
          <c:x val="0.12128847530422333"/>
          <c:y val="5.3201297436073783E-2"/>
        </c:manualLayout>
      </c:layout>
      <c:overlay val="0"/>
    </c:title>
    <c:autoTitleDeleted val="0"/>
    <c:plotArea>
      <c:layout>
        <c:manualLayout>
          <c:layoutTarget val="inner"/>
          <c:xMode val="edge"/>
          <c:yMode val="edge"/>
          <c:x val="5.3415547936890725E-2"/>
          <c:y val="0.22156219555525011"/>
          <c:w val="0.91704412546517877"/>
          <c:h val="0.36238719068413422"/>
        </c:manualLayout>
      </c:layout>
      <c:barChart>
        <c:barDir val="col"/>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showLegendKey val="0"/>
            <c:showVal val="1"/>
            <c:showCatName val="0"/>
            <c:showSerName val="0"/>
            <c:showPercent val="0"/>
            <c:showBubbleSize val="0"/>
            <c:showLeaderLines val="0"/>
          </c:dLbls>
          <c:cat>
            <c:strRef>
              <c:f>Sheet1!$A$2:$A$11</c:f>
              <c:strCache>
                <c:ptCount val="10"/>
                <c:pt idx="0">
                  <c:v>1% un mazāk</c:v>
                </c:pt>
                <c:pt idx="1">
                  <c:v>1.1-2%</c:v>
                </c:pt>
                <c:pt idx="2">
                  <c:v>2.1-3%</c:v>
                </c:pt>
                <c:pt idx="3">
                  <c:v>3.1-5%</c:v>
                </c:pt>
                <c:pt idx="4">
                  <c:v>5.1-10%</c:v>
                </c:pt>
                <c:pt idx="5">
                  <c:v>10.1-20%</c:v>
                </c:pt>
                <c:pt idx="6">
                  <c:v>20.1-30%</c:v>
                </c:pt>
                <c:pt idx="7">
                  <c:v>30.1-40%</c:v>
                </c:pt>
                <c:pt idx="8">
                  <c:v>40.1-50%</c:v>
                </c:pt>
                <c:pt idx="9">
                  <c:v>50.1% un vairāk</c:v>
                </c:pt>
              </c:strCache>
            </c:strRef>
          </c:cat>
          <c:val>
            <c:numRef>
              <c:f>Sheet1!$B$2:$B$11</c:f>
              <c:numCache>
                <c:formatCode>0</c:formatCode>
                <c:ptCount val="10"/>
                <c:pt idx="0">
                  <c:v>24.761904761904781</c:v>
                </c:pt>
                <c:pt idx="1">
                  <c:v>8.5714285714285712</c:v>
                </c:pt>
                <c:pt idx="2">
                  <c:v>7.6190476190476186</c:v>
                </c:pt>
                <c:pt idx="3">
                  <c:v>13.333333333333334</c:v>
                </c:pt>
                <c:pt idx="4">
                  <c:v>17.14285714285716</c:v>
                </c:pt>
                <c:pt idx="5">
                  <c:v>9.5238095238095237</c:v>
                </c:pt>
                <c:pt idx="6">
                  <c:v>4.7619047619047619</c:v>
                </c:pt>
                <c:pt idx="7">
                  <c:v>1.9047619047619058</c:v>
                </c:pt>
                <c:pt idx="8">
                  <c:v>6.666666666666667</c:v>
                </c:pt>
                <c:pt idx="9">
                  <c:v>5.71428571428571</c:v>
                </c:pt>
              </c:numCache>
            </c:numRef>
          </c:val>
        </c:ser>
        <c:dLbls>
          <c:showLegendKey val="0"/>
          <c:showVal val="0"/>
          <c:showCatName val="0"/>
          <c:showSerName val="0"/>
          <c:showPercent val="0"/>
          <c:showBubbleSize val="0"/>
        </c:dLbls>
        <c:gapWidth val="50"/>
        <c:axId val="187308672"/>
        <c:axId val="187314560"/>
      </c:barChart>
      <c:catAx>
        <c:axId val="187308672"/>
        <c:scaling>
          <c:orientation val="minMax"/>
        </c:scaling>
        <c:delete val="0"/>
        <c:axPos val="b"/>
        <c:majorTickMark val="out"/>
        <c:minorTickMark val="none"/>
        <c:tickLblPos val="nextTo"/>
        <c:crossAx val="187314560"/>
        <c:crosses val="autoZero"/>
        <c:auto val="1"/>
        <c:lblAlgn val="ctr"/>
        <c:lblOffset val="100"/>
        <c:noMultiLvlLbl val="0"/>
      </c:catAx>
      <c:valAx>
        <c:axId val="187314560"/>
        <c:scaling>
          <c:orientation val="minMax"/>
          <c:max val="50"/>
          <c:min val="0"/>
        </c:scaling>
        <c:delete val="1"/>
        <c:axPos val="l"/>
        <c:numFmt formatCode="0" sourceLinked="1"/>
        <c:majorTickMark val="out"/>
        <c:minorTickMark val="none"/>
        <c:tickLblPos val="none"/>
        <c:crossAx val="187308672"/>
        <c:crosses val="autoZero"/>
        <c:crossBetween val="between"/>
      </c:valAx>
    </c:plotArea>
    <c:plotVisOnly val="1"/>
    <c:dispBlanksAs val="gap"/>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Kāds ir bijis ieguldījumu apjoms vidēji gadā latos? (%)</a:t>
            </a:r>
            <a:endParaRPr lang="en-US" sz="1050"/>
          </a:p>
        </c:rich>
      </c:tx>
      <c:layout>
        <c:manualLayout>
          <c:xMode val="edge"/>
          <c:yMode val="edge"/>
          <c:x val="0.25525976717025245"/>
          <c:y val="4.7378881133308133E-2"/>
        </c:manualLayout>
      </c:layout>
      <c:overlay val="0"/>
    </c:title>
    <c:autoTitleDeleted val="0"/>
    <c:plotArea>
      <c:layout>
        <c:manualLayout>
          <c:layoutTarget val="inner"/>
          <c:xMode val="edge"/>
          <c:yMode val="edge"/>
          <c:x val="5.1289019494572687E-2"/>
          <c:y val="0.22156219555525011"/>
          <c:w val="0.91704412546517877"/>
          <c:h val="0.36238719068413422"/>
        </c:manualLayout>
      </c:layout>
      <c:barChart>
        <c:barDir val="col"/>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showLegendKey val="0"/>
            <c:showVal val="1"/>
            <c:showCatName val="0"/>
            <c:showSerName val="0"/>
            <c:showPercent val="0"/>
            <c:showBubbleSize val="0"/>
            <c:showLeaderLines val="0"/>
          </c:dLbls>
          <c:cat>
            <c:strRef>
              <c:f>Sheet1!$A$2:$A$7</c:f>
              <c:strCache>
                <c:ptCount val="6"/>
                <c:pt idx="0">
                  <c:v>1 000 LVL un mazāk</c:v>
                </c:pt>
                <c:pt idx="1">
                  <c:v>1 001 - 5 000 LVL</c:v>
                </c:pt>
                <c:pt idx="2">
                  <c:v>5 001 - 10 000 LVL</c:v>
                </c:pt>
                <c:pt idx="3">
                  <c:v>10 001 - 20 000 LVL</c:v>
                </c:pt>
                <c:pt idx="4">
                  <c:v>20 001 - 50 000 LVL</c:v>
                </c:pt>
                <c:pt idx="5">
                  <c:v>50 001 LVL un vairāk</c:v>
                </c:pt>
              </c:strCache>
            </c:strRef>
          </c:cat>
          <c:val>
            <c:numRef>
              <c:f>Sheet1!$B$2:$B$7</c:f>
              <c:numCache>
                <c:formatCode>0</c:formatCode>
                <c:ptCount val="6"/>
                <c:pt idx="0">
                  <c:v>28.42105263157892</c:v>
                </c:pt>
                <c:pt idx="1">
                  <c:v>27.368421052631579</c:v>
                </c:pt>
                <c:pt idx="2">
                  <c:v>11.578947368421053</c:v>
                </c:pt>
                <c:pt idx="3">
                  <c:v>9.4736842105263364</c:v>
                </c:pt>
                <c:pt idx="4">
                  <c:v>11.578947368421053</c:v>
                </c:pt>
                <c:pt idx="5">
                  <c:v>11.578947368421053</c:v>
                </c:pt>
              </c:numCache>
            </c:numRef>
          </c:val>
        </c:ser>
        <c:dLbls>
          <c:showLegendKey val="0"/>
          <c:showVal val="0"/>
          <c:showCatName val="0"/>
          <c:showSerName val="0"/>
          <c:showPercent val="0"/>
          <c:showBubbleSize val="0"/>
        </c:dLbls>
        <c:gapWidth val="50"/>
        <c:axId val="187384576"/>
        <c:axId val="187386112"/>
      </c:barChart>
      <c:catAx>
        <c:axId val="187384576"/>
        <c:scaling>
          <c:orientation val="minMax"/>
        </c:scaling>
        <c:delete val="0"/>
        <c:axPos val="b"/>
        <c:majorTickMark val="out"/>
        <c:minorTickMark val="none"/>
        <c:tickLblPos val="nextTo"/>
        <c:crossAx val="187386112"/>
        <c:crosses val="autoZero"/>
        <c:auto val="1"/>
        <c:lblAlgn val="ctr"/>
        <c:lblOffset val="100"/>
        <c:noMultiLvlLbl val="0"/>
      </c:catAx>
      <c:valAx>
        <c:axId val="187386112"/>
        <c:scaling>
          <c:orientation val="minMax"/>
          <c:max val="50"/>
          <c:min val="0"/>
        </c:scaling>
        <c:delete val="1"/>
        <c:axPos val="l"/>
        <c:numFmt formatCode="0" sourceLinked="1"/>
        <c:majorTickMark val="out"/>
        <c:minorTickMark val="none"/>
        <c:tickLblPos val="none"/>
        <c:crossAx val="187384576"/>
        <c:crosses val="autoZero"/>
        <c:crossBetween val="between"/>
      </c:valAx>
    </c:plotArea>
    <c:plotVisOnly val="1"/>
    <c:dispBlanksAs val="gap"/>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Kas no minētā bijušas būtiskākās jūsu uzņēmuma izmaksu kategorijas pētniecībā un attīstībā (izstrādē)? (%)</a:t>
            </a:r>
            <a:endParaRPr lang="en-US" sz="1050"/>
          </a:p>
        </c:rich>
      </c:tx>
      <c:layout>
        <c:manualLayout>
          <c:xMode val="edge"/>
          <c:yMode val="edge"/>
          <c:x val="0.1385007974481659"/>
          <c:y val="2.9911632225011205E-2"/>
        </c:manualLayout>
      </c:layout>
      <c:overlay val="0"/>
    </c:title>
    <c:autoTitleDeleted val="0"/>
    <c:plotArea>
      <c:layout>
        <c:manualLayout>
          <c:layoutTarget val="inner"/>
          <c:xMode val="edge"/>
          <c:yMode val="edge"/>
          <c:x val="0.4255580253425264"/>
          <c:y val="0.22638505480932541"/>
          <c:w val="0.35351408825093067"/>
          <c:h val="0.64482445576655922"/>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Sheet1!$A$2:$A$6</c:f>
              <c:strCache>
                <c:ptCount val="5"/>
                <c:pt idx="0">
                  <c:v>Darbaspēka izmaksas</c:v>
                </c:pt>
                <c:pt idx="1">
                  <c:v>Materiālu izmaksas</c:v>
                </c:pt>
                <c:pt idx="2">
                  <c:v>Pētījumu pasūtīšana Latvijā</c:v>
                </c:pt>
                <c:pt idx="3">
                  <c:v>Pētījumu pasūtīšana ārvalstīs</c:v>
                </c:pt>
                <c:pt idx="4">
                  <c:v>Cits</c:v>
                </c:pt>
              </c:strCache>
            </c:strRef>
          </c:cat>
          <c:val>
            <c:numRef>
              <c:f>Sheet1!$B$2:$B$6</c:f>
              <c:numCache>
                <c:formatCode>0</c:formatCode>
                <c:ptCount val="5"/>
                <c:pt idx="0">
                  <c:v>59.166666666666579</c:v>
                </c:pt>
                <c:pt idx="1">
                  <c:v>48.333333333333336</c:v>
                </c:pt>
                <c:pt idx="2">
                  <c:v>16.666666666666668</c:v>
                </c:pt>
                <c:pt idx="3">
                  <c:v>7.5</c:v>
                </c:pt>
                <c:pt idx="4">
                  <c:v>6.666666666666667</c:v>
                </c:pt>
              </c:numCache>
            </c:numRef>
          </c:val>
        </c:ser>
        <c:dLbls>
          <c:showLegendKey val="0"/>
          <c:showVal val="0"/>
          <c:showCatName val="0"/>
          <c:showSerName val="0"/>
          <c:showPercent val="0"/>
          <c:showBubbleSize val="0"/>
        </c:dLbls>
        <c:gapWidth val="50"/>
        <c:axId val="187423360"/>
        <c:axId val="187425152"/>
      </c:barChart>
      <c:catAx>
        <c:axId val="187423360"/>
        <c:scaling>
          <c:orientation val="maxMin"/>
        </c:scaling>
        <c:delete val="0"/>
        <c:axPos val="l"/>
        <c:majorTickMark val="out"/>
        <c:minorTickMark val="none"/>
        <c:tickLblPos val="nextTo"/>
        <c:txPr>
          <a:bodyPr/>
          <a:lstStyle/>
          <a:p>
            <a:pPr>
              <a:defRPr sz="1000"/>
            </a:pPr>
            <a:endParaRPr lang="lv-LV"/>
          </a:p>
        </c:txPr>
        <c:crossAx val="187425152"/>
        <c:crosses val="autoZero"/>
        <c:auto val="1"/>
        <c:lblAlgn val="ctr"/>
        <c:lblOffset val="100"/>
        <c:noMultiLvlLbl val="0"/>
      </c:catAx>
      <c:valAx>
        <c:axId val="187425152"/>
        <c:scaling>
          <c:orientation val="minMax"/>
          <c:max val="100"/>
          <c:min val="0"/>
        </c:scaling>
        <c:delete val="1"/>
        <c:axPos val="t"/>
        <c:numFmt formatCode="0" sourceLinked="1"/>
        <c:majorTickMark val="out"/>
        <c:minorTickMark val="none"/>
        <c:tickLblPos val="none"/>
        <c:crossAx val="187423360"/>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jūsu uzņēmumā tiek atsevišķi uzskaitīti ieguldījumi pētniecībā un attīstībā (izstrādē)? (%)</a:t>
            </a:r>
            <a:endParaRPr lang="en-US" sz="1050"/>
          </a:p>
        </c:rich>
      </c:tx>
      <c:layout>
        <c:manualLayout>
          <c:xMode val="edge"/>
          <c:yMode val="edge"/>
          <c:x val="0.15743945882362825"/>
          <c:y val="2.4089215922245583E-2"/>
        </c:manualLayout>
      </c:layout>
      <c:overlay val="0"/>
    </c:title>
    <c:autoTitleDeleted val="0"/>
    <c:plotArea>
      <c:layout>
        <c:manualLayout>
          <c:layoutTarget val="inner"/>
          <c:xMode val="edge"/>
          <c:yMode val="edge"/>
          <c:x val="0.36205821162306906"/>
          <c:y val="0.17242357863161825"/>
          <c:w val="0.2812121212121213"/>
          <c:h val="0.76995633187772927"/>
        </c:manualLayout>
      </c:layout>
      <c:pieChart>
        <c:varyColors val="1"/>
        <c:ser>
          <c:idx val="0"/>
          <c:order val="0"/>
          <c:tx>
            <c:strRef>
              <c:f>Sheet1!$B$1</c:f>
              <c:strCache>
                <c:ptCount val="1"/>
                <c:pt idx="0">
                  <c:v>Series 1</c:v>
                </c:pt>
              </c:strCache>
            </c:strRef>
          </c:tx>
          <c:spPr>
            <a:solidFill>
              <a:srgbClr val="9BBB59">
                <a:lumMod val="75000"/>
              </a:srgbClr>
            </a:solidFill>
            <a:ln>
              <a:noFill/>
            </a:ln>
          </c:spPr>
          <c:dPt>
            <c:idx val="0"/>
            <c:bubble3D val="0"/>
            <c:spPr>
              <a:solidFill>
                <a:srgbClr val="9BBB59"/>
              </a:solidFill>
              <a:ln>
                <a:noFill/>
              </a:ln>
            </c:spPr>
          </c:dPt>
          <c:dPt>
            <c:idx val="1"/>
            <c:bubble3D val="0"/>
            <c:spPr>
              <a:solidFill>
                <a:srgbClr val="F79646">
                  <a:lumMod val="75000"/>
                </a:srgbClr>
              </a:solidFill>
              <a:ln>
                <a:noFill/>
              </a:ln>
            </c:spPr>
          </c:dPt>
          <c:dPt>
            <c:idx val="2"/>
            <c:bubble3D val="0"/>
            <c:spPr>
              <a:solidFill>
                <a:srgbClr val="FFC000"/>
              </a:solidFill>
              <a:ln>
                <a:noFill/>
              </a:ln>
            </c:spPr>
          </c:dPt>
          <c:dPt>
            <c:idx val="3"/>
            <c:bubble3D val="0"/>
            <c:spPr>
              <a:solidFill>
                <a:srgbClr val="F79646">
                  <a:lumMod val="75000"/>
                </a:srgbClr>
              </a:solidFill>
              <a:ln>
                <a:noFill/>
              </a:ln>
            </c:spPr>
          </c:dPt>
          <c:dPt>
            <c:idx val="4"/>
            <c:bubble3D val="0"/>
            <c:spPr>
              <a:solidFill>
                <a:sysClr val="window" lastClr="FFFFFF">
                  <a:lumMod val="75000"/>
                </a:sysClr>
              </a:solidFill>
              <a:ln>
                <a:noFill/>
              </a:ln>
            </c:spPr>
          </c:dPt>
          <c:dLbls>
            <c:dLbl>
              <c:idx val="0"/>
              <c:layout>
                <c:manualLayout>
                  <c:x val="-6.0373482022881175E-2"/>
                  <c:y val="0.17740489862347991"/>
                </c:manualLayout>
              </c:layout>
              <c:showLegendKey val="0"/>
              <c:showVal val="0"/>
              <c:showCatName val="1"/>
              <c:showSerName val="0"/>
              <c:showPercent val="1"/>
              <c:showBubbleSize val="0"/>
            </c:dLbl>
            <c:dLbl>
              <c:idx val="2"/>
              <c:layout>
                <c:manualLayout>
                  <c:x val="-9.1531979555187298E-2"/>
                  <c:y val="-0.119862462607021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Sheet1!$A$2:$A$3</c:f>
              <c:strCache>
                <c:ptCount val="2"/>
                <c:pt idx="0">
                  <c:v>Jā</c:v>
                </c:pt>
                <c:pt idx="1">
                  <c:v>Nē</c:v>
                </c:pt>
              </c:strCache>
            </c:strRef>
          </c:cat>
          <c:val>
            <c:numRef>
              <c:f>Sheet1!$B$2:$B$3</c:f>
              <c:numCache>
                <c:formatCode>0</c:formatCode>
                <c:ptCount val="2"/>
                <c:pt idx="0">
                  <c:v>19.491525423728813</c:v>
                </c:pt>
                <c:pt idx="1">
                  <c:v>80.508474576271084</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šie ieguldījumi tiek uzskaitīti ...? (%)</a:t>
            </a:r>
            <a:endParaRPr lang="en-US" sz="1050"/>
          </a:p>
        </c:rich>
      </c:tx>
      <c:layout>
        <c:manualLayout>
          <c:xMode val="edge"/>
          <c:yMode val="edge"/>
          <c:x val="0.31712918660287137"/>
          <c:y val="2.9911790437959999E-2"/>
        </c:manualLayout>
      </c:layout>
      <c:overlay val="0"/>
    </c:title>
    <c:autoTitleDeleted val="0"/>
    <c:plotArea>
      <c:layout>
        <c:manualLayout>
          <c:layoutTarget val="inner"/>
          <c:xMode val="edge"/>
          <c:yMode val="edge"/>
          <c:x val="0.4255580253425264"/>
          <c:y val="0.17409747310997906"/>
          <c:w val="0.35351408825093067"/>
          <c:h val="0.64482445576655922"/>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Sheet1!$A$2:$A$5</c:f>
              <c:strCache>
                <c:ptCount val="4"/>
                <c:pt idx="0">
                  <c:v>Kā atsevišķu projektu izmaksas</c:v>
                </c:pt>
                <c:pt idx="1">
                  <c:v>Kā nemateriālie ieguldījumi</c:v>
                </c:pt>
                <c:pt idx="2">
                  <c:v>Kā izmaksu norakstīšana attiecīgajā gadā</c:v>
                </c:pt>
                <c:pt idx="3">
                  <c:v>Citadi</c:v>
                </c:pt>
              </c:strCache>
            </c:strRef>
          </c:cat>
          <c:val>
            <c:numRef>
              <c:f>Sheet1!$B$2:$B$5</c:f>
              <c:numCache>
                <c:formatCode>0</c:formatCode>
                <c:ptCount val="4"/>
                <c:pt idx="0">
                  <c:v>59.090909090909136</c:v>
                </c:pt>
                <c:pt idx="1">
                  <c:v>40.909090909090907</c:v>
                </c:pt>
                <c:pt idx="2">
                  <c:v>27.272727272727206</c:v>
                </c:pt>
                <c:pt idx="3">
                  <c:v>9.0909090909091006</c:v>
                </c:pt>
              </c:numCache>
            </c:numRef>
          </c:val>
        </c:ser>
        <c:dLbls>
          <c:showLegendKey val="0"/>
          <c:showVal val="0"/>
          <c:showCatName val="0"/>
          <c:showSerName val="0"/>
          <c:showPercent val="0"/>
          <c:showBubbleSize val="0"/>
        </c:dLbls>
        <c:gapWidth val="50"/>
        <c:axId val="188458112"/>
        <c:axId val="188459648"/>
      </c:barChart>
      <c:catAx>
        <c:axId val="188458112"/>
        <c:scaling>
          <c:orientation val="maxMin"/>
        </c:scaling>
        <c:delete val="0"/>
        <c:axPos val="l"/>
        <c:majorTickMark val="out"/>
        <c:minorTickMark val="none"/>
        <c:tickLblPos val="nextTo"/>
        <c:txPr>
          <a:bodyPr/>
          <a:lstStyle/>
          <a:p>
            <a:pPr>
              <a:defRPr sz="1000"/>
            </a:pPr>
            <a:endParaRPr lang="lv-LV"/>
          </a:p>
        </c:txPr>
        <c:crossAx val="188459648"/>
        <c:crosses val="autoZero"/>
        <c:auto val="1"/>
        <c:lblAlgn val="ctr"/>
        <c:lblOffset val="100"/>
        <c:noMultiLvlLbl val="0"/>
      </c:catAx>
      <c:valAx>
        <c:axId val="188459648"/>
        <c:scaling>
          <c:orientation val="minMax"/>
          <c:max val="100"/>
          <c:min val="0"/>
        </c:scaling>
        <c:delete val="1"/>
        <c:axPos val="t"/>
        <c:numFmt formatCode="0" sourceLinked="1"/>
        <c:majorTickMark val="out"/>
        <c:minorTickMark val="none"/>
        <c:tickLblPos val="none"/>
        <c:crossAx val="188458112"/>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pēdējo pēdējo trīs gadu laikā (2010. - 2012.) jūsu uzņēmumā ir...? (%)</a:t>
            </a:r>
            <a:endParaRPr lang="en-US" sz="1050"/>
          </a:p>
        </c:rich>
      </c:tx>
      <c:layout>
        <c:manualLayout>
          <c:xMode val="edge"/>
          <c:yMode val="edge"/>
          <c:x val="0.15060074428495468"/>
          <c:y val="2.4683032268025377E-2"/>
        </c:manualLayout>
      </c:layout>
      <c:overlay val="0"/>
    </c:title>
    <c:autoTitleDeleted val="0"/>
    <c:plotArea>
      <c:layout>
        <c:manualLayout>
          <c:layoutTarget val="inner"/>
          <c:xMode val="edge"/>
          <c:yMode val="edge"/>
          <c:x val="0.4255580253425264"/>
          <c:y val="0.17409747310997906"/>
          <c:w val="0.35351408825093067"/>
          <c:h val="0.64482445576655922"/>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Sheet1!$A$2:$A$5</c:f>
              <c:strCache>
                <c:ptCount val="4"/>
                <c:pt idx="0">
                  <c:v>Ieviests jauns produkts</c:v>
                </c:pt>
                <c:pt idx="1">
                  <c:v>Ieviests jauns pakalpojums</c:v>
                </c:pt>
                <c:pt idx="2">
                  <c:v>Ieviesta jauna tehnoloģija</c:v>
                </c:pt>
                <c:pt idx="3">
                  <c:v>Nav ieviests nekas no minētā</c:v>
                </c:pt>
              </c:strCache>
            </c:strRef>
          </c:cat>
          <c:val>
            <c:numRef>
              <c:f>Sheet1!$B$2:$B$5</c:f>
              <c:numCache>
                <c:formatCode>0</c:formatCode>
                <c:ptCount val="4"/>
                <c:pt idx="0">
                  <c:v>66.086956521739111</c:v>
                </c:pt>
                <c:pt idx="1">
                  <c:v>61.739130434782609</c:v>
                </c:pt>
                <c:pt idx="2">
                  <c:v>58.260869565217291</c:v>
                </c:pt>
                <c:pt idx="3">
                  <c:v>13.913043478260869</c:v>
                </c:pt>
              </c:numCache>
            </c:numRef>
          </c:val>
        </c:ser>
        <c:dLbls>
          <c:showLegendKey val="0"/>
          <c:showVal val="0"/>
          <c:showCatName val="0"/>
          <c:showSerName val="0"/>
          <c:showPercent val="0"/>
          <c:showBubbleSize val="0"/>
        </c:dLbls>
        <c:gapWidth val="50"/>
        <c:axId val="193932672"/>
        <c:axId val="193967232"/>
      </c:barChart>
      <c:catAx>
        <c:axId val="193932672"/>
        <c:scaling>
          <c:orientation val="maxMin"/>
        </c:scaling>
        <c:delete val="0"/>
        <c:axPos val="l"/>
        <c:majorTickMark val="out"/>
        <c:minorTickMark val="none"/>
        <c:tickLblPos val="nextTo"/>
        <c:txPr>
          <a:bodyPr/>
          <a:lstStyle/>
          <a:p>
            <a:pPr>
              <a:defRPr sz="1000"/>
            </a:pPr>
            <a:endParaRPr lang="lv-LV"/>
          </a:p>
        </c:txPr>
        <c:crossAx val="193967232"/>
        <c:crosses val="autoZero"/>
        <c:auto val="1"/>
        <c:lblAlgn val="ctr"/>
        <c:lblOffset val="100"/>
        <c:noMultiLvlLbl val="0"/>
      </c:catAx>
      <c:valAx>
        <c:axId val="193967232"/>
        <c:scaling>
          <c:orientation val="minMax"/>
          <c:max val="100"/>
          <c:min val="0"/>
        </c:scaling>
        <c:delete val="1"/>
        <c:axPos val="t"/>
        <c:numFmt formatCode="0" sourceLinked="1"/>
        <c:majorTickMark val="out"/>
        <c:minorTickMark val="none"/>
        <c:tickLblPos val="none"/>
        <c:crossAx val="193932672"/>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Cik jaunus produktus esat ieviesuši pēdējo trīs gadu laikā (2010.-2012.)? (%)</a:t>
            </a:r>
            <a:endParaRPr lang="en-US" sz="1050"/>
          </a:p>
        </c:rich>
      </c:tx>
      <c:layout>
        <c:manualLayout>
          <c:xMode val="edge"/>
          <c:yMode val="edge"/>
          <c:x val="0.16169251570826368"/>
          <c:y val="3.5734048527776882E-2"/>
        </c:manualLayout>
      </c:layout>
      <c:overlay val="0"/>
    </c:title>
    <c:autoTitleDeleted val="0"/>
    <c:plotArea>
      <c:layout>
        <c:manualLayout>
          <c:layoutTarget val="inner"/>
          <c:xMode val="edge"/>
          <c:yMode val="edge"/>
          <c:x val="5.1289019494572687E-2"/>
          <c:y val="0.22156219555525011"/>
          <c:w val="0.91704412546517877"/>
          <c:h val="0.36238719068413422"/>
        </c:manualLayout>
      </c:layout>
      <c:barChart>
        <c:barDir val="col"/>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showLegendKey val="0"/>
            <c:showVal val="1"/>
            <c:showCatName val="0"/>
            <c:showSerName val="0"/>
            <c:showPercent val="0"/>
            <c:showBubbleSize val="0"/>
            <c:showLeaderLines val="0"/>
          </c:dLbls>
          <c:cat>
            <c:strRef>
              <c:f>Sheet1!$A$2:$A$9</c:f>
              <c:strCache>
                <c:ptCount val="8"/>
                <c:pt idx="0">
                  <c:v>1</c:v>
                </c:pt>
                <c:pt idx="1">
                  <c:v>2</c:v>
                </c:pt>
                <c:pt idx="2">
                  <c:v>3</c:v>
                </c:pt>
                <c:pt idx="3">
                  <c:v>4</c:v>
                </c:pt>
                <c:pt idx="4">
                  <c:v>5</c:v>
                </c:pt>
                <c:pt idx="5">
                  <c:v>6-10</c:v>
                </c:pt>
                <c:pt idx="6">
                  <c:v>11-20</c:v>
                </c:pt>
                <c:pt idx="7">
                  <c:v>21 un vairāk</c:v>
                </c:pt>
              </c:strCache>
            </c:strRef>
          </c:cat>
          <c:val>
            <c:numRef>
              <c:f>Sheet1!$B$2:$B$9</c:f>
              <c:numCache>
                <c:formatCode>0</c:formatCode>
                <c:ptCount val="8"/>
                <c:pt idx="0">
                  <c:v>14.285714285714286</c:v>
                </c:pt>
                <c:pt idx="1">
                  <c:v>25.396825396825392</c:v>
                </c:pt>
                <c:pt idx="2">
                  <c:v>15.873015873015873</c:v>
                </c:pt>
                <c:pt idx="3">
                  <c:v>3.1746031746031727</c:v>
                </c:pt>
                <c:pt idx="4">
                  <c:v>22.222222222222186</c:v>
                </c:pt>
                <c:pt idx="5">
                  <c:v>7.9365079365079367</c:v>
                </c:pt>
                <c:pt idx="6">
                  <c:v>4.7619047619047619</c:v>
                </c:pt>
                <c:pt idx="7">
                  <c:v>6.3492063492063489</c:v>
                </c:pt>
              </c:numCache>
            </c:numRef>
          </c:val>
        </c:ser>
        <c:dLbls>
          <c:showLegendKey val="0"/>
          <c:showVal val="0"/>
          <c:showCatName val="0"/>
          <c:showSerName val="0"/>
          <c:showPercent val="0"/>
          <c:showBubbleSize val="0"/>
        </c:dLbls>
        <c:gapWidth val="50"/>
        <c:axId val="194049536"/>
        <c:axId val="194051072"/>
      </c:barChart>
      <c:catAx>
        <c:axId val="194049536"/>
        <c:scaling>
          <c:orientation val="minMax"/>
        </c:scaling>
        <c:delete val="0"/>
        <c:axPos val="b"/>
        <c:majorTickMark val="out"/>
        <c:minorTickMark val="none"/>
        <c:tickLblPos val="nextTo"/>
        <c:crossAx val="194051072"/>
        <c:crosses val="autoZero"/>
        <c:auto val="1"/>
        <c:lblAlgn val="ctr"/>
        <c:lblOffset val="100"/>
        <c:noMultiLvlLbl val="0"/>
      </c:catAx>
      <c:valAx>
        <c:axId val="194051072"/>
        <c:scaling>
          <c:orientation val="minMax"/>
          <c:max val="50"/>
          <c:min val="0"/>
        </c:scaling>
        <c:delete val="1"/>
        <c:axPos val="l"/>
        <c:numFmt formatCode="0" sourceLinked="1"/>
        <c:majorTickMark val="out"/>
        <c:minorTickMark val="none"/>
        <c:tickLblPos val="none"/>
        <c:crossAx val="194049536"/>
        <c:crosses val="autoZero"/>
        <c:crossBetween val="between"/>
      </c:valAx>
    </c:plotArea>
    <c:plotVisOnly val="1"/>
    <c:dispBlanksAs val="gap"/>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Cik jaunus pakalpojumus esat ieviesuši pēdējo trīs gadu laikā (2010.-2012.)? (%)</a:t>
            </a:r>
            <a:endParaRPr lang="en-US" sz="1050"/>
          </a:p>
        </c:rich>
      </c:tx>
      <c:layout>
        <c:manualLayout>
          <c:xMode val="edge"/>
          <c:yMode val="edge"/>
          <c:x val="0.16169251570826368"/>
          <c:y val="3.5734048527776882E-2"/>
        </c:manualLayout>
      </c:layout>
      <c:overlay val="0"/>
    </c:title>
    <c:autoTitleDeleted val="0"/>
    <c:plotArea>
      <c:layout>
        <c:manualLayout>
          <c:layoutTarget val="inner"/>
          <c:xMode val="edge"/>
          <c:yMode val="edge"/>
          <c:x val="5.1289019494572687E-2"/>
          <c:y val="0.22156219555525011"/>
          <c:w val="0.91704412546517877"/>
          <c:h val="0.36238719068413422"/>
        </c:manualLayout>
      </c:layout>
      <c:barChart>
        <c:barDir val="col"/>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showLegendKey val="0"/>
            <c:showVal val="1"/>
            <c:showCatName val="0"/>
            <c:showSerName val="0"/>
            <c:showPercent val="0"/>
            <c:showBubbleSize val="0"/>
            <c:showLeaderLines val="0"/>
          </c:dLbls>
          <c:cat>
            <c:strRef>
              <c:f>Sheet1!$A$2:$A$7</c:f>
              <c:strCache>
                <c:ptCount val="6"/>
                <c:pt idx="0">
                  <c:v>1</c:v>
                </c:pt>
                <c:pt idx="1">
                  <c:v>2</c:v>
                </c:pt>
                <c:pt idx="2">
                  <c:v>3</c:v>
                </c:pt>
                <c:pt idx="3">
                  <c:v>4</c:v>
                </c:pt>
                <c:pt idx="4">
                  <c:v>5</c:v>
                </c:pt>
                <c:pt idx="5">
                  <c:v>6 un vairāk</c:v>
                </c:pt>
              </c:strCache>
            </c:strRef>
          </c:cat>
          <c:val>
            <c:numRef>
              <c:f>Sheet1!$B$2:$B$7</c:f>
              <c:numCache>
                <c:formatCode>0</c:formatCode>
                <c:ptCount val="6"/>
                <c:pt idx="0">
                  <c:v>25.806451612903224</c:v>
                </c:pt>
                <c:pt idx="1">
                  <c:v>32.258064516129032</c:v>
                </c:pt>
                <c:pt idx="2">
                  <c:v>22.580645161290324</c:v>
                </c:pt>
                <c:pt idx="3">
                  <c:v>6.4516129032258114</c:v>
                </c:pt>
                <c:pt idx="4">
                  <c:v>8.0645161290322598</c:v>
                </c:pt>
                <c:pt idx="5">
                  <c:v>4.838709677419355</c:v>
                </c:pt>
              </c:numCache>
            </c:numRef>
          </c:val>
        </c:ser>
        <c:dLbls>
          <c:showLegendKey val="0"/>
          <c:showVal val="0"/>
          <c:showCatName val="0"/>
          <c:showSerName val="0"/>
          <c:showPercent val="0"/>
          <c:showBubbleSize val="0"/>
        </c:dLbls>
        <c:gapWidth val="50"/>
        <c:axId val="196947328"/>
        <c:axId val="196949120"/>
      </c:barChart>
      <c:catAx>
        <c:axId val="196947328"/>
        <c:scaling>
          <c:orientation val="minMax"/>
        </c:scaling>
        <c:delete val="0"/>
        <c:axPos val="b"/>
        <c:majorTickMark val="out"/>
        <c:minorTickMark val="none"/>
        <c:tickLblPos val="nextTo"/>
        <c:crossAx val="196949120"/>
        <c:crosses val="autoZero"/>
        <c:auto val="1"/>
        <c:lblAlgn val="ctr"/>
        <c:lblOffset val="100"/>
        <c:noMultiLvlLbl val="0"/>
      </c:catAx>
      <c:valAx>
        <c:axId val="196949120"/>
        <c:scaling>
          <c:orientation val="minMax"/>
          <c:max val="50"/>
          <c:min val="0"/>
        </c:scaling>
        <c:delete val="1"/>
        <c:axPos val="l"/>
        <c:numFmt formatCode="0" sourceLinked="1"/>
        <c:majorTickMark val="out"/>
        <c:minorTickMark val="none"/>
        <c:tickLblPos val="none"/>
        <c:crossAx val="196947328"/>
        <c:crosses val="autoZero"/>
        <c:crossBetween val="between"/>
      </c:valAx>
    </c:plotArea>
    <c:plotVisOnly val="1"/>
    <c:dispBlanksAs val="gap"/>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Cik jaunas tehnoloģijas esat ieviesuši pēdējo trīs gadu laikā (2010.-2012.)? (%)</a:t>
            </a:r>
            <a:endParaRPr lang="en-US" sz="1050"/>
          </a:p>
        </c:rich>
      </c:tx>
      <c:layout>
        <c:manualLayout>
          <c:xMode val="edge"/>
          <c:yMode val="edge"/>
          <c:x val="0.16169251570826368"/>
          <c:y val="3.5734048527776882E-2"/>
        </c:manualLayout>
      </c:layout>
      <c:overlay val="0"/>
    </c:title>
    <c:autoTitleDeleted val="0"/>
    <c:plotArea>
      <c:layout>
        <c:manualLayout>
          <c:layoutTarget val="inner"/>
          <c:xMode val="edge"/>
          <c:yMode val="edge"/>
          <c:x val="5.1289019494572687E-2"/>
          <c:y val="0.22156219555525011"/>
          <c:w val="0.91704412546517877"/>
          <c:h val="0.36238719068413422"/>
        </c:manualLayout>
      </c:layout>
      <c:barChart>
        <c:barDir val="col"/>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showLegendKey val="0"/>
            <c:showVal val="1"/>
            <c:showCatName val="0"/>
            <c:showSerName val="0"/>
            <c:showPercent val="0"/>
            <c:showBubbleSize val="0"/>
            <c:showLeaderLines val="0"/>
          </c:dLbls>
          <c:cat>
            <c:strRef>
              <c:f>Sheet1!$A$2:$A$7</c:f>
              <c:strCache>
                <c:ptCount val="6"/>
                <c:pt idx="0">
                  <c:v>1</c:v>
                </c:pt>
                <c:pt idx="1">
                  <c:v>2</c:v>
                </c:pt>
                <c:pt idx="2">
                  <c:v>3</c:v>
                </c:pt>
                <c:pt idx="3">
                  <c:v>4</c:v>
                </c:pt>
                <c:pt idx="4">
                  <c:v>5</c:v>
                </c:pt>
                <c:pt idx="5">
                  <c:v>6 un vairāk</c:v>
                </c:pt>
              </c:strCache>
            </c:strRef>
          </c:cat>
          <c:val>
            <c:numRef>
              <c:f>Sheet1!$B$2:$B$7</c:f>
              <c:numCache>
                <c:formatCode>0</c:formatCode>
                <c:ptCount val="6"/>
                <c:pt idx="0">
                  <c:v>45.614035087719294</c:v>
                </c:pt>
                <c:pt idx="1">
                  <c:v>29.824561403508792</c:v>
                </c:pt>
                <c:pt idx="2">
                  <c:v>15.789473684210511</c:v>
                </c:pt>
                <c:pt idx="3">
                  <c:v>1.7543859649122833</c:v>
                </c:pt>
                <c:pt idx="4">
                  <c:v>1.7543859649122833</c:v>
                </c:pt>
                <c:pt idx="5">
                  <c:v>5.2631578947368425</c:v>
                </c:pt>
              </c:numCache>
            </c:numRef>
          </c:val>
        </c:ser>
        <c:dLbls>
          <c:showLegendKey val="0"/>
          <c:showVal val="0"/>
          <c:showCatName val="0"/>
          <c:showSerName val="0"/>
          <c:showPercent val="0"/>
          <c:showBubbleSize val="0"/>
        </c:dLbls>
        <c:gapWidth val="50"/>
        <c:axId val="196978176"/>
        <c:axId val="196979712"/>
      </c:barChart>
      <c:catAx>
        <c:axId val="196978176"/>
        <c:scaling>
          <c:orientation val="minMax"/>
        </c:scaling>
        <c:delete val="0"/>
        <c:axPos val="b"/>
        <c:majorTickMark val="out"/>
        <c:minorTickMark val="none"/>
        <c:tickLblPos val="nextTo"/>
        <c:crossAx val="196979712"/>
        <c:crosses val="autoZero"/>
        <c:auto val="1"/>
        <c:lblAlgn val="ctr"/>
        <c:lblOffset val="100"/>
        <c:noMultiLvlLbl val="0"/>
      </c:catAx>
      <c:valAx>
        <c:axId val="196979712"/>
        <c:scaling>
          <c:orientation val="minMax"/>
          <c:max val="50"/>
          <c:min val="0"/>
        </c:scaling>
        <c:delete val="1"/>
        <c:axPos val="l"/>
        <c:numFmt formatCode="0" sourceLinked="1"/>
        <c:majorTickMark val="out"/>
        <c:minorTickMark val="none"/>
        <c:tickLblPos val="none"/>
        <c:crossAx val="196978176"/>
        <c:crosses val="autoZero"/>
        <c:crossBetween val="between"/>
      </c:valAx>
    </c:plotArea>
    <c:plotVisOnly val="1"/>
    <c:dispBlanksAs val="gap"/>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pēdējo trīs gadu laikā (2010. - 2012.) jūsu uzņēmumā ir iegādātas mašīnas vai iekārtas jaunu vai būtiski uzlabotu produktu (preču un pakalpojumu) vai procesu ieviešanai...? (%)</a:t>
            </a:r>
            <a:endParaRPr lang="en-US" sz="1050"/>
          </a:p>
        </c:rich>
      </c:tx>
      <c:layout>
        <c:manualLayout>
          <c:xMode val="edge"/>
          <c:yMode val="edge"/>
          <c:x val="0.15743945882362825"/>
          <c:y val="2.4089215922245583E-2"/>
        </c:manualLayout>
      </c:layout>
      <c:overlay val="0"/>
    </c:title>
    <c:autoTitleDeleted val="0"/>
    <c:plotArea>
      <c:layout>
        <c:manualLayout>
          <c:layoutTarget val="inner"/>
          <c:xMode val="edge"/>
          <c:yMode val="edge"/>
          <c:x val="0.37481738227697664"/>
          <c:y val="0.1758401703283593"/>
          <c:w val="0.2812121212121213"/>
          <c:h val="0.76995633187772927"/>
        </c:manualLayout>
      </c:layout>
      <c:pieChart>
        <c:varyColors val="1"/>
        <c:ser>
          <c:idx val="0"/>
          <c:order val="0"/>
          <c:tx>
            <c:strRef>
              <c:f>Sheet1!$B$1</c:f>
              <c:strCache>
                <c:ptCount val="1"/>
                <c:pt idx="0">
                  <c:v>Series 1</c:v>
                </c:pt>
              </c:strCache>
            </c:strRef>
          </c:tx>
          <c:spPr>
            <a:solidFill>
              <a:srgbClr val="9BBB59">
                <a:lumMod val="75000"/>
              </a:srgbClr>
            </a:solidFill>
            <a:ln>
              <a:noFill/>
            </a:ln>
          </c:spPr>
          <c:dPt>
            <c:idx val="0"/>
            <c:bubble3D val="0"/>
            <c:spPr>
              <a:solidFill>
                <a:srgbClr val="9BBB59"/>
              </a:solidFill>
              <a:ln>
                <a:noFill/>
              </a:ln>
            </c:spPr>
          </c:dPt>
          <c:dPt>
            <c:idx val="1"/>
            <c:bubble3D val="0"/>
            <c:spPr>
              <a:solidFill>
                <a:srgbClr val="FFC000"/>
              </a:solidFill>
              <a:ln>
                <a:noFill/>
              </a:ln>
            </c:spPr>
          </c:dPt>
          <c:dPt>
            <c:idx val="2"/>
            <c:bubble3D val="0"/>
            <c:spPr>
              <a:solidFill>
                <a:srgbClr val="F79646">
                  <a:lumMod val="75000"/>
                </a:srgbClr>
              </a:solidFill>
              <a:ln>
                <a:noFill/>
              </a:ln>
            </c:spPr>
          </c:dPt>
          <c:dPt>
            <c:idx val="3"/>
            <c:bubble3D val="0"/>
            <c:spPr>
              <a:solidFill>
                <a:srgbClr val="F79646">
                  <a:lumMod val="75000"/>
                </a:srgbClr>
              </a:solidFill>
              <a:ln>
                <a:noFill/>
              </a:ln>
            </c:spPr>
          </c:dPt>
          <c:dPt>
            <c:idx val="4"/>
            <c:bubble3D val="0"/>
            <c:spPr>
              <a:solidFill>
                <a:sysClr val="window" lastClr="FFFFFF">
                  <a:lumMod val="75000"/>
                </a:sysClr>
              </a:solidFill>
              <a:ln>
                <a:noFill/>
              </a:ln>
            </c:spPr>
          </c:dPt>
          <c:dLbls>
            <c:dLbl>
              <c:idx val="0"/>
              <c:layout>
                <c:manualLayout>
                  <c:x val="-0.13692348265079332"/>
                  <c:y val="9.0677826110897291E-3"/>
                </c:manualLayout>
              </c:layout>
              <c:dLblPos val="bestFit"/>
              <c:showLegendKey val="0"/>
              <c:showVal val="0"/>
              <c:showCatName val="1"/>
              <c:showSerName val="0"/>
              <c:showPercent val="1"/>
              <c:showBubbleSize val="0"/>
            </c:dLbl>
            <c:dLblPos val="ctr"/>
            <c:showLegendKey val="0"/>
            <c:showVal val="0"/>
            <c:showCatName val="1"/>
            <c:showSerName val="0"/>
            <c:showPercent val="1"/>
            <c:showBubbleSize val="0"/>
            <c:showLeaderLines val="1"/>
          </c:dLbls>
          <c:cat>
            <c:strRef>
              <c:f>Sheet1!$A$2:$A$4</c:f>
              <c:strCache>
                <c:ptCount val="3"/>
                <c:pt idx="0">
                  <c:v>Jā, vairākas reizes</c:v>
                </c:pt>
                <c:pt idx="1">
                  <c:v>Jā, vienreiz</c:v>
                </c:pt>
                <c:pt idx="2">
                  <c:v>Nē</c:v>
                </c:pt>
              </c:strCache>
            </c:strRef>
          </c:cat>
          <c:val>
            <c:numRef>
              <c:f>Sheet1!$B$2:$B$4</c:f>
              <c:numCache>
                <c:formatCode>0</c:formatCode>
                <c:ptCount val="3"/>
                <c:pt idx="0">
                  <c:v>40.350877192982388</c:v>
                </c:pt>
                <c:pt idx="1">
                  <c:v>29.824561403508792</c:v>
                </c:pt>
                <c:pt idx="2">
                  <c:v>29.824561403508792</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Uzņēmumu profils I (%)</a:t>
            </a:r>
            <a:endParaRPr lang="en-US" sz="1050"/>
          </a:p>
        </c:rich>
      </c:tx>
      <c:layout>
        <c:manualLayout>
          <c:xMode val="edge"/>
          <c:yMode val="edge"/>
          <c:x val="0.38664540138224457"/>
          <c:y val="1.8620214372644762E-2"/>
        </c:manualLayout>
      </c:layout>
      <c:overlay val="0"/>
    </c:title>
    <c:autoTitleDeleted val="0"/>
    <c:plotArea>
      <c:layout>
        <c:manualLayout>
          <c:layoutTarget val="inner"/>
          <c:xMode val="edge"/>
          <c:yMode val="edge"/>
          <c:x val="0.51912527680451548"/>
          <c:y val="7.0819705229154054E-2"/>
          <c:w val="0.35351408825093078"/>
          <c:h val="0.90496576913899751"/>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Sheet1!$A$2:$A$30</c:f>
              <c:strCache>
                <c:ptCount val="29"/>
                <c:pt idx="0">
                  <c:v>DIBINĀŠANAS GADS</c:v>
                </c:pt>
                <c:pt idx="1">
                  <c:v>Līdz 1991.gadam</c:v>
                </c:pt>
                <c:pt idx="2">
                  <c:v>1992.-2000.gads</c:v>
                </c:pt>
                <c:pt idx="3">
                  <c:v>2001.-2007.gads</c:v>
                </c:pt>
                <c:pt idx="4">
                  <c:v>2008.-2013.gads</c:v>
                </c:pt>
                <c:pt idx="5">
                  <c:v>Nav atbildes</c:v>
                </c:pt>
                <c:pt idx="6">
                  <c:v>DARBINIEKU SKAITS</c:v>
                </c:pt>
                <c:pt idx="7">
                  <c:v>1 – 9</c:v>
                </c:pt>
                <c:pt idx="8">
                  <c:v>10 – 19</c:v>
                </c:pt>
                <c:pt idx="9">
                  <c:v>20 – 49</c:v>
                </c:pt>
                <c:pt idx="10">
                  <c:v>50 – 99</c:v>
                </c:pt>
                <c:pt idx="11">
                  <c:v>100 – 249</c:v>
                </c:pt>
                <c:pt idx="12">
                  <c:v>250 un vairāk</c:v>
                </c:pt>
                <c:pt idx="13">
                  <c:v>REĢIONS</c:v>
                </c:pt>
                <c:pt idx="14">
                  <c:v>Rīgas statistiskais reģions</c:v>
                </c:pt>
                <c:pt idx="15">
                  <c:v>Pierīgas statistiskais reģions</c:v>
                </c:pt>
                <c:pt idx="16">
                  <c:v>Vidzemes statistiskais reģions</c:v>
                </c:pt>
                <c:pt idx="17">
                  <c:v>Kurzemes statistiskais reģions</c:v>
                </c:pt>
                <c:pt idx="18">
                  <c:v>Zemgales statistiskais reģions</c:v>
                </c:pt>
                <c:pt idx="19">
                  <c:v>Latgales statistiskais reģions</c:v>
                </c:pt>
                <c:pt idx="20">
                  <c:v>APGROZĪJUMS 2012.GADĀ</c:v>
                </c:pt>
                <c:pt idx="21">
                  <c:v>Līdz 50 000 LVL</c:v>
                </c:pt>
                <c:pt idx="22">
                  <c:v>50 001 – 100 000 LVL</c:v>
                </c:pt>
                <c:pt idx="23">
                  <c:v>100 001 – 500 000 LVL</c:v>
                </c:pt>
                <c:pt idx="24">
                  <c:v>500 001 – 1 miljons LVL</c:v>
                </c:pt>
                <c:pt idx="25">
                  <c:v>1 000 001 – 2 miljoni LVL</c:v>
                </c:pt>
                <c:pt idx="26">
                  <c:v>2 000 001 – 5 miljoni LVL</c:v>
                </c:pt>
                <c:pt idx="27">
                  <c:v>Vairāk par 5 miljoniem LVL</c:v>
                </c:pt>
                <c:pt idx="28">
                  <c:v>Grūti pateikt</c:v>
                </c:pt>
              </c:strCache>
            </c:strRef>
          </c:cat>
          <c:val>
            <c:numRef>
              <c:f>Sheet1!$B$2:$B$30</c:f>
              <c:numCache>
                <c:formatCode>0</c:formatCode>
                <c:ptCount val="29"/>
                <c:pt idx="1">
                  <c:v>9.9033816425120715</c:v>
                </c:pt>
                <c:pt idx="2">
                  <c:v>35.748792270531425</c:v>
                </c:pt>
                <c:pt idx="3">
                  <c:v>29.710144927536227</c:v>
                </c:pt>
                <c:pt idx="4">
                  <c:v>24.39613526570049</c:v>
                </c:pt>
                <c:pt idx="5" formatCode="0.0">
                  <c:v>0.24154589371980684</c:v>
                </c:pt>
                <c:pt idx="7" formatCode="0.0">
                  <c:v>67.149758454106248</c:v>
                </c:pt>
                <c:pt idx="8" formatCode="0.0">
                  <c:v>12.318840579710146</c:v>
                </c:pt>
                <c:pt idx="9" formatCode="0.0">
                  <c:v>9.4202898550724647</c:v>
                </c:pt>
                <c:pt idx="10" formatCode="0.0">
                  <c:v>3.8647342995169094</c:v>
                </c:pt>
                <c:pt idx="11" formatCode="0.0">
                  <c:v>4.8309178743961345</c:v>
                </c:pt>
                <c:pt idx="12" formatCode="0.0">
                  <c:v>2.4154589371980646</c:v>
                </c:pt>
                <c:pt idx="14" formatCode="0.0">
                  <c:v>41.545893719806756</c:v>
                </c:pt>
                <c:pt idx="15" formatCode="0.0">
                  <c:v>7.4879227053140127</c:v>
                </c:pt>
                <c:pt idx="16" formatCode="0.0">
                  <c:v>17.39130434782609</c:v>
                </c:pt>
                <c:pt idx="17" formatCode="0.0">
                  <c:v>14.251207729468598</c:v>
                </c:pt>
                <c:pt idx="18" formatCode="0.0">
                  <c:v>10.144927536231879</c:v>
                </c:pt>
                <c:pt idx="19" formatCode="0.0">
                  <c:v>9.1787439613526516</c:v>
                </c:pt>
                <c:pt idx="21">
                  <c:v>43.719806763285</c:v>
                </c:pt>
                <c:pt idx="22">
                  <c:v>14.009661835748798</c:v>
                </c:pt>
                <c:pt idx="23">
                  <c:v>21.014492753623188</c:v>
                </c:pt>
                <c:pt idx="24">
                  <c:v>6.5217391304347823</c:v>
                </c:pt>
                <c:pt idx="25">
                  <c:v>3.3816425120772937</c:v>
                </c:pt>
                <c:pt idx="26">
                  <c:v>4.1062801932367154</c:v>
                </c:pt>
                <c:pt idx="27">
                  <c:v>2.8985507246376807</c:v>
                </c:pt>
                <c:pt idx="28">
                  <c:v>4.3478260869565215</c:v>
                </c:pt>
              </c:numCache>
            </c:numRef>
          </c:val>
        </c:ser>
        <c:dLbls>
          <c:showLegendKey val="0"/>
          <c:showVal val="0"/>
          <c:showCatName val="0"/>
          <c:showSerName val="0"/>
          <c:showPercent val="0"/>
          <c:showBubbleSize val="0"/>
        </c:dLbls>
        <c:gapWidth val="50"/>
        <c:axId val="209181312"/>
        <c:axId val="212513536"/>
      </c:barChart>
      <c:catAx>
        <c:axId val="209181312"/>
        <c:scaling>
          <c:orientation val="maxMin"/>
        </c:scaling>
        <c:delete val="0"/>
        <c:axPos val="l"/>
        <c:majorTickMark val="out"/>
        <c:minorTickMark val="none"/>
        <c:tickLblPos val="nextTo"/>
        <c:txPr>
          <a:bodyPr/>
          <a:lstStyle/>
          <a:p>
            <a:pPr>
              <a:defRPr sz="1000"/>
            </a:pPr>
            <a:endParaRPr lang="lv-LV"/>
          </a:p>
        </c:txPr>
        <c:crossAx val="212513536"/>
        <c:crosses val="autoZero"/>
        <c:auto val="1"/>
        <c:lblAlgn val="ctr"/>
        <c:lblOffset val="100"/>
        <c:noMultiLvlLbl val="0"/>
      </c:catAx>
      <c:valAx>
        <c:axId val="212513536"/>
        <c:scaling>
          <c:orientation val="minMax"/>
          <c:max val="100"/>
          <c:min val="0"/>
        </c:scaling>
        <c:delete val="1"/>
        <c:axPos val="t"/>
        <c:numFmt formatCode="0" sourceLinked="1"/>
        <c:majorTickMark val="out"/>
        <c:minorTickMark val="none"/>
        <c:tickLblPos val="none"/>
        <c:crossAx val="209181312"/>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pēdējo trīs gadu laikā (2010. – 2012.) jūsu uzņēmums ir reģistrējis rūpnieciskā īpašuma tiesības (ieguvis patentu)...? (%)</a:t>
            </a:r>
            <a:endParaRPr lang="en-US" sz="1050"/>
          </a:p>
        </c:rich>
      </c:tx>
      <c:layout>
        <c:manualLayout>
          <c:xMode val="edge"/>
          <c:yMode val="edge"/>
          <c:x val="0.15743945882362825"/>
          <c:y val="2.4089215922245583E-2"/>
        </c:manualLayout>
      </c:layout>
      <c:overlay val="0"/>
    </c:title>
    <c:autoTitleDeleted val="0"/>
    <c:plotArea>
      <c:layout>
        <c:manualLayout>
          <c:layoutTarget val="inner"/>
          <c:xMode val="edge"/>
          <c:yMode val="edge"/>
          <c:x val="0.37481738227697664"/>
          <c:y val="0.1758401703283593"/>
          <c:w val="0.2812121212121213"/>
          <c:h val="0.76995633187772927"/>
        </c:manualLayout>
      </c:layout>
      <c:pieChart>
        <c:varyColors val="1"/>
        <c:ser>
          <c:idx val="0"/>
          <c:order val="0"/>
          <c:tx>
            <c:strRef>
              <c:f>Sheet1!$B$1</c:f>
              <c:strCache>
                <c:ptCount val="1"/>
                <c:pt idx="0">
                  <c:v>Series 1</c:v>
                </c:pt>
              </c:strCache>
            </c:strRef>
          </c:tx>
          <c:spPr>
            <a:solidFill>
              <a:srgbClr val="9BBB59">
                <a:lumMod val="75000"/>
              </a:srgbClr>
            </a:solidFill>
            <a:ln>
              <a:noFill/>
            </a:ln>
          </c:spPr>
          <c:dPt>
            <c:idx val="0"/>
            <c:bubble3D val="0"/>
            <c:spPr>
              <a:solidFill>
                <a:srgbClr val="9BBB59"/>
              </a:solidFill>
              <a:ln>
                <a:noFill/>
              </a:ln>
            </c:spPr>
          </c:dPt>
          <c:dPt>
            <c:idx val="1"/>
            <c:bubble3D val="0"/>
            <c:spPr>
              <a:solidFill>
                <a:srgbClr val="FFC000"/>
              </a:solidFill>
              <a:ln>
                <a:noFill/>
              </a:ln>
            </c:spPr>
          </c:dPt>
          <c:dPt>
            <c:idx val="2"/>
            <c:bubble3D val="0"/>
            <c:spPr>
              <a:solidFill>
                <a:srgbClr val="F79646">
                  <a:lumMod val="75000"/>
                </a:srgbClr>
              </a:solidFill>
              <a:ln>
                <a:noFill/>
              </a:ln>
            </c:spPr>
          </c:dPt>
          <c:dPt>
            <c:idx val="3"/>
            <c:bubble3D val="0"/>
            <c:spPr>
              <a:solidFill>
                <a:srgbClr val="F79646">
                  <a:lumMod val="75000"/>
                </a:srgbClr>
              </a:solidFill>
              <a:ln>
                <a:noFill/>
              </a:ln>
            </c:spPr>
          </c:dPt>
          <c:dPt>
            <c:idx val="4"/>
            <c:bubble3D val="0"/>
            <c:spPr>
              <a:solidFill>
                <a:sysClr val="window" lastClr="FFFFFF">
                  <a:lumMod val="75000"/>
                </a:sysClr>
              </a:solidFill>
              <a:ln>
                <a:noFill/>
              </a:ln>
            </c:spPr>
          </c:dPt>
          <c:dLbls>
            <c:dLbl>
              <c:idx val="0"/>
              <c:layout>
                <c:manualLayout>
                  <c:x val="1.3006986566870529E-3"/>
                  <c:y val="-3.2890259346952264E-2"/>
                </c:manualLayout>
              </c:layout>
              <c:dLblPos val="bestFit"/>
              <c:showLegendKey val="0"/>
              <c:showVal val="0"/>
              <c:showCatName val="1"/>
              <c:showSerName val="0"/>
              <c:showPercent val="1"/>
              <c:showBubbleSize val="0"/>
            </c:dLbl>
            <c:dLbl>
              <c:idx val="1"/>
              <c:layout>
                <c:manualLayout>
                  <c:x val="1.3596386576079898E-2"/>
                  <c:y val="-6.7808307178385523E-3"/>
                </c:manualLayout>
              </c:layout>
              <c:dLblPos val="bestFit"/>
              <c:showLegendKey val="0"/>
              <c:showVal val="0"/>
              <c:showCatName val="1"/>
              <c:showSerName val="0"/>
              <c:showPercent val="1"/>
              <c:showBubbleSize val="0"/>
            </c:dLbl>
            <c:dLblPos val="ctr"/>
            <c:showLegendKey val="0"/>
            <c:showVal val="0"/>
            <c:showCatName val="1"/>
            <c:showSerName val="0"/>
            <c:showPercent val="1"/>
            <c:showBubbleSize val="0"/>
            <c:showLeaderLines val="1"/>
          </c:dLbls>
          <c:cat>
            <c:strRef>
              <c:f>Sheet1!$A$2:$A$4</c:f>
              <c:strCache>
                <c:ptCount val="3"/>
                <c:pt idx="0">
                  <c:v>Jā, vairākas reizes</c:v>
                </c:pt>
                <c:pt idx="1">
                  <c:v>Jā, vienreiz</c:v>
                </c:pt>
                <c:pt idx="2">
                  <c:v>Nē</c:v>
                </c:pt>
              </c:strCache>
            </c:strRef>
          </c:cat>
          <c:val>
            <c:numRef>
              <c:f>Sheet1!$B$2:$B$4</c:f>
              <c:numCache>
                <c:formatCode>0</c:formatCode>
                <c:ptCount val="3"/>
                <c:pt idx="0">
                  <c:v>2.6548672566371692</c:v>
                </c:pt>
                <c:pt idx="1">
                  <c:v>3.5398230088495581</c:v>
                </c:pt>
                <c:pt idx="2">
                  <c:v>93.805309734513258</c:v>
                </c:pt>
              </c:numCache>
            </c:numRef>
          </c:val>
        </c:ser>
        <c:dLbls>
          <c:showLegendKey val="0"/>
          <c:showVal val="0"/>
          <c:showCatName val="0"/>
          <c:showSerName val="0"/>
          <c:showPercent val="0"/>
          <c:showBubbleSize val="0"/>
          <c:showLeaderLines val="1"/>
        </c:dLbls>
        <c:firstSliceAng val="42"/>
      </c:pieChart>
    </c:plotArea>
    <c:plotVisOnly val="1"/>
    <c:dispBlanksAs val="zero"/>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pēdējo trīs gadu laikā (2010. - 2012.) uzņēmumā ir iegādātas patentu un nepatentētu izgudrojumu, licenču, tehnoloģisko zināšanu, programmatūras vai cita veida zināšanu lietošanas tiesības ar nolūku tās izmantot jūsu uzņēmuma inovācijās...? (%)</a:t>
            </a:r>
            <a:endParaRPr lang="en-US" sz="1050"/>
          </a:p>
        </c:rich>
      </c:tx>
      <c:layout>
        <c:manualLayout>
          <c:xMode val="edge"/>
          <c:yMode val="edge"/>
          <c:x val="0.10852930465031586"/>
          <c:y val="2.4089348971238767E-2"/>
        </c:manualLayout>
      </c:layout>
      <c:overlay val="0"/>
    </c:title>
    <c:autoTitleDeleted val="0"/>
    <c:plotArea>
      <c:layout>
        <c:manualLayout>
          <c:layoutTarget val="inner"/>
          <c:xMode val="edge"/>
          <c:yMode val="edge"/>
          <c:x val="0.37056432539234102"/>
          <c:y val="0.27856788035723762"/>
          <c:w val="0.2812121212121213"/>
          <c:h val="0.76995633187772927"/>
        </c:manualLayout>
      </c:layout>
      <c:pieChart>
        <c:varyColors val="1"/>
        <c:ser>
          <c:idx val="0"/>
          <c:order val="0"/>
          <c:tx>
            <c:strRef>
              <c:f>Sheet1!$B$1</c:f>
              <c:strCache>
                <c:ptCount val="1"/>
                <c:pt idx="0">
                  <c:v>Series 1</c:v>
                </c:pt>
              </c:strCache>
            </c:strRef>
          </c:tx>
          <c:spPr>
            <a:solidFill>
              <a:srgbClr val="9BBB59">
                <a:lumMod val="75000"/>
              </a:srgbClr>
            </a:solidFill>
            <a:ln>
              <a:noFill/>
            </a:ln>
          </c:spPr>
          <c:dPt>
            <c:idx val="0"/>
            <c:bubble3D val="0"/>
            <c:spPr>
              <a:solidFill>
                <a:srgbClr val="9BBB59"/>
              </a:solidFill>
              <a:ln>
                <a:noFill/>
              </a:ln>
            </c:spPr>
          </c:dPt>
          <c:dPt>
            <c:idx val="1"/>
            <c:bubble3D val="0"/>
            <c:spPr>
              <a:solidFill>
                <a:srgbClr val="FFC000"/>
              </a:solidFill>
              <a:ln>
                <a:noFill/>
              </a:ln>
            </c:spPr>
          </c:dPt>
          <c:dPt>
            <c:idx val="2"/>
            <c:bubble3D val="0"/>
            <c:spPr>
              <a:solidFill>
                <a:srgbClr val="F79646">
                  <a:lumMod val="75000"/>
                </a:srgbClr>
              </a:solidFill>
              <a:ln>
                <a:noFill/>
              </a:ln>
            </c:spPr>
          </c:dPt>
          <c:dPt>
            <c:idx val="3"/>
            <c:bubble3D val="0"/>
            <c:spPr>
              <a:solidFill>
                <a:srgbClr val="F79646">
                  <a:lumMod val="75000"/>
                </a:srgbClr>
              </a:solidFill>
              <a:ln>
                <a:noFill/>
              </a:ln>
            </c:spPr>
          </c:dPt>
          <c:dPt>
            <c:idx val="4"/>
            <c:bubble3D val="0"/>
            <c:spPr>
              <a:solidFill>
                <a:sysClr val="window" lastClr="FFFFFF">
                  <a:lumMod val="75000"/>
                </a:sysClr>
              </a:solidFill>
              <a:ln>
                <a:noFill/>
              </a:ln>
            </c:spPr>
          </c:dPt>
          <c:dLbls>
            <c:dLbl>
              <c:idx val="0"/>
              <c:layout>
                <c:manualLayout>
                  <c:x val="-9.4392913804434694E-2"/>
                  <c:y val="0.12987299406366137"/>
                </c:manualLayout>
              </c:layout>
              <c:dLblPos val="bestFit"/>
              <c:showLegendKey val="0"/>
              <c:showVal val="0"/>
              <c:showCatName val="1"/>
              <c:showSerName val="0"/>
              <c:showPercent val="1"/>
              <c:showBubbleSize val="0"/>
            </c:dLbl>
            <c:dLbl>
              <c:idx val="1"/>
              <c:layout>
                <c:manualLayout>
                  <c:x val="-8.919078895042426E-2"/>
                  <c:y val="0.10593915693424227"/>
                </c:manualLayout>
              </c:layout>
              <c:dLblPos val="bestFit"/>
              <c:showLegendKey val="0"/>
              <c:showVal val="0"/>
              <c:showCatName val="1"/>
              <c:showSerName val="0"/>
              <c:showPercent val="1"/>
              <c:showBubbleSize val="0"/>
            </c:dLbl>
            <c:dLblPos val="ctr"/>
            <c:showLegendKey val="0"/>
            <c:showVal val="0"/>
            <c:showCatName val="1"/>
            <c:showSerName val="0"/>
            <c:showPercent val="1"/>
            <c:showBubbleSize val="0"/>
            <c:showLeaderLines val="1"/>
          </c:dLbls>
          <c:cat>
            <c:strRef>
              <c:f>Sheet1!$A$2:$A$4</c:f>
              <c:strCache>
                <c:ptCount val="3"/>
                <c:pt idx="0">
                  <c:v>Jā, vairākas reizes</c:v>
                </c:pt>
                <c:pt idx="1">
                  <c:v>Jā, vienreiz</c:v>
                </c:pt>
                <c:pt idx="2">
                  <c:v>Nē</c:v>
                </c:pt>
              </c:strCache>
            </c:strRef>
          </c:cat>
          <c:val>
            <c:numRef>
              <c:f>Sheet1!$B$2:$B$4</c:f>
              <c:numCache>
                <c:formatCode>0</c:formatCode>
                <c:ptCount val="3"/>
                <c:pt idx="0">
                  <c:v>10.619469026548682</c:v>
                </c:pt>
                <c:pt idx="1">
                  <c:v>11.50442477876107</c:v>
                </c:pt>
                <c:pt idx="2">
                  <c:v>77.876106194690138</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pētniecības un attīstības (izstrādes) aktivitātes </a:t>
            </a:r>
          </a:p>
          <a:p>
            <a:pPr algn="ctr" rtl="0">
              <a:defRPr sz="1050"/>
            </a:pPr>
            <a:r>
              <a:rPr lang="lv-LV" sz="1050"/>
              <a:t>jūsu uzņēmumā tiek veiktas...? (%)</a:t>
            </a:r>
            <a:endParaRPr lang="en-US" sz="1050"/>
          </a:p>
        </c:rich>
      </c:tx>
      <c:layout>
        <c:manualLayout>
          <c:xMode val="edge"/>
          <c:yMode val="edge"/>
          <c:x val="0.28928422224733868"/>
          <c:y val="4.2737367619257394E-2"/>
        </c:manualLayout>
      </c:layout>
      <c:overlay val="0"/>
    </c:title>
    <c:autoTitleDeleted val="0"/>
    <c:plotArea>
      <c:layout>
        <c:manualLayout>
          <c:layoutTarget val="inner"/>
          <c:xMode val="edge"/>
          <c:yMode val="edge"/>
          <c:x val="0.37269085383465889"/>
          <c:y val="0.12416460180239709"/>
          <c:w val="0.2812121212121213"/>
          <c:h val="0.76995633187772927"/>
        </c:manualLayout>
      </c:layout>
      <c:pieChart>
        <c:varyColors val="1"/>
        <c:ser>
          <c:idx val="0"/>
          <c:order val="0"/>
          <c:tx>
            <c:strRef>
              <c:f>Sheet1!$B$1</c:f>
              <c:strCache>
                <c:ptCount val="1"/>
                <c:pt idx="0">
                  <c:v>Series 1</c:v>
                </c:pt>
              </c:strCache>
            </c:strRef>
          </c:tx>
          <c:spPr>
            <a:solidFill>
              <a:srgbClr val="9BBB59">
                <a:lumMod val="75000"/>
              </a:srgbClr>
            </a:solidFill>
            <a:ln>
              <a:noFill/>
            </a:ln>
          </c:spPr>
          <c:dPt>
            <c:idx val="0"/>
            <c:bubble3D val="0"/>
            <c:spPr>
              <a:solidFill>
                <a:srgbClr val="9BBB59"/>
              </a:solidFill>
              <a:ln>
                <a:noFill/>
              </a:ln>
            </c:spPr>
          </c:dPt>
          <c:dPt>
            <c:idx val="1"/>
            <c:bubble3D val="0"/>
            <c:spPr>
              <a:solidFill>
                <a:srgbClr val="FFC000"/>
              </a:solidFill>
              <a:ln>
                <a:noFill/>
              </a:ln>
            </c:spPr>
          </c:dPt>
          <c:dPt>
            <c:idx val="2"/>
            <c:bubble3D val="0"/>
            <c:spPr>
              <a:solidFill>
                <a:srgbClr val="F79646">
                  <a:lumMod val="75000"/>
                </a:srgbClr>
              </a:solidFill>
              <a:ln>
                <a:noFill/>
              </a:ln>
            </c:spPr>
          </c:dPt>
          <c:dPt>
            <c:idx val="3"/>
            <c:bubble3D val="0"/>
            <c:spPr>
              <a:solidFill>
                <a:srgbClr val="F79646">
                  <a:lumMod val="75000"/>
                </a:srgbClr>
              </a:solidFill>
              <a:ln>
                <a:noFill/>
              </a:ln>
            </c:spPr>
          </c:dPt>
          <c:dPt>
            <c:idx val="4"/>
            <c:bubble3D val="0"/>
            <c:spPr>
              <a:solidFill>
                <a:sysClr val="window" lastClr="FFFFFF">
                  <a:lumMod val="75000"/>
                </a:sysClr>
              </a:solidFill>
              <a:ln>
                <a:noFill/>
              </a:ln>
            </c:spPr>
          </c:dPt>
          <c:dLbls>
            <c:dLbl>
              <c:idx val="0"/>
              <c:layout>
                <c:manualLayout>
                  <c:x val="-0.14755629230556724"/>
                  <c:y val="0.15358992713323424"/>
                </c:manualLayout>
              </c:layout>
              <c:dLblPos val="bestFit"/>
              <c:showLegendKey val="0"/>
              <c:showVal val="0"/>
              <c:showCatName val="1"/>
              <c:showSerName val="0"/>
              <c:showPercent val="1"/>
              <c:showBubbleSize val="0"/>
            </c:dLbl>
            <c:dLbl>
              <c:idx val="1"/>
              <c:layout>
                <c:manualLayout>
                  <c:x val="-3.4160084056478568E-3"/>
                  <c:y val="-6.7808307178385922E-3"/>
                </c:manualLayout>
              </c:layout>
              <c:dLblPos val="bestFit"/>
              <c:showLegendKey val="0"/>
              <c:showVal val="0"/>
              <c:showCatName val="1"/>
              <c:showSerName val="0"/>
              <c:showPercent val="1"/>
              <c:showBubbleSize val="0"/>
            </c:dLbl>
            <c:dLbl>
              <c:idx val="2"/>
              <c:layout>
                <c:manualLayout>
                  <c:x val="0.12729482977307263"/>
                  <c:y val="-0.18570489877576507"/>
                </c:manualLayout>
              </c:layout>
              <c:dLblPos val="bestFit"/>
              <c:showLegendKey val="0"/>
              <c:showVal val="0"/>
              <c:showCatName val="1"/>
              <c:showSerName val="0"/>
              <c:showPercent val="1"/>
              <c:showBubbleSize val="0"/>
            </c:dLbl>
            <c:dLblPos val="ctr"/>
            <c:showLegendKey val="0"/>
            <c:showVal val="0"/>
            <c:showCatName val="1"/>
            <c:showSerName val="0"/>
            <c:showPercent val="1"/>
            <c:showBubbleSize val="0"/>
            <c:showLeaderLines val="1"/>
          </c:dLbls>
          <c:cat>
            <c:strRef>
              <c:f>Sheet1!$A$2:$A$4</c:f>
              <c:strCache>
                <c:ptCount val="3"/>
                <c:pt idx="0">
                  <c:v>Tikai pašu spēkiem</c:v>
                </c:pt>
                <c:pt idx="1">
                  <c:v>Tikai sadarbībā ar partneriem</c:v>
                </c:pt>
                <c:pt idx="2">
                  <c:v>Gan pašu spēkiem, gan sadarbojoties ar partneriem</c:v>
                </c:pt>
              </c:strCache>
            </c:strRef>
          </c:cat>
          <c:val>
            <c:numRef>
              <c:f>Sheet1!$B$2:$B$4</c:f>
              <c:numCache>
                <c:formatCode>0</c:formatCode>
                <c:ptCount val="3"/>
                <c:pt idx="0">
                  <c:v>44.247787610619405</c:v>
                </c:pt>
                <c:pt idx="1">
                  <c:v>5.3097345132743374</c:v>
                </c:pt>
                <c:pt idx="2">
                  <c:v>50.442477876106196</c:v>
                </c:pt>
              </c:numCache>
            </c:numRef>
          </c:val>
        </c:ser>
        <c:dLbls>
          <c:showLegendKey val="0"/>
          <c:showVal val="0"/>
          <c:showCatName val="0"/>
          <c:showSerName val="0"/>
          <c:showPercent val="0"/>
          <c:showBubbleSize val="0"/>
          <c:showLeaderLines val="1"/>
        </c:dLbls>
        <c:firstSliceAng val="318"/>
      </c:pieChart>
    </c:plotArea>
    <c:plotVisOnly val="1"/>
    <c:dispBlanksAs val="zero"/>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jūsu uzņēmums sadarbojas ar partneriem...? (%)</a:t>
            </a:r>
            <a:endParaRPr lang="en-US" sz="1050"/>
          </a:p>
        </c:rich>
      </c:tx>
      <c:layout>
        <c:manualLayout>
          <c:xMode val="edge"/>
          <c:yMode val="edge"/>
          <c:x val="0.26163935249720544"/>
          <c:y val="3.8075362957252772E-2"/>
        </c:manualLayout>
      </c:layout>
      <c:overlay val="0"/>
    </c:title>
    <c:autoTitleDeleted val="0"/>
    <c:plotArea>
      <c:layout>
        <c:manualLayout>
          <c:layoutTarget val="inner"/>
          <c:xMode val="edge"/>
          <c:yMode val="edge"/>
          <c:x val="0.37269085383465889"/>
          <c:y val="0.12416460180239709"/>
          <c:w val="0.2812121212121213"/>
          <c:h val="0.76995633187772927"/>
        </c:manualLayout>
      </c:layout>
      <c:pieChart>
        <c:varyColors val="1"/>
        <c:ser>
          <c:idx val="0"/>
          <c:order val="0"/>
          <c:tx>
            <c:strRef>
              <c:f>Sheet1!$B$1</c:f>
              <c:strCache>
                <c:ptCount val="1"/>
                <c:pt idx="0">
                  <c:v>Series 1</c:v>
                </c:pt>
              </c:strCache>
            </c:strRef>
          </c:tx>
          <c:spPr>
            <a:solidFill>
              <a:srgbClr val="9BBB59">
                <a:lumMod val="75000"/>
              </a:srgbClr>
            </a:solidFill>
            <a:ln>
              <a:noFill/>
            </a:ln>
          </c:spPr>
          <c:dPt>
            <c:idx val="0"/>
            <c:bubble3D val="0"/>
            <c:spPr>
              <a:solidFill>
                <a:srgbClr val="9BBB59"/>
              </a:solidFill>
              <a:ln>
                <a:noFill/>
              </a:ln>
            </c:spPr>
          </c:dPt>
          <c:dPt>
            <c:idx val="1"/>
            <c:bubble3D val="0"/>
            <c:spPr>
              <a:solidFill>
                <a:srgbClr val="FFC000"/>
              </a:solidFill>
              <a:ln>
                <a:noFill/>
              </a:ln>
            </c:spPr>
          </c:dPt>
          <c:dPt>
            <c:idx val="2"/>
            <c:bubble3D val="0"/>
            <c:spPr>
              <a:solidFill>
                <a:srgbClr val="F79646">
                  <a:lumMod val="75000"/>
                </a:srgbClr>
              </a:solidFill>
              <a:ln>
                <a:noFill/>
              </a:ln>
            </c:spPr>
          </c:dPt>
          <c:dPt>
            <c:idx val="3"/>
            <c:bubble3D val="0"/>
            <c:spPr>
              <a:solidFill>
                <a:srgbClr val="F79646">
                  <a:lumMod val="75000"/>
                </a:srgbClr>
              </a:solidFill>
              <a:ln>
                <a:noFill/>
              </a:ln>
            </c:spPr>
          </c:dPt>
          <c:dPt>
            <c:idx val="4"/>
            <c:bubble3D val="0"/>
            <c:spPr>
              <a:solidFill>
                <a:sysClr val="window" lastClr="FFFFFF">
                  <a:lumMod val="75000"/>
                </a:sysClr>
              </a:solidFill>
              <a:ln>
                <a:noFill/>
              </a:ln>
            </c:spPr>
          </c:dPt>
          <c:dLbls>
            <c:dLbl>
              <c:idx val="0"/>
              <c:layout>
                <c:manualLayout>
                  <c:x val="-9.6519609689937086E-2"/>
                  <c:y val="0.24726879728269288"/>
                </c:manualLayout>
              </c:layout>
              <c:dLblPos val="bestFit"/>
              <c:showLegendKey val="0"/>
              <c:showVal val="0"/>
              <c:showCatName val="1"/>
              <c:showSerName val="0"/>
              <c:showPercent val="1"/>
              <c:showBubbleSize val="0"/>
            </c:dLbl>
            <c:dLbl>
              <c:idx val="1"/>
              <c:layout>
                <c:manualLayout>
                  <c:x val="-3.4160084056478568E-3"/>
                  <c:y val="-6.7808307178385922E-3"/>
                </c:manualLayout>
              </c:layout>
              <c:dLblPos val="bestFit"/>
              <c:showLegendKey val="0"/>
              <c:showVal val="0"/>
              <c:showCatName val="1"/>
              <c:showSerName val="0"/>
              <c:showPercent val="1"/>
              <c:showBubbleSize val="0"/>
            </c:dLbl>
            <c:dLbl>
              <c:idx val="2"/>
              <c:layout>
                <c:manualLayout>
                  <c:x val="0.14218052886929802"/>
                  <c:y val="-0.23276372806340384"/>
                </c:manualLayout>
              </c:layout>
              <c:dLblPos val="bestFit"/>
              <c:showLegendKey val="0"/>
              <c:showVal val="0"/>
              <c:showCatName val="1"/>
              <c:showSerName val="0"/>
              <c:showPercent val="1"/>
              <c:showBubbleSize val="0"/>
            </c:dLbl>
            <c:dLblPos val="ctr"/>
            <c:showLegendKey val="0"/>
            <c:showVal val="0"/>
            <c:showCatName val="1"/>
            <c:showSerName val="0"/>
            <c:showPercent val="1"/>
            <c:showBubbleSize val="0"/>
            <c:showLeaderLines val="1"/>
          </c:dLbls>
          <c:cat>
            <c:strRef>
              <c:f>Sheet1!$A$2:$A$4</c:f>
              <c:strCache>
                <c:ptCount val="3"/>
                <c:pt idx="0">
                  <c:v>Tikai ar Latvijas</c:v>
                </c:pt>
                <c:pt idx="1">
                  <c:v>Tikai ar ārvalstu</c:v>
                </c:pt>
                <c:pt idx="2">
                  <c:v>Gan ar Latvijas, gan ar ārvalstu</c:v>
                </c:pt>
              </c:strCache>
            </c:strRef>
          </c:cat>
          <c:val>
            <c:numRef>
              <c:f>Sheet1!$B$2:$B$4</c:f>
              <c:numCache>
                <c:formatCode>0</c:formatCode>
                <c:ptCount val="3"/>
                <c:pt idx="0">
                  <c:v>33.333333333333336</c:v>
                </c:pt>
                <c:pt idx="1">
                  <c:v>9.5238095238095237</c:v>
                </c:pt>
                <c:pt idx="2">
                  <c:v>57.142857142857153</c:v>
                </c:pt>
              </c:numCache>
            </c:numRef>
          </c:val>
        </c:ser>
        <c:dLbls>
          <c:showLegendKey val="0"/>
          <c:showVal val="0"/>
          <c:showCatName val="0"/>
          <c:showSerName val="0"/>
          <c:showPercent val="0"/>
          <c:showBubbleSize val="0"/>
          <c:showLeaderLines val="1"/>
        </c:dLbls>
        <c:firstSliceAng val="318"/>
      </c:pieChart>
    </c:plotArea>
    <c:plotVisOnly val="1"/>
    <c:dispBlanksAs val="zero"/>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Kas ir jūsu uzņēmuma sadarbības partneri Latvijā? </a:t>
            </a:r>
          </a:p>
          <a:p>
            <a:pPr algn="ctr" rtl="0">
              <a:defRPr sz="1050"/>
            </a:pPr>
            <a:r>
              <a:rPr lang="lv-LV" sz="1050"/>
              <a:t>Vai jūsu sadarbības partneri ir...? (%)</a:t>
            </a:r>
            <a:endParaRPr lang="en-US" sz="1050"/>
          </a:p>
        </c:rich>
      </c:tx>
      <c:layout>
        <c:manualLayout>
          <c:xMode val="edge"/>
          <c:yMode val="edge"/>
          <c:x val="0.25054758107389685"/>
          <c:y val="2.0297002348390662E-2"/>
        </c:manualLayout>
      </c:layout>
      <c:overlay val="0"/>
    </c:title>
    <c:autoTitleDeleted val="0"/>
    <c:plotArea>
      <c:layout>
        <c:manualLayout>
          <c:layoutTarget val="inner"/>
          <c:xMode val="edge"/>
          <c:yMode val="edge"/>
          <c:x val="0.4255580253425264"/>
          <c:y val="0.15655373670396477"/>
          <c:w val="0.35351408825093067"/>
          <c:h val="0.70622807017543865"/>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Sheet1!$A$2:$A$8</c:f>
              <c:strCache>
                <c:ptCount val="7"/>
                <c:pt idx="0">
                  <c:v>Privāti uzņēmumi, biedrības</c:v>
                </c:pt>
                <c:pt idx="1">
                  <c:v>Augstskolas</c:v>
                </c:pt>
                <c:pt idx="2">
                  <c:v>Privātpersonas</c:v>
                </c:pt>
                <c:pt idx="3">
                  <c:v>Valsts iestādes/uzņēmumi</c:v>
                </c:pt>
                <c:pt idx="4">
                  <c:v>Valsts zinātniskie institūti</c:v>
                </c:pt>
                <c:pt idx="5">
                  <c:v>Pašvaldību iestādes</c:v>
                </c:pt>
                <c:pt idx="6">
                  <c:v>Citi</c:v>
                </c:pt>
              </c:strCache>
            </c:strRef>
          </c:cat>
          <c:val>
            <c:numRef>
              <c:f>Sheet1!$B$2:$B$8</c:f>
              <c:numCache>
                <c:formatCode>0</c:formatCode>
                <c:ptCount val="7"/>
                <c:pt idx="0">
                  <c:v>80</c:v>
                </c:pt>
                <c:pt idx="1">
                  <c:v>25.454545454545453</c:v>
                </c:pt>
                <c:pt idx="2">
                  <c:v>25.454545454545453</c:v>
                </c:pt>
                <c:pt idx="3">
                  <c:v>18.181818181818208</c:v>
                </c:pt>
                <c:pt idx="4">
                  <c:v>16.363636363636342</c:v>
                </c:pt>
                <c:pt idx="5">
                  <c:v>12.727272727272705</c:v>
                </c:pt>
                <c:pt idx="6">
                  <c:v>3.6363636363636336</c:v>
                </c:pt>
              </c:numCache>
            </c:numRef>
          </c:val>
        </c:ser>
        <c:dLbls>
          <c:showLegendKey val="0"/>
          <c:showVal val="0"/>
          <c:showCatName val="0"/>
          <c:showSerName val="0"/>
          <c:showPercent val="0"/>
          <c:showBubbleSize val="0"/>
        </c:dLbls>
        <c:gapWidth val="50"/>
        <c:axId val="203496832"/>
        <c:axId val="203498624"/>
      </c:barChart>
      <c:catAx>
        <c:axId val="203496832"/>
        <c:scaling>
          <c:orientation val="maxMin"/>
        </c:scaling>
        <c:delete val="0"/>
        <c:axPos val="l"/>
        <c:majorTickMark val="out"/>
        <c:minorTickMark val="none"/>
        <c:tickLblPos val="nextTo"/>
        <c:txPr>
          <a:bodyPr/>
          <a:lstStyle/>
          <a:p>
            <a:pPr>
              <a:defRPr sz="1000"/>
            </a:pPr>
            <a:endParaRPr lang="lv-LV"/>
          </a:p>
        </c:txPr>
        <c:crossAx val="203498624"/>
        <c:crosses val="autoZero"/>
        <c:auto val="1"/>
        <c:lblAlgn val="ctr"/>
        <c:lblOffset val="100"/>
        <c:noMultiLvlLbl val="0"/>
      </c:catAx>
      <c:valAx>
        <c:axId val="203498624"/>
        <c:scaling>
          <c:orientation val="minMax"/>
          <c:max val="100"/>
          <c:min val="0"/>
        </c:scaling>
        <c:delete val="1"/>
        <c:axPos val="t"/>
        <c:numFmt formatCode="0" sourceLinked="1"/>
        <c:majorTickMark val="out"/>
        <c:minorTickMark val="none"/>
        <c:tickLblPos val="none"/>
        <c:crossAx val="203496832"/>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Kas ir jūsu uzņēmuma sadarbības partneri ārvalstīs? </a:t>
            </a:r>
          </a:p>
          <a:p>
            <a:pPr algn="ctr" rtl="0">
              <a:defRPr sz="1050"/>
            </a:pPr>
            <a:r>
              <a:rPr lang="lv-LV" sz="1050"/>
              <a:t>Vai jūsu sadarbības partneri ir...? (%)</a:t>
            </a:r>
            <a:endParaRPr lang="en-US" sz="1050"/>
          </a:p>
        </c:rich>
      </c:tx>
      <c:layout>
        <c:manualLayout>
          <c:xMode val="edge"/>
          <c:yMode val="edge"/>
          <c:x val="0.25054758107389685"/>
          <c:y val="2.0297002348390662E-2"/>
        </c:manualLayout>
      </c:layout>
      <c:overlay val="0"/>
    </c:title>
    <c:autoTitleDeleted val="0"/>
    <c:plotArea>
      <c:layout>
        <c:manualLayout>
          <c:layoutTarget val="inner"/>
          <c:xMode val="edge"/>
          <c:yMode val="edge"/>
          <c:x val="0.4255580253425264"/>
          <c:y val="0.15655373670396477"/>
          <c:w val="0.35351408825093067"/>
          <c:h val="0.70622807017543865"/>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Sheet1!$A$2:$A$8</c:f>
              <c:strCache>
                <c:ptCount val="7"/>
                <c:pt idx="0">
                  <c:v>Privāti uzņēmumi, biedrības</c:v>
                </c:pt>
                <c:pt idx="1">
                  <c:v>Privātpersonas</c:v>
                </c:pt>
                <c:pt idx="2">
                  <c:v>Valsts iestādes/uzņēmumi</c:v>
                </c:pt>
                <c:pt idx="3">
                  <c:v>Valsts zinātniskie institūti</c:v>
                </c:pt>
                <c:pt idx="4">
                  <c:v>Pašvaldību iestādes</c:v>
                </c:pt>
                <c:pt idx="5">
                  <c:v>Augstskolas</c:v>
                </c:pt>
                <c:pt idx="6">
                  <c:v>Citi</c:v>
                </c:pt>
              </c:strCache>
            </c:strRef>
          </c:cat>
          <c:val>
            <c:numRef>
              <c:f>Sheet1!$B$2:$B$8</c:f>
              <c:numCache>
                <c:formatCode>0</c:formatCode>
                <c:ptCount val="7"/>
                <c:pt idx="0">
                  <c:v>92.682926829268283</c:v>
                </c:pt>
                <c:pt idx="1">
                  <c:v>19.51219512195123</c:v>
                </c:pt>
                <c:pt idx="2">
                  <c:v>12.195121951219511</c:v>
                </c:pt>
                <c:pt idx="3">
                  <c:v>7.3170731707317076</c:v>
                </c:pt>
                <c:pt idx="4">
                  <c:v>7.3170731707317076</c:v>
                </c:pt>
                <c:pt idx="5">
                  <c:v>4.8780487804878119</c:v>
                </c:pt>
                <c:pt idx="6">
                  <c:v>2.4390243902439024</c:v>
                </c:pt>
              </c:numCache>
            </c:numRef>
          </c:val>
        </c:ser>
        <c:dLbls>
          <c:showLegendKey val="0"/>
          <c:showVal val="0"/>
          <c:showCatName val="0"/>
          <c:showSerName val="0"/>
          <c:showPercent val="0"/>
          <c:showBubbleSize val="0"/>
        </c:dLbls>
        <c:gapWidth val="50"/>
        <c:axId val="203646464"/>
        <c:axId val="203648000"/>
      </c:barChart>
      <c:catAx>
        <c:axId val="203646464"/>
        <c:scaling>
          <c:orientation val="maxMin"/>
        </c:scaling>
        <c:delete val="0"/>
        <c:axPos val="l"/>
        <c:majorTickMark val="out"/>
        <c:minorTickMark val="none"/>
        <c:tickLblPos val="nextTo"/>
        <c:txPr>
          <a:bodyPr/>
          <a:lstStyle/>
          <a:p>
            <a:pPr>
              <a:defRPr sz="1000"/>
            </a:pPr>
            <a:endParaRPr lang="lv-LV"/>
          </a:p>
        </c:txPr>
        <c:crossAx val="203648000"/>
        <c:crosses val="autoZero"/>
        <c:auto val="1"/>
        <c:lblAlgn val="ctr"/>
        <c:lblOffset val="100"/>
        <c:noMultiLvlLbl val="0"/>
      </c:catAx>
      <c:valAx>
        <c:axId val="203648000"/>
        <c:scaling>
          <c:orientation val="minMax"/>
          <c:max val="100"/>
          <c:min val="0"/>
        </c:scaling>
        <c:delete val="1"/>
        <c:axPos val="t"/>
        <c:numFmt formatCode="0" sourceLinked="1"/>
        <c:majorTickMark val="out"/>
        <c:minorTickMark val="none"/>
        <c:tickLblPos val="none"/>
        <c:crossAx val="203646464"/>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uzņēmuma ieguldījumiem pētniecībā un attīstībā (izstrādē) </a:t>
            </a:r>
          </a:p>
          <a:p>
            <a:pPr algn="ctr" rtl="0">
              <a:defRPr sz="1050"/>
            </a:pPr>
            <a:r>
              <a:rPr lang="lv-LV" sz="1050"/>
              <a:t>esat izmantojuši...? (%)</a:t>
            </a:r>
            <a:endParaRPr lang="en-US" sz="1050"/>
          </a:p>
        </c:rich>
      </c:tx>
      <c:layout>
        <c:manualLayout>
          <c:xMode val="edge"/>
          <c:yMode val="edge"/>
          <c:x val="0.25054758107389685"/>
          <c:y val="2.0297002348390662E-2"/>
        </c:manualLayout>
      </c:layout>
      <c:overlay val="0"/>
    </c:title>
    <c:autoTitleDeleted val="0"/>
    <c:plotArea>
      <c:layout>
        <c:manualLayout>
          <c:layoutTarget val="inner"/>
          <c:xMode val="edge"/>
          <c:yMode val="edge"/>
          <c:x val="0.4255580253425264"/>
          <c:y val="0.19254125622961088"/>
          <c:w val="0.35351408825093067"/>
          <c:h val="0.67563900666262999"/>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Sheet1!$A$2:$A$5</c:f>
              <c:strCache>
                <c:ptCount val="4"/>
                <c:pt idx="0">
                  <c:v>Tikai pašu (iekšējo) finansējumu</c:v>
                </c:pt>
                <c:pt idx="1">
                  <c:v>Lielāko daļu pašu, nelielu daļu – ārējo finansējumu</c:v>
                </c:pt>
                <c:pt idx="2">
                  <c:v>Aptuveni vienlīdz daudz pašu un ārējo finansējumu</c:v>
                </c:pt>
                <c:pt idx="3">
                  <c:v>Lielāko daļu – ārējo, nelielu daļu – pašu finansējumu</c:v>
                </c:pt>
              </c:strCache>
            </c:strRef>
          </c:cat>
          <c:val>
            <c:numRef>
              <c:f>Sheet1!$B$2:$B$5</c:f>
              <c:numCache>
                <c:formatCode>0</c:formatCode>
                <c:ptCount val="4"/>
                <c:pt idx="0">
                  <c:v>72.07207207207189</c:v>
                </c:pt>
                <c:pt idx="1">
                  <c:v>11.711711711711695</c:v>
                </c:pt>
                <c:pt idx="2">
                  <c:v>8.1081081081080999</c:v>
                </c:pt>
                <c:pt idx="3">
                  <c:v>8.1081081081080999</c:v>
                </c:pt>
              </c:numCache>
            </c:numRef>
          </c:val>
        </c:ser>
        <c:dLbls>
          <c:showLegendKey val="0"/>
          <c:showVal val="0"/>
          <c:showCatName val="0"/>
          <c:showSerName val="0"/>
          <c:showPercent val="0"/>
          <c:showBubbleSize val="0"/>
        </c:dLbls>
        <c:gapWidth val="80"/>
        <c:axId val="203677056"/>
        <c:axId val="203773056"/>
      </c:barChart>
      <c:catAx>
        <c:axId val="203677056"/>
        <c:scaling>
          <c:orientation val="maxMin"/>
        </c:scaling>
        <c:delete val="0"/>
        <c:axPos val="l"/>
        <c:majorTickMark val="out"/>
        <c:minorTickMark val="none"/>
        <c:tickLblPos val="nextTo"/>
        <c:txPr>
          <a:bodyPr/>
          <a:lstStyle/>
          <a:p>
            <a:pPr>
              <a:defRPr sz="1000"/>
            </a:pPr>
            <a:endParaRPr lang="lv-LV"/>
          </a:p>
        </c:txPr>
        <c:crossAx val="203773056"/>
        <c:crosses val="autoZero"/>
        <c:auto val="1"/>
        <c:lblAlgn val="ctr"/>
        <c:lblOffset val="100"/>
        <c:noMultiLvlLbl val="0"/>
      </c:catAx>
      <c:valAx>
        <c:axId val="203773056"/>
        <c:scaling>
          <c:orientation val="minMax"/>
          <c:max val="100"/>
          <c:min val="0"/>
        </c:scaling>
        <c:delete val="1"/>
        <c:axPos val="t"/>
        <c:numFmt formatCode="0" sourceLinked="1"/>
        <c:majorTickMark val="out"/>
        <c:minorTickMark val="none"/>
        <c:tickLblPos val="none"/>
        <c:crossAx val="203677056"/>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Ja jūsu uzņēmumam nebūtu iespēju pētniecībai un attīstībai (izstrādei) piesaistīt ārējo finansējumu, vai tiktu veikti pašu finansējuma ieguldījumi? (%)</a:t>
            </a:r>
            <a:endParaRPr lang="en-US" sz="1050"/>
          </a:p>
        </c:rich>
      </c:tx>
      <c:layout>
        <c:manualLayout>
          <c:xMode val="edge"/>
          <c:yMode val="edge"/>
          <c:x val="0.11811793860695641"/>
          <c:y val="1.7160207915187083E-2"/>
        </c:manualLayout>
      </c:layout>
      <c:overlay val="0"/>
    </c:title>
    <c:autoTitleDeleted val="0"/>
    <c:plotArea>
      <c:layout>
        <c:manualLayout>
          <c:layoutTarget val="inner"/>
          <c:xMode val="edge"/>
          <c:yMode val="edge"/>
          <c:x val="0.37269085383465889"/>
          <c:y val="0.12841550846412675"/>
          <c:w val="0.2812121212121213"/>
          <c:h val="0.76995633187772927"/>
        </c:manualLayout>
      </c:layout>
      <c:pieChart>
        <c:varyColors val="1"/>
        <c:ser>
          <c:idx val="0"/>
          <c:order val="0"/>
          <c:tx>
            <c:strRef>
              <c:f>Sheet1!$B$1</c:f>
              <c:strCache>
                <c:ptCount val="1"/>
                <c:pt idx="0">
                  <c:v>Series 1</c:v>
                </c:pt>
              </c:strCache>
            </c:strRef>
          </c:tx>
          <c:spPr>
            <a:solidFill>
              <a:srgbClr val="9BBB59">
                <a:lumMod val="75000"/>
              </a:srgbClr>
            </a:solidFill>
            <a:ln>
              <a:noFill/>
            </a:ln>
          </c:spPr>
          <c:dPt>
            <c:idx val="1"/>
            <c:bubble3D val="0"/>
            <c:spPr>
              <a:solidFill>
                <a:srgbClr val="9BBB59"/>
              </a:solidFill>
              <a:ln>
                <a:noFill/>
              </a:ln>
            </c:spPr>
          </c:dPt>
          <c:dPt>
            <c:idx val="2"/>
            <c:bubble3D val="0"/>
            <c:spPr>
              <a:solidFill>
                <a:srgbClr val="FFC000"/>
              </a:solidFill>
              <a:ln>
                <a:noFill/>
              </a:ln>
            </c:spPr>
          </c:dPt>
          <c:dPt>
            <c:idx val="3"/>
            <c:bubble3D val="0"/>
            <c:spPr>
              <a:solidFill>
                <a:srgbClr val="F79646">
                  <a:lumMod val="75000"/>
                </a:srgbClr>
              </a:solidFill>
              <a:ln>
                <a:noFill/>
              </a:ln>
            </c:spPr>
          </c:dPt>
          <c:dPt>
            <c:idx val="4"/>
            <c:bubble3D val="0"/>
            <c:spPr>
              <a:solidFill>
                <a:sysClr val="window" lastClr="FFFFFF">
                  <a:lumMod val="75000"/>
                </a:sysClr>
              </a:solidFill>
              <a:ln>
                <a:noFill/>
              </a:ln>
            </c:spPr>
          </c:dPt>
          <c:dLbls>
            <c:dLbl>
              <c:idx val="0"/>
              <c:layout>
                <c:manualLayout>
                  <c:x val="-1.3371845265753282E-2"/>
                  <c:y val="5.5587380436505886E-2"/>
                </c:manualLayout>
              </c:layout>
              <c:dLblPos val="bestFit"/>
              <c:showLegendKey val="0"/>
              <c:showVal val="0"/>
              <c:showCatName val="1"/>
              <c:showSerName val="0"/>
              <c:showPercent val="1"/>
              <c:showBubbleSize val="0"/>
            </c:dLbl>
            <c:dLbl>
              <c:idx val="1"/>
              <c:layout>
                <c:manualLayout>
                  <c:x val="5.016430362472641E-3"/>
                  <c:y val="-6.1141820359703364E-2"/>
                </c:manualLayout>
              </c:layout>
              <c:dLblPos val="bestFit"/>
              <c:showLegendKey val="0"/>
              <c:showVal val="0"/>
              <c:showCatName val="1"/>
              <c:showSerName val="0"/>
              <c:showPercent val="1"/>
              <c:showBubbleSize val="0"/>
            </c:dLbl>
            <c:dLbl>
              <c:idx val="2"/>
              <c:layout>
                <c:manualLayout>
                  <c:x val="1.6042731500667709E-3"/>
                  <c:y val="-2.316722154697114E-2"/>
                </c:manualLayout>
              </c:layout>
              <c:dLblPos val="bestFit"/>
              <c:showLegendKey val="0"/>
              <c:showVal val="0"/>
              <c:showCatName val="1"/>
              <c:showSerName val="0"/>
              <c:showPercent val="1"/>
              <c:showBubbleSize val="0"/>
            </c:dLbl>
            <c:dLbl>
              <c:idx val="3"/>
              <c:layout>
                <c:manualLayout>
                  <c:x val="1.8885079556443026E-2"/>
                  <c:y val="4.7554475153693113E-2"/>
                </c:manualLayout>
              </c:layout>
              <c:dLblPos val="bestFit"/>
              <c:showLegendKey val="0"/>
              <c:showVal val="0"/>
              <c:showCatName val="1"/>
              <c:showSerName val="0"/>
              <c:showPercent val="1"/>
              <c:showBubbleSize val="0"/>
            </c:dLbl>
            <c:dLbl>
              <c:idx val="4"/>
              <c:layout>
                <c:manualLayout>
                  <c:x val="9.7875564597487315E-3"/>
                  <c:y val="5.3180432982789912E-2"/>
                </c:manualLayout>
              </c:layout>
              <c:dLblPos val="bestFit"/>
              <c:showLegendKey val="0"/>
              <c:showVal val="0"/>
              <c:showCatName val="1"/>
              <c:showSerName val="0"/>
              <c:showPercent val="1"/>
              <c:showBubbleSize val="0"/>
            </c:dLbl>
            <c:dLblPos val="ctr"/>
            <c:showLegendKey val="0"/>
            <c:showVal val="0"/>
            <c:showCatName val="1"/>
            <c:showSerName val="0"/>
            <c:showPercent val="1"/>
            <c:showBubbleSize val="0"/>
            <c:showLeaderLines val="1"/>
          </c:dLbls>
          <c:cat>
            <c:strRef>
              <c:f>Sheet1!$A$2:$A$6</c:f>
              <c:strCache>
                <c:ptCount val="5"/>
                <c:pt idx="0">
                  <c:v>Noteikti tiktu veikti</c:v>
                </c:pt>
                <c:pt idx="1">
                  <c:v>Drīzāk tiktu veikti</c:v>
                </c:pt>
                <c:pt idx="2">
                  <c:v>Drīzāk netiktu veikti</c:v>
                </c:pt>
                <c:pt idx="3">
                  <c:v>Noteikti netiktu veikti</c:v>
                </c:pt>
                <c:pt idx="4">
                  <c:v>Grūti pateikt</c:v>
                </c:pt>
              </c:strCache>
            </c:strRef>
          </c:cat>
          <c:val>
            <c:numRef>
              <c:f>Sheet1!$B$2:$B$6</c:f>
              <c:numCache>
                <c:formatCode>0</c:formatCode>
                <c:ptCount val="5"/>
                <c:pt idx="0">
                  <c:v>26.666666666666668</c:v>
                </c:pt>
                <c:pt idx="1">
                  <c:v>26.666666666666668</c:v>
                </c:pt>
                <c:pt idx="2">
                  <c:v>20</c:v>
                </c:pt>
                <c:pt idx="3">
                  <c:v>13.333333333333334</c:v>
                </c:pt>
                <c:pt idx="4">
                  <c:v>13.333333333333334</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Pie kādiem nosacījumiem jūsu uzņēmums ieguldītu pašu līdzekļus pētniecībā un attīstībā (izstrādē), ja nebūtu iespēju piesaistīt ārējo finansējumu? (%)</a:t>
            </a:r>
            <a:endParaRPr lang="en-US" sz="1050"/>
          </a:p>
        </c:rich>
      </c:tx>
      <c:layout>
        <c:manualLayout>
          <c:xMode val="edge"/>
          <c:yMode val="edge"/>
          <c:x val="0.12221158958001073"/>
          <c:y val="1.591103743610996E-2"/>
        </c:manualLayout>
      </c:layout>
      <c:overlay val="0"/>
    </c:title>
    <c:autoTitleDeleted val="0"/>
    <c:plotArea>
      <c:layout>
        <c:manualLayout>
          <c:layoutTarget val="inner"/>
          <c:xMode val="edge"/>
          <c:yMode val="edge"/>
          <c:x val="0.51912527680451515"/>
          <c:y val="0.18656579692244377"/>
          <c:w val="0.35351408825093067"/>
          <c:h val="0.71009623797025379"/>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Sheet1!$A$2:$A$6</c:f>
              <c:strCache>
                <c:ptCount val="5"/>
                <c:pt idx="0">
                  <c:v>Iespējas piesaistīt publisko finansējumu</c:v>
                </c:pt>
                <c:pt idx="1">
                  <c:v>Iespējas samazināt izmaksas, sadarbojoties ar citiem komersantiem</c:v>
                </c:pt>
                <c:pt idx="2">
                  <c:v>Iespējas saņemt nodokļu atvieglojumus</c:v>
                </c:pt>
                <c:pt idx="3">
                  <c:v>Iespējas piesaistīt privāto investoru</c:v>
                </c:pt>
                <c:pt idx="4">
                  <c:v>Citi nosacījumi</c:v>
                </c:pt>
              </c:strCache>
            </c:strRef>
          </c:cat>
          <c:val>
            <c:numRef>
              <c:f>Sheet1!$B$2:$B$6</c:f>
              <c:numCache>
                <c:formatCode>0</c:formatCode>
                <c:ptCount val="5"/>
                <c:pt idx="0">
                  <c:v>53.333333333333336</c:v>
                </c:pt>
                <c:pt idx="1">
                  <c:v>50</c:v>
                </c:pt>
                <c:pt idx="2">
                  <c:v>46.666666666666579</c:v>
                </c:pt>
                <c:pt idx="3">
                  <c:v>33.333333333333336</c:v>
                </c:pt>
                <c:pt idx="4">
                  <c:v>6.666666666666667</c:v>
                </c:pt>
              </c:numCache>
            </c:numRef>
          </c:val>
        </c:ser>
        <c:dLbls>
          <c:showLegendKey val="0"/>
          <c:showVal val="0"/>
          <c:showCatName val="0"/>
          <c:showSerName val="0"/>
          <c:showPercent val="0"/>
          <c:showBubbleSize val="0"/>
        </c:dLbls>
        <c:gapWidth val="50"/>
        <c:axId val="204425856"/>
        <c:axId val="206164352"/>
      </c:barChart>
      <c:catAx>
        <c:axId val="204425856"/>
        <c:scaling>
          <c:orientation val="maxMin"/>
        </c:scaling>
        <c:delete val="0"/>
        <c:axPos val="l"/>
        <c:majorTickMark val="out"/>
        <c:minorTickMark val="none"/>
        <c:tickLblPos val="nextTo"/>
        <c:txPr>
          <a:bodyPr/>
          <a:lstStyle/>
          <a:p>
            <a:pPr>
              <a:defRPr sz="1000"/>
            </a:pPr>
            <a:endParaRPr lang="lv-LV"/>
          </a:p>
        </c:txPr>
        <c:crossAx val="206164352"/>
        <c:crosses val="autoZero"/>
        <c:auto val="1"/>
        <c:lblAlgn val="ctr"/>
        <c:lblOffset val="100"/>
        <c:noMultiLvlLbl val="0"/>
      </c:catAx>
      <c:valAx>
        <c:axId val="206164352"/>
        <c:scaling>
          <c:orientation val="minMax"/>
          <c:max val="100"/>
          <c:min val="0"/>
        </c:scaling>
        <c:delete val="1"/>
        <c:axPos val="t"/>
        <c:numFmt formatCode="0" sourceLinked="1"/>
        <c:majorTickMark val="out"/>
        <c:minorTickMark val="none"/>
        <c:tickLblPos val="none"/>
        <c:crossAx val="204425856"/>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esat izmantojuši tādu valsts atbalsta instrumentu finansējumu kā...? (%)</a:t>
            </a:r>
            <a:endParaRPr lang="en-US" sz="1050"/>
          </a:p>
        </c:rich>
      </c:tx>
      <c:layout>
        <c:manualLayout>
          <c:xMode val="edge"/>
          <c:yMode val="edge"/>
          <c:x val="0.12221158958001073"/>
          <c:y val="1.591103743610996E-2"/>
        </c:manualLayout>
      </c:layout>
      <c:overlay val="0"/>
    </c:title>
    <c:autoTitleDeleted val="0"/>
    <c:plotArea>
      <c:layout>
        <c:manualLayout>
          <c:layoutTarget val="inner"/>
          <c:xMode val="edge"/>
          <c:yMode val="edge"/>
          <c:x val="0.51912527680451515"/>
          <c:y val="0.10069891765201591"/>
          <c:w val="0.35351408825093067"/>
          <c:h val="0.78287379629385856"/>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Sheet1!$A$2:$A$8</c:f>
              <c:strCache>
                <c:ptCount val="7"/>
                <c:pt idx="0">
                  <c:v>Nodokļu atvieglojumi</c:v>
                </c:pt>
                <c:pt idx="1">
                  <c:v>Granti valsts atbalsta programmu ietvaros</c:v>
                </c:pt>
                <c:pt idx="2">
                  <c:v>Aizdevumi ar atvieglotiem nosacījumiem (Latvijas Hipotēku un zemes bankas piešķirtie)</c:v>
                </c:pt>
                <c:pt idx="3">
                  <c:v>Valsts garantijas (Latvijas Garantiju aģentūras vai valsts budžetā piešķirtās)</c:v>
                </c:pt>
                <c:pt idx="4">
                  <c:v>Riska kapitāla fondu investīcijas</c:v>
                </c:pt>
                <c:pt idx="5">
                  <c:v>Citus</c:v>
                </c:pt>
                <c:pt idx="6">
                  <c:v>Neko</c:v>
                </c:pt>
              </c:strCache>
            </c:strRef>
          </c:cat>
          <c:val>
            <c:numRef>
              <c:f>Sheet1!$B$2:$B$8</c:f>
              <c:numCache>
                <c:formatCode>0</c:formatCode>
                <c:ptCount val="7"/>
                <c:pt idx="0">
                  <c:v>8.1818181818181586</c:v>
                </c:pt>
                <c:pt idx="1">
                  <c:v>8.1818181818181586</c:v>
                </c:pt>
                <c:pt idx="2">
                  <c:v>4.5454545454545459</c:v>
                </c:pt>
                <c:pt idx="3">
                  <c:v>1.8181818181818181</c:v>
                </c:pt>
                <c:pt idx="4">
                  <c:v>0.90909090909090906</c:v>
                </c:pt>
                <c:pt idx="5">
                  <c:v>4.5454545454545459</c:v>
                </c:pt>
                <c:pt idx="6">
                  <c:v>75.454545454545467</c:v>
                </c:pt>
              </c:numCache>
            </c:numRef>
          </c:val>
        </c:ser>
        <c:dLbls>
          <c:showLegendKey val="0"/>
          <c:showVal val="0"/>
          <c:showCatName val="0"/>
          <c:showSerName val="0"/>
          <c:showPercent val="0"/>
          <c:showBubbleSize val="0"/>
        </c:dLbls>
        <c:gapWidth val="50"/>
        <c:axId val="207005184"/>
        <c:axId val="207006720"/>
      </c:barChart>
      <c:catAx>
        <c:axId val="207005184"/>
        <c:scaling>
          <c:orientation val="maxMin"/>
        </c:scaling>
        <c:delete val="0"/>
        <c:axPos val="l"/>
        <c:majorTickMark val="out"/>
        <c:minorTickMark val="none"/>
        <c:tickLblPos val="nextTo"/>
        <c:txPr>
          <a:bodyPr/>
          <a:lstStyle/>
          <a:p>
            <a:pPr>
              <a:defRPr sz="1000"/>
            </a:pPr>
            <a:endParaRPr lang="lv-LV"/>
          </a:p>
        </c:txPr>
        <c:crossAx val="207006720"/>
        <c:crosses val="autoZero"/>
        <c:auto val="1"/>
        <c:lblAlgn val="ctr"/>
        <c:lblOffset val="100"/>
        <c:noMultiLvlLbl val="0"/>
      </c:catAx>
      <c:valAx>
        <c:axId val="207006720"/>
        <c:scaling>
          <c:orientation val="minMax"/>
          <c:max val="100"/>
          <c:min val="0"/>
        </c:scaling>
        <c:delete val="1"/>
        <c:axPos val="t"/>
        <c:numFmt formatCode="0" sourceLinked="1"/>
        <c:majorTickMark val="out"/>
        <c:minorTickMark val="none"/>
        <c:tickLblPos val="none"/>
        <c:crossAx val="207005184"/>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Uzņēmumu profils II (%)</a:t>
            </a:r>
            <a:endParaRPr lang="en-US" sz="1050"/>
          </a:p>
        </c:rich>
      </c:tx>
      <c:layout>
        <c:manualLayout>
          <c:xMode val="edge"/>
          <c:yMode val="edge"/>
          <c:x val="0.39089845826687947"/>
          <c:y val="1.0660085399772805E-2"/>
        </c:manualLayout>
      </c:layout>
      <c:overlay val="0"/>
    </c:title>
    <c:autoTitleDeleted val="0"/>
    <c:plotArea>
      <c:layout>
        <c:manualLayout>
          <c:layoutTarget val="inner"/>
          <c:xMode val="edge"/>
          <c:yMode val="edge"/>
          <c:x val="0.54889667499696448"/>
          <c:y val="5.0162433921112137E-2"/>
          <c:w val="0.32374269005848"/>
          <c:h val="0.92562300839155665"/>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Sheet1!$A$2:$A$22</c:f>
              <c:strCache>
                <c:ptCount val="21"/>
                <c:pt idx="0">
                  <c:v>GALVENAIS EKONOMISKĀS DARBĪBAS VEIDS</c:v>
                </c:pt>
                <c:pt idx="1">
                  <c:v>Lauksaimniecība, mežsaimniecība un zivsaimniecība</c:v>
                </c:pt>
                <c:pt idx="2">
                  <c:v>Ieguves rūpniecība un karjeru izstrāde</c:v>
                </c:pt>
                <c:pt idx="3">
                  <c:v>Apstrādes rūpniecība</c:v>
                </c:pt>
                <c:pt idx="4">
                  <c:v>Elektroenerģija, gāzes apgāde, siltumapgāde un gaisa kondicionēšana</c:v>
                </c:pt>
                <c:pt idx="5">
                  <c:v>Ūdens apgāde; notekūdeņu, atkritumu apsaimniekošana un sanācija</c:v>
                </c:pt>
                <c:pt idx="6">
                  <c:v>Būvniecība</c:v>
                </c:pt>
                <c:pt idx="7">
                  <c:v>Vairumtirdzniecība un mazumtirdzniecība; automobiļu un motociklu remonts</c:v>
                </c:pt>
                <c:pt idx="8">
                  <c:v>Transports un uzglabāšana</c:v>
                </c:pt>
                <c:pt idx="9">
                  <c:v>Izmitināšana un ēdināšanas pakalpojumi</c:v>
                </c:pt>
                <c:pt idx="10">
                  <c:v>Informācijas un komunikācijas pakalpojumi</c:v>
                </c:pt>
                <c:pt idx="11">
                  <c:v>Finanšu un apdrošināšanas darbības</c:v>
                </c:pt>
                <c:pt idx="12">
                  <c:v>Operācijas ar nekustamo īpašumu</c:v>
                </c:pt>
                <c:pt idx="13">
                  <c:v>Profesionālie, zinātniskie un tehniskie pakalpojumi</c:v>
                </c:pt>
                <c:pt idx="14">
                  <c:v>Administratīvo un apkalpojošo dienestu darbība</c:v>
                </c:pt>
                <c:pt idx="15">
                  <c:v>Izglītība</c:v>
                </c:pt>
                <c:pt idx="16">
                  <c:v>Veselība un sociālā aprūpe</c:v>
                </c:pt>
                <c:pt idx="17">
                  <c:v>Māksla, izklaide un atpūta</c:v>
                </c:pt>
                <c:pt idx="18">
                  <c:v>Mājsaimniecību kā darba devēju darbība; pašpatēriņa preču ražošana/ pakalpojumu sniegšana individ. mājsaimniecībā</c:v>
                </c:pt>
                <c:pt idx="19">
                  <c:v>Ārpusteritoriālo organizāciju un institūciju darbība</c:v>
                </c:pt>
                <c:pt idx="20">
                  <c:v>Citi pakalpojumi</c:v>
                </c:pt>
              </c:strCache>
            </c:strRef>
          </c:cat>
          <c:val>
            <c:numRef>
              <c:f>Sheet1!$B$2:$B$22</c:f>
              <c:numCache>
                <c:formatCode>0</c:formatCode>
                <c:ptCount val="21"/>
                <c:pt idx="1">
                  <c:v>8.2125603864734185</c:v>
                </c:pt>
                <c:pt idx="2" formatCode="0.0">
                  <c:v>0.24154589371980698</c:v>
                </c:pt>
                <c:pt idx="3">
                  <c:v>7.2463768115942031</c:v>
                </c:pt>
                <c:pt idx="4">
                  <c:v>2.1739130434782608</c:v>
                </c:pt>
                <c:pt idx="5">
                  <c:v>2.1739130434782608</c:v>
                </c:pt>
                <c:pt idx="6">
                  <c:v>8.9371980676328366</c:v>
                </c:pt>
                <c:pt idx="7">
                  <c:v>16.666666666666668</c:v>
                </c:pt>
                <c:pt idx="8">
                  <c:v>2.8985507246376807</c:v>
                </c:pt>
                <c:pt idx="9">
                  <c:v>2.6570048309178742</c:v>
                </c:pt>
                <c:pt idx="10">
                  <c:v>3.8647342995169121</c:v>
                </c:pt>
                <c:pt idx="11">
                  <c:v>3.8647342995169121</c:v>
                </c:pt>
                <c:pt idx="12">
                  <c:v>1.2077294685990316</c:v>
                </c:pt>
                <c:pt idx="13">
                  <c:v>6.5217391304347823</c:v>
                </c:pt>
                <c:pt idx="14">
                  <c:v>0.72463768115942062</c:v>
                </c:pt>
                <c:pt idx="15">
                  <c:v>3.6231884057971016</c:v>
                </c:pt>
                <c:pt idx="16">
                  <c:v>9.178743961352648</c:v>
                </c:pt>
                <c:pt idx="17">
                  <c:v>3.6231884057971016</c:v>
                </c:pt>
                <c:pt idx="18" formatCode="0.0">
                  <c:v>0.24154589371980698</c:v>
                </c:pt>
                <c:pt idx="19" formatCode="0.0">
                  <c:v>0.24154589371980698</c:v>
                </c:pt>
                <c:pt idx="20">
                  <c:v>15.700483091787452</c:v>
                </c:pt>
              </c:numCache>
            </c:numRef>
          </c:val>
        </c:ser>
        <c:dLbls>
          <c:showLegendKey val="0"/>
          <c:showVal val="0"/>
          <c:showCatName val="0"/>
          <c:showSerName val="0"/>
          <c:showPercent val="0"/>
          <c:showBubbleSize val="0"/>
        </c:dLbls>
        <c:gapWidth val="50"/>
        <c:axId val="186822016"/>
        <c:axId val="186823808"/>
      </c:barChart>
      <c:catAx>
        <c:axId val="186822016"/>
        <c:scaling>
          <c:orientation val="maxMin"/>
        </c:scaling>
        <c:delete val="0"/>
        <c:axPos val="l"/>
        <c:majorTickMark val="out"/>
        <c:minorTickMark val="none"/>
        <c:tickLblPos val="nextTo"/>
        <c:txPr>
          <a:bodyPr/>
          <a:lstStyle/>
          <a:p>
            <a:pPr>
              <a:defRPr sz="900"/>
            </a:pPr>
            <a:endParaRPr lang="lv-LV"/>
          </a:p>
        </c:txPr>
        <c:crossAx val="186823808"/>
        <c:crosses val="autoZero"/>
        <c:auto val="1"/>
        <c:lblAlgn val="ctr"/>
        <c:lblOffset val="100"/>
        <c:noMultiLvlLbl val="0"/>
      </c:catAx>
      <c:valAx>
        <c:axId val="186823808"/>
        <c:scaling>
          <c:orientation val="minMax"/>
          <c:max val="100"/>
          <c:min val="0"/>
        </c:scaling>
        <c:delete val="1"/>
        <c:axPos val="t"/>
        <c:numFmt formatCode="0" sourceLinked="1"/>
        <c:majorTickMark val="out"/>
        <c:minorTickMark val="none"/>
        <c:tickLblPos val="none"/>
        <c:crossAx val="186822016"/>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900"/>
            </a:pPr>
            <a:r>
              <a:rPr lang="lv-LV" sz="900"/>
              <a:t>Vai pēdējo trīs gadu laikā (2010. – 2012.) jūsu uzņēmums ir izmantojis spēkā esošo nodokļu atvieglojumu pētniecībā un attīstībā (izstrādē)  - koeficients 1,5, norakstot tādu nemateriālo ieguldījumu izveidošanas vai iegādes izmaksas, kuru rezultātā pēc 200</a:t>
            </a:r>
            <a:endParaRPr lang="en-US" sz="900"/>
          </a:p>
        </c:rich>
      </c:tx>
      <c:layout>
        <c:manualLayout>
          <c:xMode val="edge"/>
          <c:yMode val="edge"/>
          <c:x val="0.11916194686190557"/>
          <c:y val="2.4089357251396212E-2"/>
        </c:manualLayout>
      </c:layout>
      <c:overlay val="0"/>
    </c:title>
    <c:autoTitleDeleted val="0"/>
    <c:plotArea>
      <c:layout>
        <c:manualLayout>
          <c:layoutTarget val="inner"/>
          <c:xMode val="edge"/>
          <c:yMode val="edge"/>
          <c:x val="0.36205821162306906"/>
          <c:y val="0.17242357863161825"/>
          <c:w val="0.2812121212121213"/>
          <c:h val="0.76995633187772927"/>
        </c:manualLayout>
      </c:layout>
      <c:pieChart>
        <c:varyColors val="1"/>
        <c:ser>
          <c:idx val="0"/>
          <c:order val="0"/>
          <c:tx>
            <c:strRef>
              <c:f>Sheet1!$B$1</c:f>
              <c:strCache>
                <c:ptCount val="1"/>
                <c:pt idx="0">
                  <c:v>Series 1</c:v>
                </c:pt>
              </c:strCache>
            </c:strRef>
          </c:tx>
          <c:spPr>
            <a:solidFill>
              <a:srgbClr val="9BBB59">
                <a:lumMod val="75000"/>
              </a:srgbClr>
            </a:solidFill>
            <a:ln>
              <a:noFill/>
            </a:ln>
          </c:spPr>
          <c:dPt>
            <c:idx val="0"/>
            <c:bubble3D val="0"/>
            <c:spPr>
              <a:solidFill>
                <a:srgbClr val="9BBB59"/>
              </a:solidFill>
              <a:ln>
                <a:noFill/>
              </a:ln>
            </c:spPr>
          </c:dPt>
          <c:dPt>
            <c:idx val="1"/>
            <c:bubble3D val="0"/>
            <c:spPr>
              <a:solidFill>
                <a:srgbClr val="F79646">
                  <a:lumMod val="75000"/>
                </a:srgbClr>
              </a:solidFill>
              <a:ln>
                <a:noFill/>
              </a:ln>
            </c:spPr>
          </c:dPt>
          <c:dPt>
            <c:idx val="2"/>
            <c:bubble3D val="0"/>
            <c:spPr>
              <a:solidFill>
                <a:srgbClr val="FFC000"/>
              </a:solidFill>
              <a:ln>
                <a:noFill/>
              </a:ln>
            </c:spPr>
          </c:dPt>
          <c:dPt>
            <c:idx val="3"/>
            <c:bubble3D val="0"/>
            <c:spPr>
              <a:solidFill>
                <a:srgbClr val="F79646">
                  <a:lumMod val="75000"/>
                </a:srgbClr>
              </a:solidFill>
              <a:ln>
                <a:noFill/>
              </a:ln>
            </c:spPr>
          </c:dPt>
          <c:dPt>
            <c:idx val="4"/>
            <c:bubble3D val="0"/>
            <c:spPr>
              <a:solidFill>
                <a:sysClr val="window" lastClr="FFFFFF">
                  <a:lumMod val="75000"/>
                </a:sysClr>
              </a:solidFill>
              <a:ln>
                <a:noFill/>
              </a:ln>
            </c:spPr>
          </c:dPt>
          <c:dLbls>
            <c:dLbl>
              <c:idx val="0"/>
              <c:layout>
                <c:manualLayout>
                  <c:x val="9.8017891304257067E-3"/>
                  <c:y val="-3.0461981725968482E-3"/>
                </c:manualLayout>
              </c:layout>
              <c:showLegendKey val="0"/>
              <c:showVal val="0"/>
              <c:showCatName val="1"/>
              <c:showSerName val="0"/>
              <c:showPercent val="1"/>
              <c:showBubbleSize val="0"/>
            </c:dLbl>
            <c:dLbl>
              <c:idx val="2"/>
              <c:layout>
                <c:manualLayout>
                  <c:x val="-9.1531979555187298E-2"/>
                  <c:y val="-0.119862462607021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Sheet1!$A$2:$A$3</c:f>
              <c:strCache>
                <c:ptCount val="2"/>
                <c:pt idx="0">
                  <c:v>Jā, vairākas reizes</c:v>
                </c:pt>
                <c:pt idx="1">
                  <c:v>Nē</c:v>
                </c:pt>
              </c:strCache>
            </c:strRef>
          </c:cat>
          <c:val>
            <c:numRef>
              <c:f>Sheet1!$B$2:$B$3</c:f>
              <c:numCache>
                <c:formatCode>0</c:formatCode>
                <c:ptCount val="2"/>
                <c:pt idx="0">
                  <c:v>2.752293577981654</c:v>
                </c:pt>
                <c:pt idx="1">
                  <c:v>97.247706422018396</c:v>
                </c:pt>
              </c:numCache>
            </c:numRef>
          </c:val>
        </c:ser>
        <c:dLbls>
          <c:showLegendKey val="0"/>
          <c:showVal val="0"/>
          <c:showCatName val="0"/>
          <c:showSerName val="0"/>
          <c:showPercent val="0"/>
          <c:showBubbleSize val="0"/>
          <c:showLeaderLines val="1"/>
        </c:dLbls>
        <c:firstSliceAng val="64"/>
      </c:pieChart>
    </c:plotArea>
    <c:plotVisOnly val="1"/>
    <c:dispBlanksAs val="zero"/>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Kādēļ neesat izmantojuši šos nodokļu atvieglojumus? (%)</a:t>
            </a:r>
            <a:endParaRPr lang="en-US" sz="1050"/>
          </a:p>
        </c:rich>
      </c:tx>
      <c:layout>
        <c:manualLayout>
          <c:xMode val="edge"/>
          <c:yMode val="edge"/>
          <c:x val="0.25054758107389685"/>
          <c:y val="2.0297002348390662E-2"/>
        </c:manualLayout>
      </c:layout>
      <c:overlay val="0"/>
    </c:title>
    <c:autoTitleDeleted val="0"/>
    <c:plotArea>
      <c:layout>
        <c:manualLayout>
          <c:layoutTarget val="inner"/>
          <c:xMode val="edge"/>
          <c:yMode val="edge"/>
          <c:x val="0.53401097590073887"/>
          <c:y val="0.18099737532808399"/>
          <c:w val="0.35351408825093067"/>
          <c:h val="0.67563900666262999"/>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Sheet1!$A$2:$A$5</c:f>
              <c:strCache>
                <c:ptCount val="4"/>
                <c:pt idx="0">
                  <c:v>Nebija informācijas par šādu nodokļu atvieglojumu</c:v>
                </c:pt>
                <c:pt idx="1">
                  <c:v>Izmaksas neatbilda nemateriālo ieguldījumu kritērijiem</c:v>
                </c:pt>
                <c:pt idx="2">
                  <c:v>Nebija plānots, ka būs iespējams reģistrēt preču zīmi vai patentu</c:v>
                </c:pt>
                <c:pt idx="3">
                  <c:v>Cits iemesls</c:v>
                </c:pt>
              </c:strCache>
            </c:strRef>
          </c:cat>
          <c:val>
            <c:numRef>
              <c:f>Sheet1!$B$2:$B$5</c:f>
              <c:numCache>
                <c:formatCode>0</c:formatCode>
                <c:ptCount val="4"/>
                <c:pt idx="0">
                  <c:v>48.57142857142852</c:v>
                </c:pt>
                <c:pt idx="1">
                  <c:v>30.476190476190474</c:v>
                </c:pt>
                <c:pt idx="2">
                  <c:v>20.952380952380921</c:v>
                </c:pt>
                <c:pt idx="3">
                  <c:v>8.5714285714285712</c:v>
                </c:pt>
              </c:numCache>
            </c:numRef>
          </c:val>
        </c:ser>
        <c:dLbls>
          <c:showLegendKey val="0"/>
          <c:showVal val="0"/>
          <c:showCatName val="0"/>
          <c:showSerName val="0"/>
          <c:showPercent val="0"/>
          <c:showBubbleSize val="0"/>
        </c:dLbls>
        <c:gapWidth val="50"/>
        <c:axId val="207204736"/>
        <c:axId val="207206272"/>
      </c:barChart>
      <c:catAx>
        <c:axId val="207204736"/>
        <c:scaling>
          <c:orientation val="maxMin"/>
        </c:scaling>
        <c:delete val="0"/>
        <c:axPos val="l"/>
        <c:majorTickMark val="out"/>
        <c:minorTickMark val="none"/>
        <c:tickLblPos val="nextTo"/>
        <c:txPr>
          <a:bodyPr/>
          <a:lstStyle/>
          <a:p>
            <a:pPr>
              <a:defRPr sz="1000"/>
            </a:pPr>
            <a:endParaRPr lang="lv-LV"/>
          </a:p>
        </c:txPr>
        <c:crossAx val="207206272"/>
        <c:crosses val="autoZero"/>
        <c:auto val="1"/>
        <c:lblAlgn val="ctr"/>
        <c:lblOffset val="100"/>
        <c:noMultiLvlLbl val="0"/>
      </c:catAx>
      <c:valAx>
        <c:axId val="207206272"/>
        <c:scaling>
          <c:orientation val="minMax"/>
          <c:max val="100"/>
          <c:min val="0"/>
        </c:scaling>
        <c:delete val="1"/>
        <c:axPos val="t"/>
        <c:numFmt formatCode="0" sourceLinked="1"/>
        <c:majorTickMark val="out"/>
        <c:minorTickMark val="none"/>
        <c:tickLblPos val="none"/>
        <c:crossAx val="207204736"/>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pēdējo trīs gadu laikā (2010. - 2012.) esat izmantojuši kādus citus nodokļu atvieglojumus, kuru rezultātā jūsu uzņēmums ir varējis novirzīt lielākas investīcijas pētniecībai un attīstībai (izstrādei)? (%)</a:t>
            </a:r>
            <a:endParaRPr lang="en-US" sz="1050"/>
          </a:p>
        </c:rich>
      </c:tx>
      <c:layout>
        <c:manualLayout>
          <c:xMode val="edge"/>
          <c:yMode val="edge"/>
          <c:x val="0.13043070573116181"/>
          <c:y val="2.6069014100510192E-2"/>
        </c:manualLayout>
      </c:layout>
      <c:overlay val="0"/>
    </c:title>
    <c:autoTitleDeleted val="0"/>
    <c:plotArea>
      <c:layout>
        <c:manualLayout>
          <c:layoutTarget val="inner"/>
          <c:xMode val="edge"/>
          <c:yMode val="edge"/>
          <c:x val="0.54245982410093452"/>
          <c:y val="0.15536282066221641"/>
          <c:w val="0.33237254434104907"/>
          <c:h val="0.78769766886961545"/>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Sheet1!$A$2:$A$7</c:f>
              <c:strCache>
                <c:ptCount val="6"/>
                <c:pt idx="0">
                  <c:v>Koeficients  1,5, aprēķinot nolietojuma summu izveidotām vai iegādātām jaunām ražošanas tehnoloģiskajām iekārtām</c:v>
                </c:pt>
                <c:pt idx="1">
                  <c:v>Uzņēmuma ienākuma nodokļa atlaide 15%- 25% apmērā par atbalstāmo investīciju projekta ietvaros veiktajiem sākotnējiem ilgtermiņa ieguldījumiem</c:v>
                </c:pt>
                <c:pt idx="2">
                  <c:v>(Ja uzņēmumam ir mikrouzņēmuma statuss) Mikrouzņēmuma nodokli</c:v>
                </c:pt>
                <c:pt idx="3">
                  <c:v>Nosakot apliekamo ienākumu, peļņas samazināšana par taksācijas periodā iekšzemes nefinanšu uzņēmumiem latos izsniegto kredītu gada vid. svērtās % likmes un pirmstaksācijas periodu nesadalītās peļņas reizinājumu</c:v>
                </c:pt>
                <c:pt idx="4">
                  <c:v>Apliekamā ienākuma samazināšana par ienākumu no pamatlīdzekļa atsavināšanas, ja 12 mēnešu laikā pirms vai pēc atsavināšanas dienas ir iegādāts funkcionāli līdzīgi izmantojams pamatlīdzeklis</c:v>
                </c:pt>
                <c:pt idx="5">
                  <c:v>Nav izmantoti citi nodokļu atvieglojumi</c:v>
                </c:pt>
              </c:strCache>
            </c:strRef>
          </c:cat>
          <c:val>
            <c:numRef>
              <c:f>Sheet1!$B$2:$B$7</c:f>
              <c:numCache>
                <c:formatCode>0</c:formatCode>
                <c:ptCount val="6"/>
                <c:pt idx="0">
                  <c:v>6.666666666666667</c:v>
                </c:pt>
                <c:pt idx="1">
                  <c:v>1.9047619047619062</c:v>
                </c:pt>
                <c:pt idx="2">
                  <c:v>1.9047619047619062</c:v>
                </c:pt>
                <c:pt idx="3">
                  <c:v>0.95238095238095233</c:v>
                </c:pt>
                <c:pt idx="4">
                  <c:v>0.95238095238095233</c:v>
                </c:pt>
                <c:pt idx="5">
                  <c:v>89.523809523809518</c:v>
                </c:pt>
              </c:numCache>
            </c:numRef>
          </c:val>
        </c:ser>
        <c:dLbls>
          <c:showLegendKey val="0"/>
          <c:showVal val="0"/>
          <c:showCatName val="0"/>
          <c:showSerName val="0"/>
          <c:showPercent val="0"/>
          <c:showBubbleSize val="0"/>
        </c:dLbls>
        <c:gapWidth val="50"/>
        <c:axId val="208444032"/>
        <c:axId val="208449920"/>
      </c:barChart>
      <c:catAx>
        <c:axId val="208444032"/>
        <c:scaling>
          <c:orientation val="maxMin"/>
        </c:scaling>
        <c:delete val="0"/>
        <c:axPos val="l"/>
        <c:majorTickMark val="out"/>
        <c:minorTickMark val="none"/>
        <c:tickLblPos val="nextTo"/>
        <c:txPr>
          <a:bodyPr rot="0" vert="horz"/>
          <a:lstStyle/>
          <a:p>
            <a:pPr>
              <a:defRPr sz="900"/>
            </a:pPr>
            <a:endParaRPr lang="lv-LV"/>
          </a:p>
        </c:txPr>
        <c:crossAx val="208449920"/>
        <c:crosses val="autoZero"/>
        <c:auto val="1"/>
        <c:lblAlgn val="ctr"/>
        <c:lblOffset val="100"/>
        <c:noMultiLvlLbl val="0"/>
      </c:catAx>
      <c:valAx>
        <c:axId val="208449920"/>
        <c:scaling>
          <c:orientation val="minMax"/>
          <c:max val="100"/>
          <c:min val="0"/>
        </c:scaling>
        <c:delete val="1"/>
        <c:axPos val="t"/>
        <c:numFmt formatCode="0" sourceLinked="1"/>
        <c:majorTickMark val="out"/>
        <c:minorTickMark val="none"/>
        <c:tickLblPos val="none"/>
        <c:crossAx val="208444032"/>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Kāpēc neesat veikuši ieguldījumus pētniecībā un attīstībā (izstrādē)? (%)</a:t>
            </a:r>
            <a:endParaRPr lang="en-US" sz="1050"/>
          </a:p>
        </c:rich>
      </c:tx>
      <c:layout>
        <c:manualLayout>
          <c:xMode val="edge"/>
          <c:yMode val="edge"/>
          <c:x val="0.25054758107389685"/>
          <c:y val="2.0297002348390662E-2"/>
        </c:manualLayout>
      </c:layout>
      <c:overlay val="0"/>
    </c:title>
    <c:autoTitleDeleted val="0"/>
    <c:plotArea>
      <c:layout>
        <c:manualLayout>
          <c:layoutTarget val="inner"/>
          <c:xMode val="edge"/>
          <c:yMode val="edge"/>
          <c:x val="0.45745595197729488"/>
          <c:y val="0.17522536955607843"/>
          <c:w val="0.35351408825093067"/>
          <c:h val="0.67563900666262999"/>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Sheet1!$A$2:$A$5</c:f>
              <c:strCache>
                <c:ptCount val="4"/>
                <c:pt idx="0">
                  <c:v>Nebija nepieciešamības</c:v>
                </c:pt>
                <c:pt idx="1">
                  <c:v>Trūka finanšu resursu</c:v>
                </c:pt>
                <c:pt idx="2">
                  <c:v>Trūkst zināšanu par šo jomu</c:v>
                </c:pt>
                <c:pt idx="3">
                  <c:v>Cits iemesls</c:v>
                </c:pt>
              </c:strCache>
            </c:strRef>
          </c:cat>
          <c:val>
            <c:numRef>
              <c:f>Sheet1!$B$2:$B$5</c:f>
              <c:numCache>
                <c:formatCode>0</c:formatCode>
                <c:ptCount val="4"/>
                <c:pt idx="0">
                  <c:v>57.2</c:v>
                </c:pt>
                <c:pt idx="1">
                  <c:v>33.6</c:v>
                </c:pt>
                <c:pt idx="2">
                  <c:v>14</c:v>
                </c:pt>
                <c:pt idx="3">
                  <c:v>3.6</c:v>
                </c:pt>
              </c:numCache>
            </c:numRef>
          </c:val>
        </c:ser>
        <c:dLbls>
          <c:showLegendKey val="0"/>
          <c:showVal val="0"/>
          <c:showCatName val="0"/>
          <c:showSerName val="0"/>
          <c:showPercent val="0"/>
          <c:showBubbleSize val="0"/>
        </c:dLbls>
        <c:gapWidth val="50"/>
        <c:axId val="208487168"/>
        <c:axId val="208488704"/>
      </c:barChart>
      <c:catAx>
        <c:axId val="208487168"/>
        <c:scaling>
          <c:orientation val="maxMin"/>
        </c:scaling>
        <c:delete val="0"/>
        <c:axPos val="l"/>
        <c:majorTickMark val="out"/>
        <c:minorTickMark val="none"/>
        <c:tickLblPos val="nextTo"/>
        <c:txPr>
          <a:bodyPr/>
          <a:lstStyle/>
          <a:p>
            <a:pPr>
              <a:defRPr sz="1000"/>
            </a:pPr>
            <a:endParaRPr lang="lv-LV"/>
          </a:p>
        </c:txPr>
        <c:crossAx val="208488704"/>
        <c:crosses val="autoZero"/>
        <c:auto val="1"/>
        <c:lblAlgn val="ctr"/>
        <c:lblOffset val="100"/>
        <c:noMultiLvlLbl val="0"/>
      </c:catAx>
      <c:valAx>
        <c:axId val="208488704"/>
        <c:scaling>
          <c:orientation val="minMax"/>
          <c:max val="100"/>
          <c:min val="0"/>
        </c:scaling>
        <c:delete val="1"/>
        <c:axPos val="t"/>
        <c:numFmt formatCode="0" sourceLinked="1"/>
        <c:majorTickMark val="out"/>
        <c:minorTickMark val="none"/>
        <c:tickLblPos val="none"/>
        <c:crossAx val="208487168"/>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b="1" i="0" u="none" strike="noStrike" baseline="0">
                <a:effectLst/>
              </a:rPr>
              <a:t>Kāpēc neesat veikuši ieguldījumus pētniecībā un attīstībā (izstrādē)? </a:t>
            </a:r>
            <a:r>
              <a:rPr lang="lv-LV" sz="1050"/>
              <a:t>(%)</a:t>
            </a:r>
            <a:endParaRPr lang="en-US" sz="1050"/>
          </a:p>
        </c:rich>
      </c:tx>
      <c:layout>
        <c:manualLayout>
          <c:xMode val="edge"/>
          <c:yMode val="edge"/>
          <c:x val="0.20847614143925791"/>
          <c:y val="1.0946498986204924E-2"/>
        </c:manualLayout>
      </c:layout>
      <c:overlay val="0"/>
    </c:title>
    <c:autoTitleDeleted val="0"/>
    <c:plotArea>
      <c:layout>
        <c:manualLayout>
          <c:layoutTarget val="inner"/>
          <c:xMode val="edge"/>
          <c:yMode val="edge"/>
          <c:x val="0.4003357235847913"/>
          <c:y val="0.14102076103046371"/>
          <c:w val="0.59966427641520892"/>
          <c:h val="0.67692204351233365"/>
        </c:manualLayout>
      </c:layout>
      <c:barChart>
        <c:barDir val="bar"/>
        <c:grouping val="stacked"/>
        <c:varyColors val="0"/>
        <c:ser>
          <c:idx val="1"/>
          <c:order val="1"/>
          <c:tx>
            <c:strRef>
              <c:f>Sheet1!$C$1</c:f>
              <c:strCache>
                <c:ptCount val="1"/>
                <c:pt idx="0">
                  <c:v>Nebija nepieciešamības</c:v>
                </c:pt>
              </c:strCache>
            </c:strRef>
          </c:tx>
          <c:spPr>
            <a:solidFill>
              <a:srgbClr val="9BBB59">
                <a:lumMod val="75000"/>
              </a:srgbClr>
            </a:solidFill>
          </c:spPr>
          <c:invertIfNegative val="0"/>
          <c:dLbls>
            <c:showLegendKey val="0"/>
            <c:showVal val="1"/>
            <c:showCatName val="0"/>
            <c:showSerName val="0"/>
            <c:showPercent val="0"/>
            <c:showBubbleSize val="0"/>
            <c:showLeaderLines val="0"/>
          </c:dLbls>
          <c:cat>
            <c:strRef>
              <c:f>Sheet1!$A$2:$A$12</c:f>
              <c:strCache>
                <c:ptCount val="11"/>
                <c:pt idx="0">
                  <c:v>KOPĀ, n=250</c:v>
                </c:pt>
                <c:pt idx="1">
                  <c:v>DIBINĀŠANAS GADS*</c:v>
                </c:pt>
                <c:pt idx="2">
                  <c:v>Līdz 1991.gadam, n=15**</c:v>
                </c:pt>
                <c:pt idx="3">
                  <c:v>1992.-2000.gads, n=90</c:v>
                </c:pt>
                <c:pt idx="4">
                  <c:v>2001.-2007.gads, n=81</c:v>
                </c:pt>
                <c:pt idx="5">
                  <c:v>2008.-2013.gads, n=64</c:v>
                </c:pt>
                <c:pt idx="6">
                  <c:v>APGROZĪJUMS 2012.GADĀ*</c:v>
                </c:pt>
                <c:pt idx="7">
                  <c:v>Līdz 50 000 LVL, n=121</c:v>
                </c:pt>
                <c:pt idx="8">
                  <c:v>50 001 – 100 000 LVL, n=42</c:v>
                </c:pt>
                <c:pt idx="9">
                  <c:v>100 001 – 500 000 LVL, n=48</c:v>
                </c:pt>
                <c:pt idx="10">
                  <c:v>Vairāk par 500 000 LVL, n=30</c:v>
                </c:pt>
              </c:strCache>
            </c:strRef>
          </c:cat>
          <c:val>
            <c:numRef>
              <c:f>Sheet1!$C$2:$C$12</c:f>
              <c:numCache>
                <c:formatCode>General</c:formatCode>
                <c:ptCount val="11"/>
                <c:pt idx="0" formatCode="0">
                  <c:v>57.2</c:v>
                </c:pt>
                <c:pt idx="2" formatCode="0">
                  <c:v>46.666666666666579</c:v>
                </c:pt>
                <c:pt idx="3" formatCode="0">
                  <c:v>63.333333333333336</c:v>
                </c:pt>
                <c:pt idx="4" formatCode="0">
                  <c:v>60.493827160493794</c:v>
                </c:pt>
                <c:pt idx="5" formatCode="0">
                  <c:v>46.875</c:v>
                </c:pt>
                <c:pt idx="7" formatCode="0">
                  <c:v>48.760330578512402</c:v>
                </c:pt>
                <c:pt idx="8" formatCode="0">
                  <c:v>59.523809523809526</c:v>
                </c:pt>
                <c:pt idx="9" formatCode="0">
                  <c:v>70.833333333333258</c:v>
                </c:pt>
                <c:pt idx="10" formatCode="0">
                  <c:v>70</c:v>
                </c:pt>
              </c:numCache>
            </c:numRef>
          </c:val>
        </c:ser>
        <c:ser>
          <c:idx val="2"/>
          <c:order val="2"/>
          <c:tx>
            <c:strRef>
              <c:f>Sheet1!$D$1</c:f>
              <c:strCache>
                <c:ptCount val="1"/>
                <c:pt idx="0">
                  <c:v>Column2</c:v>
                </c:pt>
              </c:strCache>
            </c:strRef>
          </c:tx>
          <c:spPr>
            <a:noFill/>
          </c:spPr>
          <c:invertIfNegative val="0"/>
          <c:cat>
            <c:strRef>
              <c:f>Sheet1!$A$2:$A$12</c:f>
              <c:strCache>
                <c:ptCount val="11"/>
                <c:pt idx="0">
                  <c:v>KOPĀ, n=250</c:v>
                </c:pt>
                <c:pt idx="1">
                  <c:v>DIBINĀŠANAS GADS*</c:v>
                </c:pt>
                <c:pt idx="2">
                  <c:v>Līdz 1991.gadam, n=15**</c:v>
                </c:pt>
                <c:pt idx="3">
                  <c:v>1992.-2000.gads, n=90</c:v>
                </c:pt>
                <c:pt idx="4">
                  <c:v>2001.-2007.gads, n=81</c:v>
                </c:pt>
                <c:pt idx="5">
                  <c:v>2008.-2013.gads, n=64</c:v>
                </c:pt>
                <c:pt idx="6">
                  <c:v>APGROZĪJUMS 2012.GADĀ*</c:v>
                </c:pt>
                <c:pt idx="7">
                  <c:v>Līdz 50 000 LVL, n=121</c:v>
                </c:pt>
                <c:pt idx="8">
                  <c:v>50 001 – 100 000 LVL, n=42</c:v>
                </c:pt>
                <c:pt idx="9">
                  <c:v>100 001 – 500 000 LVL, n=48</c:v>
                </c:pt>
                <c:pt idx="10">
                  <c:v>Vairāk par 500 000 LVL, n=30</c:v>
                </c:pt>
              </c:strCache>
            </c:strRef>
          </c:cat>
          <c:val>
            <c:numRef>
              <c:f>Sheet1!$D$2:$D$12</c:f>
              <c:numCache>
                <c:formatCode>General</c:formatCode>
                <c:ptCount val="11"/>
                <c:pt idx="0" formatCode="0">
                  <c:v>23.633333333333294</c:v>
                </c:pt>
                <c:pt idx="2" formatCode="0">
                  <c:v>34.166666666666579</c:v>
                </c:pt>
                <c:pt idx="3" formatCode="0">
                  <c:v>17.499999999999989</c:v>
                </c:pt>
                <c:pt idx="4" formatCode="0">
                  <c:v>20.339506172839499</c:v>
                </c:pt>
                <c:pt idx="5" formatCode="0">
                  <c:v>33.958333333333329</c:v>
                </c:pt>
                <c:pt idx="7" formatCode="0">
                  <c:v>32.073002754820962</c:v>
                </c:pt>
                <c:pt idx="8" formatCode="0">
                  <c:v>21.309523809523764</c:v>
                </c:pt>
                <c:pt idx="9" formatCode="0">
                  <c:v>10</c:v>
                </c:pt>
                <c:pt idx="10" formatCode="0">
                  <c:v>10.833333333333329</c:v>
                </c:pt>
              </c:numCache>
            </c:numRef>
          </c:val>
        </c:ser>
        <c:ser>
          <c:idx val="3"/>
          <c:order val="3"/>
          <c:tx>
            <c:strRef>
              <c:f>Sheet1!$E$1</c:f>
              <c:strCache>
                <c:ptCount val="1"/>
                <c:pt idx="0">
                  <c:v>Trūka finanšu resursu</c:v>
                </c:pt>
              </c:strCache>
            </c:strRef>
          </c:tx>
          <c:spPr>
            <a:solidFill>
              <a:srgbClr val="FFC000"/>
            </a:solidFill>
          </c:spPr>
          <c:invertIfNegative val="0"/>
          <c:dLbls>
            <c:showLegendKey val="0"/>
            <c:showVal val="1"/>
            <c:showCatName val="0"/>
            <c:showSerName val="0"/>
            <c:showPercent val="0"/>
            <c:showBubbleSize val="0"/>
            <c:showLeaderLines val="0"/>
          </c:dLbls>
          <c:cat>
            <c:strRef>
              <c:f>Sheet1!$A$2:$A$12</c:f>
              <c:strCache>
                <c:ptCount val="11"/>
                <c:pt idx="0">
                  <c:v>KOPĀ, n=250</c:v>
                </c:pt>
                <c:pt idx="1">
                  <c:v>DIBINĀŠANAS GADS*</c:v>
                </c:pt>
                <c:pt idx="2">
                  <c:v>Līdz 1991.gadam, n=15**</c:v>
                </c:pt>
                <c:pt idx="3">
                  <c:v>1992.-2000.gads, n=90</c:v>
                </c:pt>
                <c:pt idx="4">
                  <c:v>2001.-2007.gads, n=81</c:v>
                </c:pt>
                <c:pt idx="5">
                  <c:v>2008.-2013.gads, n=64</c:v>
                </c:pt>
                <c:pt idx="6">
                  <c:v>APGROZĪJUMS 2012.GADĀ*</c:v>
                </c:pt>
                <c:pt idx="7">
                  <c:v>Līdz 50 000 LVL, n=121</c:v>
                </c:pt>
                <c:pt idx="8">
                  <c:v>50 001 – 100 000 LVL, n=42</c:v>
                </c:pt>
                <c:pt idx="9">
                  <c:v>100 001 – 500 000 LVL, n=48</c:v>
                </c:pt>
                <c:pt idx="10">
                  <c:v>Vairāk par 500 000 LVL, n=30</c:v>
                </c:pt>
              </c:strCache>
            </c:strRef>
          </c:cat>
          <c:val>
            <c:numRef>
              <c:f>Sheet1!$E$2:$E$12</c:f>
              <c:numCache>
                <c:formatCode>General</c:formatCode>
                <c:ptCount val="11"/>
                <c:pt idx="0" formatCode="0">
                  <c:v>33.6</c:v>
                </c:pt>
                <c:pt idx="2" formatCode="0">
                  <c:v>33.333333333333336</c:v>
                </c:pt>
                <c:pt idx="3" formatCode="0">
                  <c:v>33.333333333333336</c:v>
                </c:pt>
                <c:pt idx="4" formatCode="0">
                  <c:v>27.160493827160487</c:v>
                </c:pt>
                <c:pt idx="5" formatCode="0">
                  <c:v>42.1875</c:v>
                </c:pt>
                <c:pt idx="7" formatCode="0">
                  <c:v>43.801652892561982</c:v>
                </c:pt>
                <c:pt idx="8" formatCode="0">
                  <c:v>19.047619047619026</c:v>
                </c:pt>
                <c:pt idx="9" formatCode="0">
                  <c:v>25</c:v>
                </c:pt>
                <c:pt idx="10" formatCode="0">
                  <c:v>20</c:v>
                </c:pt>
              </c:numCache>
            </c:numRef>
          </c:val>
        </c:ser>
        <c:ser>
          <c:idx val="0"/>
          <c:order val="0"/>
          <c:tx>
            <c:strRef>
              <c:f>Sheet1!$B$1</c:f>
              <c:strCache>
                <c:ptCount val="1"/>
                <c:pt idx="0">
                  <c:v>Column12</c:v>
                </c:pt>
              </c:strCache>
            </c:strRef>
          </c:tx>
          <c:spPr>
            <a:solidFill>
              <a:srgbClr val="9BBB59">
                <a:lumMod val="75000"/>
              </a:srgbClr>
            </a:solidFill>
            <a:ln>
              <a:noFill/>
            </a:ln>
          </c:spPr>
          <c:invertIfNegative val="0"/>
          <c:dPt>
            <c:idx val="1"/>
            <c:invertIfNegative val="0"/>
            <c:bubble3D val="0"/>
            <c:spPr>
              <a:solidFill>
                <a:srgbClr val="9BBB59"/>
              </a:solidFill>
              <a:ln>
                <a:noFill/>
              </a:ln>
            </c:spPr>
          </c:dPt>
          <c:dPt>
            <c:idx val="2"/>
            <c:invertIfNegative val="0"/>
            <c:bubble3D val="0"/>
            <c:spPr>
              <a:solidFill>
                <a:srgbClr val="FFC000"/>
              </a:solidFill>
              <a:ln>
                <a:noFill/>
              </a:ln>
            </c:spPr>
          </c:dPt>
          <c:dPt>
            <c:idx val="3"/>
            <c:invertIfNegative val="0"/>
            <c:bubble3D val="0"/>
            <c:spPr>
              <a:solidFill>
                <a:srgbClr val="F79646">
                  <a:lumMod val="75000"/>
                </a:srgbClr>
              </a:solidFill>
              <a:ln>
                <a:noFill/>
              </a:ln>
            </c:spPr>
          </c:dPt>
          <c:dPt>
            <c:idx val="4"/>
            <c:invertIfNegative val="0"/>
            <c:bubble3D val="0"/>
            <c:spPr>
              <a:solidFill>
                <a:sysClr val="window" lastClr="FFFFFF">
                  <a:lumMod val="75000"/>
                </a:sysClr>
              </a:solidFill>
              <a:ln>
                <a:noFill/>
              </a:ln>
            </c:spPr>
          </c:dPt>
          <c:dLbls>
            <c:showLegendKey val="0"/>
            <c:showVal val="1"/>
            <c:showCatName val="0"/>
            <c:showSerName val="0"/>
            <c:showPercent val="0"/>
            <c:showBubbleSize val="0"/>
            <c:showLeaderLines val="0"/>
          </c:dLbls>
          <c:cat>
            <c:strRef>
              <c:f>Sheet1!$A$2:$A$12</c:f>
              <c:strCache>
                <c:ptCount val="11"/>
                <c:pt idx="0">
                  <c:v>KOPĀ, n=250</c:v>
                </c:pt>
                <c:pt idx="1">
                  <c:v>DIBINĀŠANAS GADS*</c:v>
                </c:pt>
                <c:pt idx="2">
                  <c:v>Līdz 1991.gadam, n=15**</c:v>
                </c:pt>
                <c:pt idx="3">
                  <c:v>1992.-2000.gads, n=90</c:v>
                </c:pt>
                <c:pt idx="4">
                  <c:v>2001.-2007.gads, n=81</c:v>
                </c:pt>
                <c:pt idx="5">
                  <c:v>2008.-2013.gads, n=64</c:v>
                </c:pt>
                <c:pt idx="6">
                  <c:v>APGROZĪJUMS 2012.GADĀ*</c:v>
                </c:pt>
                <c:pt idx="7">
                  <c:v>Līdz 50 000 LVL, n=121</c:v>
                </c:pt>
                <c:pt idx="8">
                  <c:v>50 001 – 100 000 LVL, n=42</c:v>
                </c:pt>
                <c:pt idx="9">
                  <c:v>100 001 – 500 000 LVL, n=48</c:v>
                </c:pt>
                <c:pt idx="10">
                  <c:v>Vairāk par 500 000 LVL, n=30</c:v>
                </c:pt>
              </c:strCache>
            </c:strRef>
          </c:cat>
          <c:val>
            <c:numRef>
              <c:f>Sheet1!$B$2:$B$12</c:f>
              <c:numCache>
                <c:formatCode>General</c:formatCode>
                <c:ptCount val="11"/>
              </c:numCache>
            </c:numRef>
          </c:val>
        </c:ser>
        <c:ser>
          <c:idx val="4"/>
          <c:order val="4"/>
          <c:tx>
            <c:strRef>
              <c:f>Sheet1!$F$1</c:f>
              <c:strCache>
                <c:ptCount val="1"/>
                <c:pt idx="0">
                  <c:v>Column3</c:v>
                </c:pt>
              </c:strCache>
            </c:strRef>
          </c:tx>
          <c:spPr>
            <a:noFill/>
          </c:spPr>
          <c:invertIfNegative val="0"/>
          <c:cat>
            <c:strRef>
              <c:f>Sheet1!$A$2:$A$12</c:f>
              <c:strCache>
                <c:ptCount val="11"/>
                <c:pt idx="0">
                  <c:v>KOPĀ, n=250</c:v>
                </c:pt>
                <c:pt idx="1">
                  <c:v>DIBINĀŠANAS GADS*</c:v>
                </c:pt>
                <c:pt idx="2">
                  <c:v>Līdz 1991.gadam, n=15**</c:v>
                </c:pt>
                <c:pt idx="3">
                  <c:v>1992.-2000.gads, n=90</c:v>
                </c:pt>
                <c:pt idx="4">
                  <c:v>2001.-2007.gads, n=81</c:v>
                </c:pt>
                <c:pt idx="5">
                  <c:v>2008.-2013.gads, n=64</c:v>
                </c:pt>
                <c:pt idx="6">
                  <c:v>APGROZĪJUMS 2012.GADĀ*</c:v>
                </c:pt>
                <c:pt idx="7">
                  <c:v>Līdz 50 000 LVL, n=121</c:v>
                </c:pt>
                <c:pt idx="8">
                  <c:v>50 001 – 100 000 LVL, n=42</c:v>
                </c:pt>
                <c:pt idx="9">
                  <c:v>100 001 – 500 000 LVL, n=48</c:v>
                </c:pt>
                <c:pt idx="10">
                  <c:v>Vairāk par 500 000 LVL, n=30</c:v>
                </c:pt>
              </c:strCache>
            </c:strRef>
          </c:cat>
          <c:val>
            <c:numRef>
              <c:f>Sheet1!$F$2:$F$12</c:f>
              <c:numCache>
                <c:formatCode>General</c:formatCode>
                <c:ptCount val="11"/>
                <c:pt idx="0" formatCode="0">
                  <c:v>20.201652892561935</c:v>
                </c:pt>
                <c:pt idx="2" formatCode="0">
                  <c:v>20.468319559228604</c:v>
                </c:pt>
                <c:pt idx="3" formatCode="0">
                  <c:v>20.468319559228604</c:v>
                </c:pt>
                <c:pt idx="4" formatCode="0">
                  <c:v>26.641159065401514</c:v>
                </c:pt>
                <c:pt idx="5" formatCode="0">
                  <c:v>11.614152892561982</c:v>
                </c:pt>
                <c:pt idx="7" formatCode="0">
                  <c:v>10</c:v>
                </c:pt>
                <c:pt idx="8" formatCode="0">
                  <c:v>34.754033844942938</c:v>
                </c:pt>
                <c:pt idx="9" formatCode="0">
                  <c:v>28.801652892561947</c:v>
                </c:pt>
                <c:pt idx="10" formatCode="0">
                  <c:v>33.801652892561982</c:v>
                </c:pt>
              </c:numCache>
            </c:numRef>
          </c:val>
        </c:ser>
        <c:ser>
          <c:idx val="5"/>
          <c:order val="5"/>
          <c:tx>
            <c:strRef>
              <c:f>Sheet1!$G$1</c:f>
              <c:strCache>
                <c:ptCount val="1"/>
                <c:pt idx="0">
                  <c:v>Trūkst zināšanu par šo jomu</c:v>
                </c:pt>
              </c:strCache>
            </c:strRef>
          </c:tx>
          <c:spPr>
            <a:solidFill>
              <a:srgbClr val="F79646">
                <a:lumMod val="75000"/>
              </a:srgbClr>
            </a:solidFill>
          </c:spPr>
          <c:invertIfNegative val="0"/>
          <c:dLbls>
            <c:showLegendKey val="0"/>
            <c:showVal val="1"/>
            <c:showCatName val="0"/>
            <c:showSerName val="0"/>
            <c:showPercent val="0"/>
            <c:showBubbleSize val="0"/>
            <c:showLeaderLines val="0"/>
          </c:dLbls>
          <c:cat>
            <c:strRef>
              <c:f>Sheet1!$A$2:$A$12</c:f>
              <c:strCache>
                <c:ptCount val="11"/>
                <c:pt idx="0">
                  <c:v>KOPĀ, n=250</c:v>
                </c:pt>
                <c:pt idx="1">
                  <c:v>DIBINĀŠANAS GADS*</c:v>
                </c:pt>
                <c:pt idx="2">
                  <c:v>Līdz 1991.gadam, n=15**</c:v>
                </c:pt>
                <c:pt idx="3">
                  <c:v>1992.-2000.gads, n=90</c:v>
                </c:pt>
                <c:pt idx="4">
                  <c:v>2001.-2007.gads, n=81</c:v>
                </c:pt>
                <c:pt idx="5">
                  <c:v>2008.-2013.gads, n=64</c:v>
                </c:pt>
                <c:pt idx="6">
                  <c:v>APGROZĪJUMS 2012.GADĀ*</c:v>
                </c:pt>
                <c:pt idx="7">
                  <c:v>Līdz 50 000 LVL, n=121</c:v>
                </c:pt>
                <c:pt idx="8">
                  <c:v>50 001 – 100 000 LVL, n=42</c:v>
                </c:pt>
                <c:pt idx="9">
                  <c:v>100 001 – 500 000 LVL, n=48</c:v>
                </c:pt>
                <c:pt idx="10">
                  <c:v>Vairāk par 500 000 LVL, n=30</c:v>
                </c:pt>
              </c:strCache>
            </c:strRef>
          </c:cat>
          <c:val>
            <c:numRef>
              <c:f>Sheet1!$G$2:$G$12</c:f>
              <c:numCache>
                <c:formatCode>General</c:formatCode>
                <c:ptCount val="11"/>
                <c:pt idx="0" formatCode="0">
                  <c:v>14</c:v>
                </c:pt>
                <c:pt idx="3" formatCode="0">
                  <c:v>10</c:v>
                </c:pt>
                <c:pt idx="4" formatCode="0">
                  <c:v>17.283950617283949</c:v>
                </c:pt>
                <c:pt idx="5" formatCode="0">
                  <c:v>18.75</c:v>
                </c:pt>
                <c:pt idx="7" formatCode="0">
                  <c:v>15.702479338842988</c:v>
                </c:pt>
                <c:pt idx="8" formatCode="0">
                  <c:v>21.428571428571427</c:v>
                </c:pt>
                <c:pt idx="9" formatCode="0">
                  <c:v>10.416666666666679</c:v>
                </c:pt>
                <c:pt idx="10" formatCode="0">
                  <c:v>6.666666666666667</c:v>
                </c:pt>
              </c:numCache>
            </c:numRef>
          </c:val>
        </c:ser>
        <c:ser>
          <c:idx val="6"/>
          <c:order val="6"/>
          <c:tx>
            <c:strRef>
              <c:f>Sheet1!$H$1</c:f>
              <c:strCache>
                <c:ptCount val="1"/>
                <c:pt idx="0">
                  <c:v>Column4</c:v>
                </c:pt>
              </c:strCache>
            </c:strRef>
          </c:tx>
          <c:spPr>
            <a:noFill/>
          </c:spPr>
          <c:invertIfNegative val="0"/>
          <c:cat>
            <c:strRef>
              <c:f>Sheet1!$A$2:$A$12</c:f>
              <c:strCache>
                <c:ptCount val="11"/>
                <c:pt idx="0">
                  <c:v>KOPĀ, n=250</c:v>
                </c:pt>
                <c:pt idx="1">
                  <c:v>DIBINĀŠANAS GADS*</c:v>
                </c:pt>
                <c:pt idx="2">
                  <c:v>Līdz 1991.gadam, n=15**</c:v>
                </c:pt>
                <c:pt idx="3">
                  <c:v>1992.-2000.gads, n=90</c:v>
                </c:pt>
                <c:pt idx="4">
                  <c:v>2001.-2007.gads, n=81</c:v>
                </c:pt>
                <c:pt idx="5">
                  <c:v>2008.-2013.gads, n=64</c:v>
                </c:pt>
                <c:pt idx="6">
                  <c:v>APGROZĪJUMS 2012.GADĀ*</c:v>
                </c:pt>
                <c:pt idx="7">
                  <c:v>Līdz 50 000 LVL, n=121</c:v>
                </c:pt>
                <c:pt idx="8">
                  <c:v>50 001 – 100 000 LVL, n=42</c:v>
                </c:pt>
                <c:pt idx="9">
                  <c:v>100 001 – 500 000 LVL, n=48</c:v>
                </c:pt>
                <c:pt idx="10">
                  <c:v>Vairāk par 500 000 LVL, n=30</c:v>
                </c:pt>
              </c:strCache>
            </c:strRef>
          </c:cat>
          <c:val>
            <c:numRef>
              <c:f>Sheet1!$H$2:$H$12</c:f>
              <c:numCache>
                <c:formatCode>General</c:formatCode>
                <c:ptCount val="11"/>
                <c:pt idx="0" formatCode="0">
                  <c:v>17.428571428571427</c:v>
                </c:pt>
                <c:pt idx="2" formatCode="0">
                  <c:v>31.428571428571427</c:v>
                </c:pt>
                <c:pt idx="3" formatCode="0">
                  <c:v>21.428571428571427</c:v>
                </c:pt>
                <c:pt idx="4" formatCode="0">
                  <c:v>14.144620811287478</c:v>
                </c:pt>
                <c:pt idx="5" formatCode="0">
                  <c:v>12.678571428571409</c:v>
                </c:pt>
                <c:pt idx="7" formatCode="0">
                  <c:v>15.726092089728452</c:v>
                </c:pt>
                <c:pt idx="8" formatCode="0">
                  <c:v>10</c:v>
                </c:pt>
                <c:pt idx="9" formatCode="0">
                  <c:v>21.011904761904798</c:v>
                </c:pt>
                <c:pt idx="10" formatCode="0">
                  <c:v>24.761904761904781</c:v>
                </c:pt>
              </c:numCache>
            </c:numRef>
          </c:val>
        </c:ser>
        <c:ser>
          <c:idx val="7"/>
          <c:order val="7"/>
          <c:tx>
            <c:strRef>
              <c:f>Sheet1!$I$1</c:f>
              <c:strCache>
                <c:ptCount val="1"/>
                <c:pt idx="0">
                  <c:v>Cits iemesls</c:v>
                </c:pt>
              </c:strCache>
            </c:strRef>
          </c:tx>
          <c:spPr>
            <a:solidFill>
              <a:sysClr val="window" lastClr="FFFFFF">
                <a:lumMod val="75000"/>
              </a:sysClr>
            </a:solidFill>
          </c:spPr>
          <c:invertIfNegative val="0"/>
          <c:dLbls>
            <c:showLegendKey val="0"/>
            <c:showVal val="1"/>
            <c:showCatName val="0"/>
            <c:showSerName val="0"/>
            <c:showPercent val="0"/>
            <c:showBubbleSize val="0"/>
            <c:showLeaderLines val="0"/>
          </c:dLbls>
          <c:cat>
            <c:strRef>
              <c:f>Sheet1!$A$2:$A$12</c:f>
              <c:strCache>
                <c:ptCount val="11"/>
                <c:pt idx="0">
                  <c:v>KOPĀ, n=250</c:v>
                </c:pt>
                <c:pt idx="1">
                  <c:v>DIBINĀŠANAS GADS*</c:v>
                </c:pt>
                <c:pt idx="2">
                  <c:v>Līdz 1991.gadam, n=15**</c:v>
                </c:pt>
                <c:pt idx="3">
                  <c:v>1992.-2000.gads, n=90</c:v>
                </c:pt>
                <c:pt idx="4">
                  <c:v>2001.-2007.gads, n=81</c:v>
                </c:pt>
                <c:pt idx="5">
                  <c:v>2008.-2013.gads, n=64</c:v>
                </c:pt>
                <c:pt idx="6">
                  <c:v>APGROZĪJUMS 2012.GADĀ*</c:v>
                </c:pt>
                <c:pt idx="7">
                  <c:v>Līdz 50 000 LVL, n=121</c:v>
                </c:pt>
                <c:pt idx="8">
                  <c:v>50 001 – 100 000 LVL, n=42</c:v>
                </c:pt>
                <c:pt idx="9">
                  <c:v>100 001 – 500 000 LVL, n=48</c:v>
                </c:pt>
                <c:pt idx="10">
                  <c:v>Vairāk par 500 000 LVL, n=30</c:v>
                </c:pt>
              </c:strCache>
            </c:strRef>
          </c:cat>
          <c:val>
            <c:numRef>
              <c:f>Sheet1!$I$2:$I$12</c:f>
              <c:numCache>
                <c:formatCode>General</c:formatCode>
                <c:ptCount val="11"/>
                <c:pt idx="0" formatCode="0">
                  <c:v>3.6</c:v>
                </c:pt>
                <c:pt idx="2" formatCode="0">
                  <c:v>20</c:v>
                </c:pt>
                <c:pt idx="3" formatCode="0">
                  <c:v>2.2222222222222232</c:v>
                </c:pt>
                <c:pt idx="4" formatCode="0">
                  <c:v>2.4691358024691383</c:v>
                </c:pt>
                <c:pt idx="5" formatCode="0">
                  <c:v>3.125</c:v>
                </c:pt>
                <c:pt idx="7" formatCode="0">
                  <c:v>2.4793388429752072</c:v>
                </c:pt>
                <c:pt idx="8" formatCode="0">
                  <c:v>7.1428571428571415</c:v>
                </c:pt>
                <c:pt idx="9" formatCode="0">
                  <c:v>2.0833333333333361</c:v>
                </c:pt>
                <c:pt idx="10" formatCode="0">
                  <c:v>6.666666666666667</c:v>
                </c:pt>
              </c:numCache>
            </c:numRef>
          </c:val>
        </c:ser>
        <c:dLbls>
          <c:showLegendKey val="0"/>
          <c:showVal val="0"/>
          <c:showCatName val="0"/>
          <c:showSerName val="0"/>
          <c:showPercent val="0"/>
          <c:showBubbleSize val="0"/>
        </c:dLbls>
        <c:gapWidth val="50"/>
        <c:overlap val="100"/>
        <c:axId val="208622720"/>
        <c:axId val="208612736"/>
      </c:barChart>
      <c:valAx>
        <c:axId val="208612736"/>
        <c:scaling>
          <c:orientation val="minMax"/>
        </c:scaling>
        <c:delete val="1"/>
        <c:axPos val="t"/>
        <c:numFmt formatCode="0" sourceLinked="1"/>
        <c:majorTickMark val="out"/>
        <c:minorTickMark val="none"/>
        <c:tickLblPos val="none"/>
        <c:crossAx val="208622720"/>
        <c:crosses val="autoZero"/>
        <c:crossBetween val="between"/>
      </c:valAx>
      <c:catAx>
        <c:axId val="208622720"/>
        <c:scaling>
          <c:orientation val="maxMin"/>
        </c:scaling>
        <c:delete val="0"/>
        <c:axPos val="l"/>
        <c:majorTickMark val="out"/>
        <c:minorTickMark val="none"/>
        <c:tickLblPos val="nextTo"/>
        <c:crossAx val="208612736"/>
        <c:crosses val="autoZero"/>
        <c:auto val="1"/>
        <c:lblAlgn val="ctr"/>
        <c:lblOffset val="100"/>
        <c:noMultiLvlLbl val="0"/>
      </c:catAx>
    </c:plotArea>
    <c:legend>
      <c:legendPos val="t"/>
      <c:legendEntry>
        <c:idx val="1"/>
        <c:delete val="1"/>
      </c:legendEntry>
      <c:legendEntry>
        <c:idx val="3"/>
        <c:delete val="1"/>
      </c:legendEntry>
      <c:legendEntry>
        <c:idx val="4"/>
        <c:delete val="1"/>
      </c:legendEntry>
      <c:legendEntry>
        <c:idx val="6"/>
        <c:delete val="1"/>
      </c:legendEntry>
      <c:layout>
        <c:manualLayout>
          <c:xMode val="edge"/>
          <c:yMode val="edge"/>
          <c:x val="0.13978525411596304"/>
          <c:y val="6.1583032714517989E-2"/>
          <c:w val="0.86021474588403657"/>
          <c:h val="5.7134007538157304E-2"/>
        </c:manualLayout>
      </c:layout>
      <c:overlay val="0"/>
    </c:legend>
    <c:plotVisOnly val="1"/>
    <c:dispBlanksAs val="gap"/>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esat veikuši ieguldījumus pētniecībā un attīstībā (izstrādē) </a:t>
            </a:r>
          </a:p>
          <a:p>
            <a:pPr algn="ctr" rtl="0">
              <a:defRPr sz="1050"/>
            </a:pPr>
            <a:r>
              <a:rPr lang="lv-LV" sz="1050"/>
              <a:t>pirms 2010.gada...? (%)</a:t>
            </a:r>
            <a:endParaRPr lang="en-US" sz="1050"/>
          </a:p>
        </c:rich>
      </c:tx>
      <c:layout>
        <c:manualLayout>
          <c:xMode val="edge"/>
          <c:yMode val="edge"/>
          <c:x val="0.21806477539589864"/>
          <c:y val="2.1634342687029996E-2"/>
        </c:manualLayout>
      </c:layout>
      <c:overlay val="0"/>
    </c:title>
    <c:autoTitleDeleted val="0"/>
    <c:plotArea>
      <c:layout>
        <c:manualLayout>
          <c:layoutTarget val="inner"/>
          <c:xMode val="edge"/>
          <c:yMode val="edge"/>
          <c:x val="0.37269085383465889"/>
          <c:y val="0.12841550846412675"/>
          <c:w val="0.2812121212121213"/>
          <c:h val="0.76995633187772927"/>
        </c:manualLayout>
      </c:layout>
      <c:pieChart>
        <c:varyColors val="1"/>
        <c:ser>
          <c:idx val="0"/>
          <c:order val="0"/>
          <c:tx>
            <c:strRef>
              <c:f>Sheet1!$B$1</c:f>
              <c:strCache>
                <c:ptCount val="1"/>
                <c:pt idx="0">
                  <c:v>Series 1</c:v>
                </c:pt>
              </c:strCache>
            </c:strRef>
          </c:tx>
          <c:spPr>
            <a:solidFill>
              <a:srgbClr val="9BBB59">
                <a:lumMod val="75000"/>
              </a:srgbClr>
            </a:solidFill>
            <a:ln>
              <a:noFill/>
            </a:ln>
          </c:spPr>
          <c:dPt>
            <c:idx val="1"/>
            <c:bubble3D val="0"/>
            <c:spPr>
              <a:solidFill>
                <a:srgbClr val="9BBB59"/>
              </a:solidFill>
              <a:ln>
                <a:noFill/>
              </a:ln>
            </c:spPr>
          </c:dPt>
          <c:dPt>
            <c:idx val="2"/>
            <c:bubble3D val="0"/>
            <c:spPr>
              <a:solidFill>
                <a:srgbClr val="FFC000"/>
              </a:solidFill>
              <a:ln>
                <a:noFill/>
              </a:ln>
            </c:spPr>
          </c:dPt>
          <c:dPt>
            <c:idx val="3"/>
            <c:bubble3D val="0"/>
            <c:spPr>
              <a:solidFill>
                <a:srgbClr val="F79646">
                  <a:lumMod val="75000"/>
                </a:srgbClr>
              </a:solidFill>
              <a:ln>
                <a:noFill/>
              </a:ln>
            </c:spPr>
          </c:dPt>
          <c:dPt>
            <c:idx val="4"/>
            <c:bubble3D val="0"/>
            <c:spPr>
              <a:solidFill>
                <a:sysClr val="window" lastClr="FFFFFF">
                  <a:lumMod val="75000"/>
                </a:sysClr>
              </a:solidFill>
              <a:ln>
                <a:noFill/>
              </a:ln>
            </c:spPr>
          </c:dPt>
          <c:dLbls>
            <c:dLbl>
              <c:idx val="0"/>
              <c:layout>
                <c:manualLayout>
                  <c:x val="1.8526081369015509E-2"/>
                  <c:y val="-3.837235110711832E-2"/>
                </c:manualLayout>
              </c:layout>
              <c:numFmt formatCode="0.0%" sourceLinked="0"/>
              <c:spPr/>
              <c:txPr>
                <a:bodyPr/>
                <a:lstStyle/>
                <a:p>
                  <a:pPr>
                    <a:defRPr/>
                  </a:pPr>
                  <a:endParaRPr lang="lv-LV"/>
                </a:p>
              </c:txPr>
              <c:dLblPos val="bestFit"/>
              <c:showLegendKey val="0"/>
              <c:showVal val="0"/>
              <c:showCatName val="1"/>
              <c:showSerName val="0"/>
              <c:showPercent val="1"/>
              <c:showBubbleSize val="0"/>
            </c:dLbl>
            <c:dLbl>
              <c:idx val="1"/>
              <c:layout>
                <c:manualLayout>
                  <c:x val="2.8408243227969764E-2"/>
                  <c:y val="-7.4505451919181414E-3"/>
                </c:manualLayout>
              </c:layout>
              <c:dLblPos val="bestFit"/>
              <c:showLegendKey val="0"/>
              <c:showVal val="0"/>
              <c:showCatName val="1"/>
              <c:showSerName val="0"/>
              <c:showPercent val="1"/>
              <c:showBubbleSize val="0"/>
            </c:dLbl>
            <c:dLbl>
              <c:idx val="2"/>
              <c:layout>
                <c:manualLayout>
                  <c:x val="2.4995918572379469E-2"/>
                  <c:y val="1.7101234828867867E-2"/>
                </c:manualLayout>
              </c:layout>
              <c:dLblPos val="bestFit"/>
              <c:showLegendKey val="0"/>
              <c:showVal val="0"/>
              <c:showCatName val="1"/>
              <c:showSerName val="0"/>
              <c:showPercent val="1"/>
              <c:showBubbleSize val="0"/>
            </c:dLbl>
            <c:dLbl>
              <c:idx val="3"/>
              <c:layout>
                <c:manualLayout>
                  <c:x val="1.8885079556443026E-2"/>
                  <c:y val="4.7554475153693113E-2"/>
                </c:manualLayout>
              </c:layout>
              <c:dLblPos val="bestFit"/>
              <c:showLegendKey val="0"/>
              <c:showVal val="0"/>
              <c:showCatName val="1"/>
              <c:showSerName val="0"/>
              <c:showPercent val="1"/>
              <c:showBubbleSize val="0"/>
            </c:dLbl>
            <c:dLbl>
              <c:idx val="4"/>
              <c:layout>
                <c:manualLayout>
                  <c:x val="9.7875564597487315E-3"/>
                  <c:y val="5.3180432982789912E-2"/>
                </c:manualLayout>
              </c:layout>
              <c:dLblPos val="bestFit"/>
              <c:showLegendKey val="0"/>
              <c:showVal val="0"/>
              <c:showCatName val="1"/>
              <c:showSerName val="0"/>
              <c:showPercent val="1"/>
              <c:showBubbleSize val="0"/>
            </c:dLbl>
            <c:dLblPos val="ctr"/>
            <c:showLegendKey val="0"/>
            <c:showVal val="0"/>
            <c:showCatName val="1"/>
            <c:showSerName val="0"/>
            <c:showPercent val="1"/>
            <c:showBubbleSize val="0"/>
            <c:showLeaderLines val="1"/>
          </c:dLbls>
          <c:cat>
            <c:strRef>
              <c:f>Sheet1!$A$2:$A$5</c:f>
              <c:strCache>
                <c:ptCount val="4"/>
                <c:pt idx="0">
                  <c:v>Jā, regulāri</c:v>
                </c:pt>
                <c:pt idx="1">
                  <c:v>Jā, dažkārt</c:v>
                </c:pt>
                <c:pt idx="2">
                  <c:v>Jā, vienreiz</c:v>
                </c:pt>
                <c:pt idx="3">
                  <c:v>Nē</c:v>
                </c:pt>
              </c:strCache>
            </c:strRef>
          </c:cat>
          <c:val>
            <c:numRef>
              <c:f>Sheet1!$B$2:$B$5</c:f>
              <c:numCache>
                <c:formatCode>0</c:formatCode>
                <c:ptCount val="4"/>
                <c:pt idx="0" formatCode="0.0">
                  <c:v>0.40485829959514208</c:v>
                </c:pt>
                <c:pt idx="1">
                  <c:v>7.2874493927125572</c:v>
                </c:pt>
                <c:pt idx="2">
                  <c:v>2.42914979757085</c:v>
                </c:pt>
                <c:pt idx="3">
                  <c:v>89.87854251012125</c:v>
                </c:pt>
              </c:numCache>
            </c:numRef>
          </c:val>
        </c:ser>
        <c:dLbls>
          <c:showLegendKey val="0"/>
          <c:showVal val="0"/>
          <c:showCatName val="0"/>
          <c:showSerName val="0"/>
          <c:showPercent val="0"/>
          <c:showBubbleSize val="0"/>
          <c:showLeaderLines val="1"/>
        </c:dLbls>
        <c:firstSliceAng val="50"/>
      </c:pieChart>
    </c:plotArea>
    <c:plotVisOnly val="1"/>
    <c:dispBlanksAs val="zero"/>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jūsu uzņēmums ir saskāries ar situāciju, kad ieguldījumi pētniecībā un attīstībā (izstrādē) ir bijuši nepieciešami, bet trūcis finansējums to veikšanai...? (%)</a:t>
            </a:r>
            <a:endParaRPr lang="en-US" sz="1050"/>
          </a:p>
        </c:rich>
      </c:tx>
      <c:layout>
        <c:manualLayout>
          <c:xMode val="edge"/>
          <c:yMode val="edge"/>
          <c:x val="0.10110571106841323"/>
          <c:y val="2.6108615617678691E-2"/>
        </c:manualLayout>
      </c:layout>
      <c:overlay val="0"/>
    </c:title>
    <c:autoTitleDeleted val="0"/>
    <c:plotArea>
      <c:layout>
        <c:manualLayout>
          <c:layoutTarget val="inner"/>
          <c:xMode val="edge"/>
          <c:yMode val="edge"/>
          <c:x val="0.37269085383465889"/>
          <c:y val="0.12841550846412675"/>
          <c:w val="0.2812121212121213"/>
          <c:h val="0.76995633187772927"/>
        </c:manualLayout>
      </c:layout>
      <c:pieChart>
        <c:varyColors val="1"/>
        <c:ser>
          <c:idx val="0"/>
          <c:order val="0"/>
          <c:tx>
            <c:strRef>
              <c:f>Sheet1!$B$1</c:f>
              <c:strCache>
                <c:ptCount val="1"/>
                <c:pt idx="0">
                  <c:v>Series 1</c:v>
                </c:pt>
              </c:strCache>
            </c:strRef>
          </c:tx>
          <c:spPr>
            <a:solidFill>
              <a:srgbClr val="9BBB59">
                <a:lumMod val="75000"/>
              </a:srgbClr>
            </a:solidFill>
            <a:ln>
              <a:noFill/>
            </a:ln>
          </c:spPr>
          <c:dPt>
            <c:idx val="1"/>
            <c:bubble3D val="0"/>
            <c:spPr>
              <a:solidFill>
                <a:srgbClr val="FFC000"/>
              </a:solidFill>
              <a:ln>
                <a:noFill/>
              </a:ln>
            </c:spPr>
          </c:dPt>
          <c:dPt>
            <c:idx val="2"/>
            <c:bubble3D val="0"/>
            <c:spPr>
              <a:solidFill>
                <a:srgbClr val="F79646">
                  <a:lumMod val="75000"/>
                </a:srgbClr>
              </a:solidFill>
              <a:ln>
                <a:noFill/>
              </a:ln>
            </c:spPr>
          </c:dPt>
          <c:dPt>
            <c:idx val="3"/>
            <c:bubble3D val="0"/>
            <c:spPr>
              <a:solidFill>
                <a:srgbClr val="F79646">
                  <a:lumMod val="75000"/>
                </a:srgbClr>
              </a:solidFill>
              <a:ln>
                <a:noFill/>
              </a:ln>
            </c:spPr>
          </c:dPt>
          <c:dPt>
            <c:idx val="4"/>
            <c:bubble3D val="0"/>
            <c:spPr>
              <a:solidFill>
                <a:sysClr val="window" lastClr="FFFFFF">
                  <a:lumMod val="75000"/>
                </a:sysClr>
              </a:solidFill>
              <a:ln>
                <a:noFill/>
              </a:ln>
            </c:spPr>
          </c:dPt>
          <c:dLbls>
            <c:dLbl>
              <c:idx val="0"/>
              <c:layout>
                <c:manualLayout>
                  <c:x val="-6.9922599387995223E-3"/>
                  <c:y val="3.3216015783262005E-2"/>
                </c:manualLayout>
              </c:layout>
              <c:numFmt formatCode="0%" sourceLinked="0"/>
              <c:spPr/>
              <c:txPr>
                <a:bodyPr/>
                <a:lstStyle/>
                <a:p>
                  <a:pPr>
                    <a:defRPr/>
                  </a:pPr>
                  <a:endParaRPr lang="lv-LV"/>
                </a:p>
              </c:txPr>
              <c:dLblPos val="bestFit"/>
              <c:showLegendKey val="0"/>
              <c:showVal val="0"/>
              <c:showCatName val="1"/>
              <c:showSerName val="0"/>
              <c:showPercent val="1"/>
              <c:showBubbleSize val="0"/>
            </c:dLbl>
            <c:dLbl>
              <c:idx val="1"/>
              <c:layout>
                <c:manualLayout>
                  <c:x val="-9.8692687337527778E-3"/>
                  <c:y val="-1.6399091053215662E-2"/>
                </c:manualLayout>
              </c:layout>
              <c:dLblPos val="bestFit"/>
              <c:showLegendKey val="0"/>
              <c:showVal val="0"/>
              <c:showCatName val="1"/>
              <c:showSerName val="0"/>
              <c:showPercent val="1"/>
              <c:showBubbleSize val="0"/>
            </c:dLbl>
            <c:dLbl>
              <c:idx val="2"/>
              <c:layout>
                <c:manualLayout>
                  <c:x val="9.0918300284234865E-2"/>
                  <c:y val="-1.421867568567352E-2"/>
                </c:manualLayout>
              </c:layout>
              <c:dLblPos val="bestFit"/>
              <c:showLegendKey val="0"/>
              <c:showVal val="0"/>
              <c:showCatName val="1"/>
              <c:showSerName val="0"/>
              <c:showPercent val="1"/>
              <c:showBubbleSize val="0"/>
            </c:dLbl>
            <c:dLbl>
              <c:idx val="3"/>
              <c:layout>
                <c:manualLayout>
                  <c:x val="1.8885079556443026E-2"/>
                  <c:y val="4.7554475153693113E-2"/>
                </c:manualLayout>
              </c:layout>
              <c:dLblPos val="bestFit"/>
              <c:showLegendKey val="0"/>
              <c:showVal val="0"/>
              <c:showCatName val="1"/>
              <c:showSerName val="0"/>
              <c:showPercent val="1"/>
              <c:showBubbleSize val="0"/>
            </c:dLbl>
            <c:dLbl>
              <c:idx val="4"/>
              <c:layout>
                <c:manualLayout>
                  <c:x val="9.7875564597487315E-3"/>
                  <c:y val="5.3180432982789912E-2"/>
                </c:manualLayout>
              </c:layout>
              <c:dLblPos val="bestFit"/>
              <c:showLegendKey val="0"/>
              <c:showVal val="0"/>
              <c:showCatName val="1"/>
              <c:showSerName val="0"/>
              <c:showPercent val="1"/>
              <c:showBubbleSize val="0"/>
            </c:dLbl>
            <c:dLblPos val="ctr"/>
            <c:showLegendKey val="0"/>
            <c:showVal val="0"/>
            <c:showCatName val="1"/>
            <c:showSerName val="0"/>
            <c:showPercent val="1"/>
            <c:showBubbleSize val="0"/>
            <c:showLeaderLines val="1"/>
          </c:dLbls>
          <c:cat>
            <c:strRef>
              <c:f>Sheet1!$A$2:$A$4</c:f>
              <c:strCache>
                <c:ptCount val="3"/>
                <c:pt idx="0">
                  <c:v>Jā, vairākas reizes</c:v>
                </c:pt>
                <c:pt idx="1">
                  <c:v>Jā, vienreiz</c:v>
                </c:pt>
                <c:pt idx="2">
                  <c:v>Nē</c:v>
                </c:pt>
              </c:strCache>
            </c:strRef>
          </c:cat>
          <c:val>
            <c:numRef>
              <c:f>Sheet1!$B$2:$B$4</c:f>
              <c:numCache>
                <c:formatCode>0</c:formatCode>
                <c:ptCount val="3"/>
                <c:pt idx="0">
                  <c:v>33.237822349570244</c:v>
                </c:pt>
                <c:pt idx="1">
                  <c:v>9.455587392550159</c:v>
                </c:pt>
                <c:pt idx="2">
                  <c:v>57.306590257879655</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jūsu uzņēmums ir saskāries ar situāciju, kad ieguldījumi pētniecībā un attīstībā (izstrādē) ir bijuši nepieciešami, bet trūcis finansējums to veikšanai...? (%)</a:t>
            </a:r>
            <a:endParaRPr lang="en-US" sz="1050"/>
          </a:p>
        </c:rich>
      </c:tx>
      <c:layout>
        <c:manualLayout>
          <c:xMode val="edge"/>
          <c:yMode val="edge"/>
          <c:x val="0.11065583309263367"/>
          <c:y val="1.2257849791248004E-2"/>
        </c:manualLayout>
      </c:layout>
      <c:overlay val="0"/>
    </c:title>
    <c:autoTitleDeleted val="0"/>
    <c:plotArea>
      <c:layout>
        <c:manualLayout>
          <c:layoutTarget val="inner"/>
          <c:xMode val="edge"/>
          <c:yMode val="edge"/>
          <c:x val="0.49390297504678005"/>
          <c:y val="0.10135726347728079"/>
          <c:w val="0.43006911217437532"/>
          <c:h val="0.80308767496187794"/>
        </c:manualLayout>
      </c:layout>
      <c:barChart>
        <c:barDir val="bar"/>
        <c:grouping val="percentStacked"/>
        <c:varyColors val="0"/>
        <c:ser>
          <c:idx val="1"/>
          <c:order val="1"/>
          <c:tx>
            <c:strRef>
              <c:f>Sheet1!$C$1</c:f>
              <c:strCache>
                <c:ptCount val="1"/>
                <c:pt idx="0">
                  <c:v>Jā, vairākas reizes</c:v>
                </c:pt>
              </c:strCache>
            </c:strRef>
          </c:tx>
          <c:spPr>
            <a:solidFill>
              <a:srgbClr val="9BBB59">
                <a:lumMod val="75000"/>
              </a:srgbClr>
            </a:solidFill>
          </c:spPr>
          <c:invertIfNegative val="0"/>
          <c:dLbls>
            <c:dLblPos val="ctr"/>
            <c:showLegendKey val="0"/>
            <c:showVal val="1"/>
            <c:showCatName val="0"/>
            <c:showSerName val="0"/>
            <c:showPercent val="0"/>
            <c:showBubbleSize val="0"/>
            <c:showLeaderLines val="0"/>
          </c:dLbls>
          <c:cat>
            <c:strRef>
              <c:f>Sheet1!$A$2:$A$26</c:f>
              <c:strCache>
                <c:ptCount val="25"/>
                <c:pt idx="0">
                  <c:v>KOPĀ, n=349</c:v>
                </c:pt>
                <c:pt idx="1">
                  <c:v>DIBINĀŠANAS GADS*</c:v>
                </c:pt>
                <c:pt idx="2">
                  <c:v>Līdz 1991.gadam, n=33</c:v>
                </c:pt>
                <c:pt idx="3">
                  <c:v>1992.-2000.gads, n=132</c:v>
                </c:pt>
                <c:pt idx="4">
                  <c:v>2001.-2007.gads, n=101</c:v>
                </c:pt>
                <c:pt idx="5">
                  <c:v>2008.-2013.gads, n=83</c:v>
                </c:pt>
                <c:pt idx="6">
                  <c:v>DARBINIEKU SKAITS</c:v>
                </c:pt>
                <c:pt idx="7">
                  <c:v>1–9, n=234</c:v>
                </c:pt>
                <c:pt idx="8">
                  <c:v>10–19, n=44</c:v>
                </c:pt>
                <c:pt idx="9">
                  <c:v>20–49, n=31</c:v>
                </c:pt>
                <c:pt idx="10">
                  <c:v>50 un vairāk, n=40</c:v>
                </c:pt>
                <c:pt idx="11">
                  <c:v>NOZARE</c:v>
                </c:pt>
                <c:pt idx="12">
                  <c:v>Ražošanas un rūpniecības, n=25**</c:v>
                </c:pt>
                <c:pt idx="13">
                  <c:v>Tirdzniecības, n=60</c:v>
                </c:pt>
                <c:pt idx="14">
                  <c:v>Pakalpojumu, n=120</c:v>
                </c:pt>
                <c:pt idx="15">
                  <c:v>Būvniecības, n=32</c:v>
                </c:pt>
                <c:pt idx="16">
                  <c:v>Cits, n=112</c:v>
                </c:pt>
                <c:pt idx="17">
                  <c:v>APGROZĪJUMS 2012.GADĀ*</c:v>
                </c:pt>
                <c:pt idx="18">
                  <c:v>Līdz 50 000 LVL, n=155</c:v>
                </c:pt>
                <c:pt idx="19">
                  <c:v>50 001 – 100 000 LVL, n=53</c:v>
                </c:pt>
                <c:pt idx="20">
                  <c:v>100 001 – 500 000 LVL, n=74</c:v>
                </c:pt>
                <c:pt idx="21">
                  <c:v>Vairāk par 500 000 LVL, n=57</c:v>
                </c:pt>
                <c:pt idx="22">
                  <c:v>IEGULDĪJUMI PĒTNIECĪBAS JOMĀ PĒDĒJO 3 g. LAIKĀ</c:v>
                </c:pt>
                <c:pt idx="23">
                  <c:v>Jā, n=105</c:v>
                </c:pt>
                <c:pt idx="24">
                  <c:v>Nē, n=244</c:v>
                </c:pt>
              </c:strCache>
            </c:strRef>
          </c:cat>
          <c:val>
            <c:numRef>
              <c:f>Sheet1!$C$2:$C$26</c:f>
              <c:numCache>
                <c:formatCode>General</c:formatCode>
                <c:ptCount val="25"/>
                <c:pt idx="0" formatCode="0">
                  <c:v>33.237822349570244</c:v>
                </c:pt>
                <c:pt idx="2" formatCode="0">
                  <c:v>63.636363636363626</c:v>
                </c:pt>
                <c:pt idx="3" formatCode="0">
                  <c:v>29.545454545454547</c:v>
                </c:pt>
                <c:pt idx="4" formatCode="0">
                  <c:v>25.742574257425712</c:v>
                </c:pt>
                <c:pt idx="5" formatCode="0">
                  <c:v>36.144578313253014</c:v>
                </c:pt>
                <c:pt idx="7" formatCode="0">
                  <c:v>30.341880341880341</c:v>
                </c:pt>
                <c:pt idx="8" formatCode="0">
                  <c:v>40.909090909090907</c:v>
                </c:pt>
                <c:pt idx="9" formatCode="0">
                  <c:v>32.258064516129032</c:v>
                </c:pt>
                <c:pt idx="10" formatCode="0">
                  <c:v>42.5</c:v>
                </c:pt>
                <c:pt idx="12" formatCode="0">
                  <c:v>48</c:v>
                </c:pt>
                <c:pt idx="13" formatCode="0">
                  <c:v>35</c:v>
                </c:pt>
                <c:pt idx="14" formatCode="0">
                  <c:v>33.333333333333336</c:v>
                </c:pt>
                <c:pt idx="15" formatCode="0">
                  <c:v>21.875</c:v>
                </c:pt>
                <c:pt idx="16" formatCode="0">
                  <c:v>32.142857142857153</c:v>
                </c:pt>
                <c:pt idx="18" formatCode="0">
                  <c:v>31.612903225806495</c:v>
                </c:pt>
                <c:pt idx="19" formatCode="0">
                  <c:v>28.301886792452851</c:v>
                </c:pt>
                <c:pt idx="20" formatCode="0">
                  <c:v>35.135135135135229</c:v>
                </c:pt>
                <c:pt idx="21" formatCode="0">
                  <c:v>35.087719298245595</c:v>
                </c:pt>
                <c:pt idx="23" formatCode="0">
                  <c:v>62.857142857142797</c:v>
                </c:pt>
                <c:pt idx="24" formatCode="0">
                  <c:v>20.491803278688533</c:v>
                </c:pt>
              </c:numCache>
            </c:numRef>
          </c:val>
        </c:ser>
        <c:ser>
          <c:idx val="2"/>
          <c:order val="2"/>
          <c:tx>
            <c:strRef>
              <c:f>Sheet1!$D$1</c:f>
              <c:strCache>
                <c:ptCount val="1"/>
                <c:pt idx="0">
                  <c:v>Jā, vienreiz</c:v>
                </c:pt>
              </c:strCache>
            </c:strRef>
          </c:tx>
          <c:spPr>
            <a:solidFill>
              <a:srgbClr val="FFC000"/>
            </a:solidFill>
          </c:spPr>
          <c:invertIfNegative val="0"/>
          <c:dLbls>
            <c:showLegendKey val="0"/>
            <c:showVal val="1"/>
            <c:showCatName val="0"/>
            <c:showSerName val="0"/>
            <c:showPercent val="0"/>
            <c:showBubbleSize val="0"/>
            <c:showLeaderLines val="0"/>
          </c:dLbls>
          <c:cat>
            <c:strRef>
              <c:f>Sheet1!$A$2:$A$26</c:f>
              <c:strCache>
                <c:ptCount val="25"/>
                <c:pt idx="0">
                  <c:v>KOPĀ, n=349</c:v>
                </c:pt>
                <c:pt idx="1">
                  <c:v>DIBINĀŠANAS GADS*</c:v>
                </c:pt>
                <c:pt idx="2">
                  <c:v>Līdz 1991.gadam, n=33</c:v>
                </c:pt>
                <c:pt idx="3">
                  <c:v>1992.-2000.gads, n=132</c:v>
                </c:pt>
                <c:pt idx="4">
                  <c:v>2001.-2007.gads, n=101</c:v>
                </c:pt>
                <c:pt idx="5">
                  <c:v>2008.-2013.gads, n=83</c:v>
                </c:pt>
                <c:pt idx="6">
                  <c:v>DARBINIEKU SKAITS</c:v>
                </c:pt>
                <c:pt idx="7">
                  <c:v>1–9, n=234</c:v>
                </c:pt>
                <c:pt idx="8">
                  <c:v>10–19, n=44</c:v>
                </c:pt>
                <c:pt idx="9">
                  <c:v>20–49, n=31</c:v>
                </c:pt>
                <c:pt idx="10">
                  <c:v>50 un vairāk, n=40</c:v>
                </c:pt>
                <c:pt idx="11">
                  <c:v>NOZARE</c:v>
                </c:pt>
                <c:pt idx="12">
                  <c:v>Ražošanas un rūpniecības, n=25**</c:v>
                </c:pt>
                <c:pt idx="13">
                  <c:v>Tirdzniecības, n=60</c:v>
                </c:pt>
                <c:pt idx="14">
                  <c:v>Pakalpojumu, n=120</c:v>
                </c:pt>
                <c:pt idx="15">
                  <c:v>Būvniecības, n=32</c:v>
                </c:pt>
                <c:pt idx="16">
                  <c:v>Cits, n=112</c:v>
                </c:pt>
                <c:pt idx="17">
                  <c:v>APGROZĪJUMS 2012.GADĀ*</c:v>
                </c:pt>
                <c:pt idx="18">
                  <c:v>Līdz 50 000 LVL, n=155</c:v>
                </c:pt>
                <c:pt idx="19">
                  <c:v>50 001 – 100 000 LVL, n=53</c:v>
                </c:pt>
                <c:pt idx="20">
                  <c:v>100 001 – 500 000 LVL, n=74</c:v>
                </c:pt>
                <c:pt idx="21">
                  <c:v>Vairāk par 500 000 LVL, n=57</c:v>
                </c:pt>
                <c:pt idx="22">
                  <c:v>IEGULDĪJUMI PĒTNIECĪBAS JOMĀ PĒDĒJO 3 g. LAIKĀ</c:v>
                </c:pt>
                <c:pt idx="23">
                  <c:v>Jā, n=105</c:v>
                </c:pt>
                <c:pt idx="24">
                  <c:v>Nē, n=244</c:v>
                </c:pt>
              </c:strCache>
            </c:strRef>
          </c:cat>
          <c:val>
            <c:numRef>
              <c:f>Sheet1!$D$2:$D$26</c:f>
              <c:numCache>
                <c:formatCode>General</c:formatCode>
                <c:ptCount val="25"/>
                <c:pt idx="0" formatCode="0.0">
                  <c:v>9.455587392550159</c:v>
                </c:pt>
                <c:pt idx="3" formatCode="0">
                  <c:v>8.3333333333333357</c:v>
                </c:pt>
                <c:pt idx="4" formatCode="0">
                  <c:v>10.891089108910892</c:v>
                </c:pt>
                <c:pt idx="5" formatCode="0">
                  <c:v>13.253012048192771</c:v>
                </c:pt>
                <c:pt idx="7" formatCode="0">
                  <c:v>12.393162393162402</c:v>
                </c:pt>
                <c:pt idx="8" formatCode="0">
                  <c:v>4.5454545454545459</c:v>
                </c:pt>
                <c:pt idx="9" formatCode="0">
                  <c:v>6.4516129032258114</c:v>
                </c:pt>
                <c:pt idx="12" formatCode="0">
                  <c:v>12</c:v>
                </c:pt>
                <c:pt idx="13" formatCode="0">
                  <c:v>8.3333333333333357</c:v>
                </c:pt>
                <c:pt idx="14" formatCode="0">
                  <c:v>8.3333333333333357</c:v>
                </c:pt>
                <c:pt idx="15" formatCode="0">
                  <c:v>9.3750000000000124</c:v>
                </c:pt>
                <c:pt idx="16" formatCode="0">
                  <c:v>10.714285714285714</c:v>
                </c:pt>
                <c:pt idx="18" formatCode="0">
                  <c:v>13.548387096774183</c:v>
                </c:pt>
                <c:pt idx="19" formatCode="0">
                  <c:v>9.433962264150944</c:v>
                </c:pt>
                <c:pt idx="20" formatCode="0">
                  <c:v>8.1081081081080999</c:v>
                </c:pt>
                <c:pt idx="21" formatCode="0">
                  <c:v>1.7543859649122833</c:v>
                </c:pt>
                <c:pt idx="23" formatCode="0">
                  <c:v>7.6190476190476186</c:v>
                </c:pt>
                <c:pt idx="24" formatCode="0">
                  <c:v>10.245901639344266</c:v>
                </c:pt>
              </c:numCache>
            </c:numRef>
          </c:val>
        </c:ser>
        <c:ser>
          <c:idx val="3"/>
          <c:order val="3"/>
          <c:tx>
            <c:strRef>
              <c:f>Sheet1!$E$1</c:f>
              <c:strCache>
                <c:ptCount val="1"/>
                <c:pt idx="0">
                  <c:v>Nē</c:v>
                </c:pt>
              </c:strCache>
            </c:strRef>
          </c:tx>
          <c:spPr>
            <a:solidFill>
              <a:srgbClr val="F79646">
                <a:lumMod val="75000"/>
              </a:srgbClr>
            </a:solidFill>
          </c:spPr>
          <c:invertIfNegative val="0"/>
          <c:dLbls>
            <c:showLegendKey val="0"/>
            <c:showVal val="1"/>
            <c:showCatName val="0"/>
            <c:showSerName val="0"/>
            <c:showPercent val="0"/>
            <c:showBubbleSize val="0"/>
            <c:showLeaderLines val="0"/>
          </c:dLbls>
          <c:cat>
            <c:strRef>
              <c:f>Sheet1!$A$2:$A$26</c:f>
              <c:strCache>
                <c:ptCount val="25"/>
                <c:pt idx="0">
                  <c:v>KOPĀ, n=349</c:v>
                </c:pt>
                <c:pt idx="1">
                  <c:v>DIBINĀŠANAS GADS*</c:v>
                </c:pt>
                <c:pt idx="2">
                  <c:v>Līdz 1991.gadam, n=33</c:v>
                </c:pt>
                <c:pt idx="3">
                  <c:v>1992.-2000.gads, n=132</c:v>
                </c:pt>
                <c:pt idx="4">
                  <c:v>2001.-2007.gads, n=101</c:v>
                </c:pt>
                <c:pt idx="5">
                  <c:v>2008.-2013.gads, n=83</c:v>
                </c:pt>
                <c:pt idx="6">
                  <c:v>DARBINIEKU SKAITS</c:v>
                </c:pt>
                <c:pt idx="7">
                  <c:v>1–9, n=234</c:v>
                </c:pt>
                <c:pt idx="8">
                  <c:v>10–19, n=44</c:v>
                </c:pt>
                <c:pt idx="9">
                  <c:v>20–49, n=31</c:v>
                </c:pt>
                <c:pt idx="10">
                  <c:v>50 un vairāk, n=40</c:v>
                </c:pt>
                <c:pt idx="11">
                  <c:v>NOZARE</c:v>
                </c:pt>
                <c:pt idx="12">
                  <c:v>Ražošanas un rūpniecības, n=25**</c:v>
                </c:pt>
                <c:pt idx="13">
                  <c:v>Tirdzniecības, n=60</c:v>
                </c:pt>
                <c:pt idx="14">
                  <c:v>Pakalpojumu, n=120</c:v>
                </c:pt>
                <c:pt idx="15">
                  <c:v>Būvniecības, n=32</c:v>
                </c:pt>
                <c:pt idx="16">
                  <c:v>Cits, n=112</c:v>
                </c:pt>
                <c:pt idx="17">
                  <c:v>APGROZĪJUMS 2012.GADĀ*</c:v>
                </c:pt>
                <c:pt idx="18">
                  <c:v>Līdz 50 000 LVL, n=155</c:v>
                </c:pt>
                <c:pt idx="19">
                  <c:v>50 001 – 100 000 LVL, n=53</c:v>
                </c:pt>
                <c:pt idx="20">
                  <c:v>100 001 – 500 000 LVL, n=74</c:v>
                </c:pt>
                <c:pt idx="21">
                  <c:v>Vairāk par 500 000 LVL, n=57</c:v>
                </c:pt>
                <c:pt idx="22">
                  <c:v>IEGULDĪJUMI PĒTNIECĪBAS JOMĀ PĒDĒJO 3 g. LAIKĀ</c:v>
                </c:pt>
                <c:pt idx="23">
                  <c:v>Jā, n=105</c:v>
                </c:pt>
                <c:pt idx="24">
                  <c:v>Nē, n=244</c:v>
                </c:pt>
              </c:strCache>
            </c:strRef>
          </c:cat>
          <c:val>
            <c:numRef>
              <c:f>Sheet1!$E$2:$E$26</c:f>
              <c:numCache>
                <c:formatCode>General</c:formatCode>
                <c:ptCount val="25"/>
                <c:pt idx="0" formatCode="0">
                  <c:v>57.306590257879655</c:v>
                </c:pt>
                <c:pt idx="2" formatCode="0">
                  <c:v>36.363636363636289</c:v>
                </c:pt>
                <c:pt idx="3" formatCode="0">
                  <c:v>62.121212121212125</c:v>
                </c:pt>
                <c:pt idx="4" formatCode="0">
                  <c:v>63.366336633663344</c:v>
                </c:pt>
                <c:pt idx="5" formatCode="0">
                  <c:v>50.602409638554256</c:v>
                </c:pt>
                <c:pt idx="7" formatCode="0">
                  <c:v>57.264957264957268</c:v>
                </c:pt>
                <c:pt idx="8" formatCode="0">
                  <c:v>54.545454545454547</c:v>
                </c:pt>
                <c:pt idx="9" formatCode="0">
                  <c:v>61.29032258064516</c:v>
                </c:pt>
                <c:pt idx="10" formatCode="0">
                  <c:v>57.5</c:v>
                </c:pt>
                <c:pt idx="12" formatCode="0">
                  <c:v>40</c:v>
                </c:pt>
                <c:pt idx="13" formatCode="0">
                  <c:v>56.666666666666579</c:v>
                </c:pt>
                <c:pt idx="14" formatCode="0">
                  <c:v>58.333333333333336</c:v>
                </c:pt>
                <c:pt idx="15" formatCode="0">
                  <c:v>68.75</c:v>
                </c:pt>
                <c:pt idx="16" formatCode="0">
                  <c:v>57.142857142857153</c:v>
                </c:pt>
                <c:pt idx="18" formatCode="0">
                  <c:v>54.838709677419345</c:v>
                </c:pt>
                <c:pt idx="19" formatCode="0">
                  <c:v>62.264150943396231</c:v>
                </c:pt>
                <c:pt idx="20" formatCode="0">
                  <c:v>56.756756756756758</c:v>
                </c:pt>
                <c:pt idx="21" formatCode="0">
                  <c:v>63.157894736842024</c:v>
                </c:pt>
                <c:pt idx="23" formatCode="0">
                  <c:v>29.523809523809533</c:v>
                </c:pt>
                <c:pt idx="24" formatCode="0">
                  <c:v>69.262295081967366</c:v>
                </c:pt>
              </c:numCache>
            </c:numRef>
          </c:val>
        </c:ser>
        <c:ser>
          <c:idx val="0"/>
          <c:order val="0"/>
          <c:tx>
            <c:strRef>
              <c:f>Sheet1!$B$1</c:f>
              <c:strCache>
                <c:ptCount val="1"/>
                <c:pt idx="0">
                  <c:v>Column12</c:v>
                </c:pt>
              </c:strCache>
            </c:strRef>
          </c:tx>
          <c:spPr>
            <a:solidFill>
              <a:srgbClr val="9BBB59">
                <a:lumMod val="75000"/>
              </a:srgbClr>
            </a:solidFill>
            <a:ln>
              <a:noFill/>
            </a:ln>
          </c:spPr>
          <c:invertIfNegative val="0"/>
          <c:dPt>
            <c:idx val="1"/>
            <c:invertIfNegative val="0"/>
            <c:bubble3D val="0"/>
            <c:spPr>
              <a:solidFill>
                <a:srgbClr val="9BBB59"/>
              </a:solidFill>
              <a:ln>
                <a:noFill/>
              </a:ln>
            </c:spPr>
          </c:dPt>
          <c:dPt>
            <c:idx val="2"/>
            <c:invertIfNegative val="0"/>
            <c:bubble3D val="0"/>
            <c:spPr>
              <a:solidFill>
                <a:srgbClr val="FFC000"/>
              </a:solidFill>
              <a:ln>
                <a:noFill/>
              </a:ln>
            </c:spPr>
          </c:dPt>
          <c:dPt>
            <c:idx val="3"/>
            <c:invertIfNegative val="0"/>
            <c:bubble3D val="0"/>
            <c:spPr>
              <a:solidFill>
                <a:srgbClr val="F79646">
                  <a:lumMod val="75000"/>
                </a:srgbClr>
              </a:solidFill>
              <a:ln>
                <a:noFill/>
              </a:ln>
            </c:spPr>
          </c:dPt>
          <c:dPt>
            <c:idx val="4"/>
            <c:invertIfNegative val="0"/>
            <c:bubble3D val="0"/>
            <c:spPr>
              <a:solidFill>
                <a:sysClr val="window" lastClr="FFFFFF">
                  <a:lumMod val="75000"/>
                </a:sysClr>
              </a:solidFill>
              <a:ln>
                <a:noFill/>
              </a:ln>
            </c:spPr>
          </c:dPt>
          <c:dLbls>
            <c:showLegendKey val="0"/>
            <c:showVal val="1"/>
            <c:showCatName val="0"/>
            <c:showSerName val="0"/>
            <c:showPercent val="0"/>
            <c:showBubbleSize val="0"/>
            <c:showLeaderLines val="0"/>
          </c:dLbls>
          <c:cat>
            <c:strRef>
              <c:f>Sheet1!$A$2:$A$26</c:f>
              <c:strCache>
                <c:ptCount val="25"/>
                <c:pt idx="0">
                  <c:v>KOPĀ, n=349</c:v>
                </c:pt>
                <c:pt idx="1">
                  <c:v>DIBINĀŠANAS GADS*</c:v>
                </c:pt>
                <c:pt idx="2">
                  <c:v>Līdz 1991.gadam, n=33</c:v>
                </c:pt>
                <c:pt idx="3">
                  <c:v>1992.-2000.gads, n=132</c:v>
                </c:pt>
                <c:pt idx="4">
                  <c:v>2001.-2007.gads, n=101</c:v>
                </c:pt>
                <c:pt idx="5">
                  <c:v>2008.-2013.gads, n=83</c:v>
                </c:pt>
                <c:pt idx="6">
                  <c:v>DARBINIEKU SKAITS</c:v>
                </c:pt>
                <c:pt idx="7">
                  <c:v>1–9, n=234</c:v>
                </c:pt>
                <c:pt idx="8">
                  <c:v>10–19, n=44</c:v>
                </c:pt>
                <c:pt idx="9">
                  <c:v>20–49, n=31</c:v>
                </c:pt>
                <c:pt idx="10">
                  <c:v>50 un vairāk, n=40</c:v>
                </c:pt>
                <c:pt idx="11">
                  <c:v>NOZARE</c:v>
                </c:pt>
                <c:pt idx="12">
                  <c:v>Ražošanas un rūpniecības, n=25**</c:v>
                </c:pt>
                <c:pt idx="13">
                  <c:v>Tirdzniecības, n=60</c:v>
                </c:pt>
                <c:pt idx="14">
                  <c:v>Pakalpojumu, n=120</c:v>
                </c:pt>
                <c:pt idx="15">
                  <c:v>Būvniecības, n=32</c:v>
                </c:pt>
                <c:pt idx="16">
                  <c:v>Cits, n=112</c:v>
                </c:pt>
                <c:pt idx="17">
                  <c:v>APGROZĪJUMS 2012.GADĀ*</c:v>
                </c:pt>
                <c:pt idx="18">
                  <c:v>Līdz 50 000 LVL, n=155</c:v>
                </c:pt>
                <c:pt idx="19">
                  <c:v>50 001 – 100 000 LVL, n=53</c:v>
                </c:pt>
                <c:pt idx="20">
                  <c:v>100 001 – 500 000 LVL, n=74</c:v>
                </c:pt>
                <c:pt idx="21">
                  <c:v>Vairāk par 500 000 LVL, n=57</c:v>
                </c:pt>
                <c:pt idx="22">
                  <c:v>IEGULDĪJUMI PĒTNIECĪBAS JOMĀ PĒDĒJO 3 g. LAIKĀ</c:v>
                </c:pt>
                <c:pt idx="23">
                  <c:v>Jā, n=105</c:v>
                </c:pt>
                <c:pt idx="24">
                  <c:v>Nē, n=244</c:v>
                </c:pt>
              </c:strCache>
            </c:strRef>
          </c:cat>
          <c:val>
            <c:numRef>
              <c:f>Sheet1!$B$2:$B$26</c:f>
              <c:numCache>
                <c:formatCode>General</c:formatCode>
                <c:ptCount val="25"/>
              </c:numCache>
            </c:numRef>
          </c:val>
        </c:ser>
        <c:dLbls>
          <c:showLegendKey val="0"/>
          <c:showVal val="0"/>
          <c:showCatName val="0"/>
          <c:showSerName val="0"/>
          <c:showPercent val="0"/>
          <c:showBubbleSize val="0"/>
        </c:dLbls>
        <c:gapWidth val="50"/>
        <c:overlap val="100"/>
        <c:axId val="209732352"/>
        <c:axId val="209071104"/>
      </c:barChart>
      <c:valAx>
        <c:axId val="209071104"/>
        <c:scaling>
          <c:orientation val="minMax"/>
        </c:scaling>
        <c:delete val="1"/>
        <c:axPos val="t"/>
        <c:numFmt formatCode="0%" sourceLinked="1"/>
        <c:majorTickMark val="out"/>
        <c:minorTickMark val="none"/>
        <c:tickLblPos val="none"/>
        <c:crossAx val="209732352"/>
        <c:crosses val="autoZero"/>
        <c:crossBetween val="between"/>
      </c:valAx>
      <c:catAx>
        <c:axId val="209732352"/>
        <c:scaling>
          <c:orientation val="maxMin"/>
        </c:scaling>
        <c:delete val="0"/>
        <c:axPos val="l"/>
        <c:majorTickMark val="out"/>
        <c:minorTickMark val="none"/>
        <c:tickLblPos val="nextTo"/>
        <c:crossAx val="209071104"/>
        <c:crosses val="autoZero"/>
        <c:auto val="1"/>
        <c:lblAlgn val="ctr"/>
        <c:lblOffset val="100"/>
        <c:noMultiLvlLbl val="0"/>
      </c:catAx>
    </c:plotArea>
    <c:legend>
      <c:legendPos val="t"/>
      <c:legendEntry>
        <c:idx val="3"/>
        <c:delete val="1"/>
      </c:legendEntry>
      <c:layout>
        <c:manualLayout>
          <c:xMode val="edge"/>
          <c:yMode val="edge"/>
          <c:x val="0.44600534980974282"/>
          <c:y val="6.9007890867574154E-2"/>
          <c:w val="0.40974586310682481"/>
          <c:h val="3.2047985086559649E-2"/>
        </c:manualLayout>
      </c:layout>
      <c:overlay val="0"/>
    </c:legend>
    <c:plotVisOnly val="1"/>
    <c:dispBlanksAs val="gap"/>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Kāds  ir aptuvenais finansējuma apmērs latos, kurš būtu bijis nepieciešams jūsu uzņēmumam? (%)</a:t>
            </a:r>
            <a:endParaRPr lang="en-US" sz="1050"/>
          </a:p>
        </c:rich>
      </c:tx>
      <c:layout>
        <c:manualLayout>
          <c:xMode val="edge"/>
          <c:yMode val="edge"/>
          <c:x val="0.11870281765018607"/>
          <c:y val="2.6069014100510192E-2"/>
        </c:manualLayout>
      </c:layout>
      <c:overlay val="0"/>
    </c:title>
    <c:autoTitleDeleted val="0"/>
    <c:plotArea>
      <c:layout>
        <c:manualLayout>
          <c:layoutTarget val="inner"/>
          <c:xMode val="edge"/>
          <c:yMode val="edge"/>
          <c:x val="0.45745595197729488"/>
          <c:y val="0.13900092677094608"/>
          <c:w val="0.35351408825093067"/>
          <c:h val="0.74780284539904263"/>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Sheet1!$A$2:$A$11</c:f>
              <c:strCache>
                <c:ptCount val="10"/>
                <c:pt idx="0">
                  <c:v>1 000 LVL un mazāk</c:v>
                </c:pt>
                <c:pt idx="1">
                  <c:v>1 001 - 2 000 LVL</c:v>
                </c:pt>
                <c:pt idx="2">
                  <c:v>2 001 - 3 000 LVL</c:v>
                </c:pt>
                <c:pt idx="3">
                  <c:v>3 001 - 5 000 LVL</c:v>
                </c:pt>
                <c:pt idx="4">
                  <c:v>5 001 - 10 000 LVL</c:v>
                </c:pt>
                <c:pt idx="5">
                  <c:v>10 001 - 20 000 LVL</c:v>
                </c:pt>
                <c:pt idx="6">
                  <c:v>20 001 - 50 000 LVL</c:v>
                </c:pt>
                <c:pt idx="7">
                  <c:v>50 001 - 100 000 LVL</c:v>
                </c:pt>
                <c:pt idx="8">
                  <c:v>100 001 - 500 000 LVL</c:v>
                </c:pt>
                <c:pt idx="9">
                  <c:v>500 001 LVL un vairāk</c:v>
                </c:pt>
              </c:strCache>
            </c:strRef>
          </c:cat>
          <c:val>
            <c:numRef>
              <c:f>Sheet1!$B$2:$B$11</c:f>
              <c:numCache>
                <c:formatCode>0</c:formatCode>
                <c:ptCount val="10"/>
                <c:pt idx="0">
                  <c:v>8.8235294117647065</c:v>
                </c:pt>
                <c:pt idx="1">
                  <c:v>7.3529411764705834</c:v>
                </c:pt>
                <c:pt idx="2">
                  <c:v>5.8823529411764675</c:v>
                </c:pt>
                <c:pt idx="3">
                  <c:v>10.294117647058814</c:v>
                </c:pt>
                <c:pt idx="4">
                  <c:v>18.382352941176453</c:v>
                </c:pt>
                <c:pt idx="5">
                  <c:v>10.294117647058814</c:v>
                </c:pt>
                <c:pt idx="6">
                  <c:v>14.705882352941176</c:v>
                </c:pt>
                <c:pt idx="7">
                  <c:v>11.029411764705873</c:v>
                </c:pt>
                <c:pt idx="8">
                  <c:v>7.3529411764705834</c:v>
                </c:pt>
                <c:pt idx="9">
                  <c:v>5.8823529411764675</c:v>
                </c:pt>
              </c:numCache>
            </c:numRef>
          </c:val>
        </c:ser>
        <c:dLbls>
          <c:showLegendKey val="0"/>
          <c:showVal val="0"/>
          <c:showCatName val="0"/>
          <c:showSerName val="0"/>
          <c:showPercent val="0"/>
          <c:showBubbleSize val="0"/>
        </c:dLbls>
        <c:gapWidth val="50"/>
        <c:axId val="209770368"/>
        <c:axId val="209771904"/>
      </c:barChart>
      <c:catAx>
        <c:axId val="209770368"/>
        <c:scaling>
          <c:orientation val="maxMin"/>
        </c:scaling>
        <c:delete val="0"/>
        <c:axPos val="l"/>
        <c:majorTickMark val="out"/>
        <c:minorTickMark val="none"/>
        <c:tickLblPos val="nextTo"/>
        <c:txPr>
          <a:bodyPr/>
          <a:lstStyle/>
          <a:p>
            <a:pPr>
              <a:defRPr sz="1000"/>
            </a:pPr>
            <a:endParaRPr lang="lv-LV"/>
          </a:p>
        </c:txPr>
        <c:crossAx val="209771904"/>
        <c:crosses val="autoZero"/>
        <c:auto val="1"/>
        <c:lblAlgn val="ctr"/>
        <c:lblOffset val="100"/>
        <c:noMultiLvlLbl val="0"/>
      </c:catAx>
      <c:valAx>
        <c:axId val="209771904"/>
        <c:scaling>
          <c:orientation val="minMax"/>
          <c:max val="100"/>
          <c:min val="0"/>
        </c:scaling>
        <c:delete val="1"/>
        <c:axPos val="t"/>
        <c:numFmt formatCode="0" sourceLinked="1"/>
        <c:majorTickMark val="out"/>
        <c:minorTickMark val="none"/>
        <c:tickLblPos val="none"/>
        <c:crossAx val="209770368"/>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jūsu uzņēmums plāno veikt ieguldījumus pētniecībā un attīstībā (izstrādē) tuvāko trīs gadu laikā (2013.-2015.)? (%)</a:t>
            </a:r>
            <a:endParaRPr lang="en-US" sz="1050"/>
          </a:p>
        </c:rich>
      </c:tx>
      <c:layout>
        <c:manualLayout>
          <c:xMode val="edge"/>
          <c:yMode val="edge"/>
          <c:x val="0.11084521133422916"/>
          <c:y val="2.1634342687029996E-2"/>
        </c:manualLayout>
      </c:layout>
      <c:overlay val="0"/>
    </c:title>
    <c:autoTitleDeleted val="0"/>
    <c:plotArea>
      <c:layout>
        <c:manualLayout>
          <c:layoutTarget val="inner"/>
          <c:xMode val="edge"/>
          <c:yMode val="edge"/>
          <c:x val="0.37056432539234102"/>
          <c:y val="0.20709595095079536"/>
          <c:w val="0.2812121212121213"/>
          <c:h val="0.76995633187772927"/>
        </c:manualLayout>
      </c:layout>
      <c:pieChart>
        <c:varyColors val="1"/>
        <c:ser>
          <c:idx val="0"/>
          <c:order val="0"/>
          <c:tx>
            <c:strRef>
              <c:f>Sheet1!$B$1</c:f>
              <c:strCache>
                <c:ptCount val="1"/>
                <c:pt idx="0">
                  <c:v>Series 1</c:v>
                </c:pt>
              </c:strCache>
            </c:strRef>
          </c:tx>
          <c:spPr>
            <a:solidFill>
              <a:srgbClr val="9BBB59">
                <a:lumMod val="75000"/>
              </a:srgbClr>
            </a:solidFill>
            <a:ln>
              <a:noFill/>
            </a:ln>
          </c:spPr>
          <c:dPt>
            <c:idx val="1"/>
            <c:bubble3D val="0"/>
            <c:spPr>
              <a:solidFill>
                <a:srgbClr val="9BBB59"/>
              </a:solidFill>
              <a:ln>
                <a:noFill/>
              </a:ln>
            </c:spPr>
          </c:dPt>
          <c:dPt>
            <c:idx val="2"/>
            <c:bubble3D val="0"/>
            <c:spPr>
              <a:solidFill>
                <a:srgbClr val="FFC000"/>
              </a:solidFill>
              <a:ln>
                <a:noFill/>
              </a:ln>
            </c:spPr>
          </c:dPt>
          <c:dPt>
            <c:idx val="3"/>
            <c:bubble3D val="0"/>
            <c:spPr>
              <a:solidFill>
                <a:srgbClr val="F79646">
                  <a:lumMod val="75000"/>
                </a:srgbClr>
              </a:solidFill>
              <a:ln>
                <a:noFill/>
              </a:ln>
            </c:spPr>
          </c:dPt>
          <c:dPt>
            <c:idx val="4"/>
            <c:bubble3D val="0"/>
            <c:spPr>
              <a:solidFill>
                <a:sysClr val="window" lastClr="FFFFFF">
                  <a:lumMod val="75000"/>
                </a:sysClr>
              </a:solidFill>
              <a:ln>
                <a:noFill/>
              </a:ln>
            </c:spPr>
          </c:dPt>
          <c:dLbls>
            <c:dLbl>
              <c:idx val="0"/>
              <c:layout>
                <c:manualLayout>
                  <c:x val="-6.0995198566686344E-2"/>
                  <c:y val="0.15202733886452144"/>
                </c:manualLayout>
              </c:layout>
              <c:numFmt formatCode="0%" sourceLinked="0"/>
              <c:spPr/>
              <c:txPr>
                <a:bodyPr/>
                <a:lstStyle/>
                <a:p>
                  <a:pPr>
                    <a:defRPr/>
                  </a:pPr>
                  <a:endParaRPr lang="lv-LV"/>
                </a:p>
              </c:txPr>
              <c:dLblPos val="bestFit"/>
              <c:showLegendKey val="0"/>
              <c:showVal val="0"/>
              <c:showCatName val="1"/>
              <c:showSerName val="0"/>
              <c:showPercent val="1"/>
              <c:showBubbleSize val="0"/>
            </c:dLbl>
            <c:dLbl>
              <c:idx val="1"/>
              <c:layout>
                <c:manualLayout>
                  <c:x val="-9.8060086986734366E-2"/>
                  <c:y val="6.6385175007486474E-2"/>
                </c:manualLayout>
              </c:layout>
              <c:dLblPos val="bestFit"/>
              <c:showLegendKey val="0"/>
              <c:showVal val="0"/>
              <c:showCatName val="1"/>
              <c:showSerName val="0"/>
              <c:showPercent val="1"/>
              <c:showBubbleSize val="0"/>
            </c:dLbl>
            <c:dLbl>
              <c:idx val="2"/>
              <c:layout>
                <c:manualLayout>
                  <c:x val="-4.8089850012767471E-2"/>
                  <c:y val="-0.15915059275308707"/>
                </c:manualLayout>
              </c:layout>
              <c:dLblPos val="bestFit"/>
              <c:showLegendKey val="0"/>
              <c:showVal val="0"/>
              <c:showCatName val="1"/>
              <c:showSerName val="0"/>
              <c:showPercent val="1"/>
              <c:showBubbleSize val="0"/>
            </c:dLbl>
            <c:dLbl>
              <c:idx val="3"/>
              <c:layout>
                <c:manualLayout>
                  <c:x val="0.11224034794693737"/>
                  <c:y val="-7.1372756257816833E-2"/>
                </c:manualLayout>
              </c:layout>
              <c:dLblPos val="bestFit"/>
              <c:showLegendKey val="0"/>
              <c:showVal val="0"/>
              <c:showCatName val="1"/>
              <c:showSerName val="0"/>
              <c:showPercent val="1"/>
              <c:showBubbleSize val="0"/>
            </c:dLbl>
            <c:dLbl>
              <c:idx val="4"/>
              <c:layout>
                <c:manualLayout>
                  <c:x val="0.10400599446600287"/>
                  <c:y val="0.18399549049657427"/>
                </c:manualLayout>
              </c:layout>
              <c:dLblPos val="bestFit"/>
              <c:showLegendKey val="0"/>
              <c:showVal val="0"/>
              <c:showCatName val="1"/>
              <c:showSerName val="0"/>
              <c:showPercent val="1"/>
              <c:showBubbleSize val="0"/>
            </c:dLbl>
            <c:dLblPos val="ctr"/>
            <c:showLegendKey val="0"/>
            <c:showVal val="0"/>
            <c:showCatName val="1"/>
            <c:showSerName val="0"/>
            <c:showPercent val="1"/>
            <c:showBubbleSize val="0"/>
            <c:showLeaderLines val="1"/>
          </c:dLbls>
          <c:cat>
            <c:strRef>
              <c:f>Sheet1!$A$2:$A$6</c:f>
              <c:strCache>
                <c:ptCount val="5"/>
                <c:pt idx="0">
                  <c:v>Noteikti jā</c:v>
                </c:pt>
                <c:pt idx="1">
                  <c:v>Drīzāk jā</c:v>
                </c:pt>
                <c:pt idx="2">
                  <c:v>Drīzāk nē</c:v>
                </c:pt>
                <c:pt idx="3">
                  <c:v>Noteikti nē</c:v>
                </c:pt>
                <c:pt idx="4">
                  <c:v>Grūti pateikt</c:v>
                </c:pt>
              </c:strCache>
            </c:strRef>
          </c:cat>
          <c:val>
            <c:numRef>
              <c:f>Sheet1!$B$2:$B$6</c:f>
              <c:numCache>
                <c:formatCode>0</c:formatCode>
                <c:ptCount val="5"/>
                <c:pt idx="0">
                  <c:v>11.815561959654179</c:v>
                </c:pt>
                <c:pt idx="1">
                  <c:v>18.731988472622504</c:v>
                </c:pt>
                <c:pt idx="2">
                  <c:v>31.988472622478369</c:v>
                </c:pt>
                <c:pt idx="3">
                  <c:v>12.68011527377522</c:v>
                </c:pt>
                <c:pt idx="4">
                  <c:v>24.783861671469726</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Novērtējiet, cik būtiska jūsu uzņēmuma darbībā ir pētniecība un attīstība? (%)</a:t>
            </a:r>
            <a:endParaRPr lang="en-US" sz="1050"/>
          </a:p>
        </c:rich>
      </c:tx>
      <c:layout>
        <c:manualLayout>
          <c:xMode val="edge"/>
          <c:yMode val="edge"/>
          <c:x val="0.15743945882362825"/>
          <c:y val="2.4089215922245583E-2"/>
        </c:manualLayout>
      </c:layout>
      <c:overlay val="0"/>
    </c:title>
    <c:autoTitleDeleted val="0"/>
    <c:plotArea>
      <c:layout>
        <c:manualLayout>
          <c:layoutTarget val="inner"/>
          <c:xMode val="edge"/>
          <c:yMode val="edge"/>
          <c:x val="0.35780515473843283"/>
          <c:y val="0.14110373757865419"/>
          <c:w val="0.28759170653907495"/>
          <c:h val="0.78742358078602526"/>
        </c:manualLayout>
      </c:layout>
      <c:pieChart>
        <c:varyColors val="1"/>
        <c:ser>
          <c:idx val="0"/>
          <c:order val="0"/>
          <c:tx>
            <c:strRef>
              <c:f>Sheet1!$B$1</c:f>
              <c:strCache>
                <c:ptCount val="1"/>
                <c:pt idx="0">
                  <c:v>Series 1</c:v>
                </c:pt>
              </c:strCache>
            </c:strRef>
          </c:tx>
          <c:spPr>
            <a:solidFill>
              <a:srgbClr val="9BBB59">
                <a:lumMod val="75000"/>
              </a:srgbClr>
            </a:solidFill>
            <a:ln>
              <a:noFill/>
            </a:ln>
          </c:spPr>
          <c:dPt>
            <c:idx val="1"/>
            <c:bubble3D val="0"/>
            <c:spPr>
              <a:solidFill>
                <a:srgbClr val="9BBB59"/>
              </a:solidFill>
              <a:ln>
                <a:noFill/>
              </a:ln>
            </c:spPr>
          </c:dPt>
          <c:dPt>
            <c:idx val="2"/>
            <c:bubble3D val="0"/>
            <c:spPr>
              <a:solidFill>
                <a:srgbClr val="FFC000"/>
              </a:solidFill>
              <a:ln>
                <a:noFill/>
              </a:ln>
            </c:spPr>
          </c:dPt>
          <c:dPt>
            <c:idx val="3"/>
            <c:bubble3D val="0"/>
            <c:spPr>
              <a:solidFill>
                <a:srgbClr val="F79646">
                  <a:lumMod val="75000"/>
                </a:srgbClr>
              </a:solidFill>
              <a:ln>
                <a:noFill/>
              </a:ln>
            </c:spPr>
          </c:dPt>
          <c:dPt>
            <c:idx val="4"/>
            <c:bubble3D val="0"/>
            <c:spPr>
              <a:solidFill>
                <a:sysClr val="window" lastClr="FFFFFF">
                  <a:lumMod val="75000"/>
                </a:sysClr>
              </a:solidFill>
              <a:ln>
                <a:noFill/>
              </a:ln>
            </c:spPr>
          </c:dPt>
          <c:dLbls>
            <c:dLbl>
              <c:idx val="0"/>
              <c:layout>
                <c:manualLayout>
                  <c:x val="-2.2095970061158664E-2"/>
                  <c:y val="0.18322731492624578"/>
                </c:manualLayout>
              </c:layout>
              <c:showLegendKey val="0"/>
              <c:showVal val="0"/>
              <c:showCatName val="1"/>
              <c:showSerName val="0"/>
              <c:showPercent val="1"/>
              <c:showBubbleSize val="0"/>
            </c:dLbl>
            <c:dLbl>
              <c:idx val="4"/>
              <c:layout>
                <c:manualLayout>
                  <c:x val="9.501429546187122E-2"/>
                  <c:y val="0.24022556132448508"/>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Sheet1!$A$2:$A$6</c:f>
              <c:strCache>
                <c:ptCount val="5"/>
                <c:pt idx="0">
                  <c:v>Izšķiroša</c:v>
                </c:pt>
                <c:pt idx="1">
                  <c:v>Ļoti būtiska</c:v>
                </c:pt>
                <c:pt idx="2">
                  <c:v>Mazsvarīga</c:v>
                </c:pt>
                <c:pt idx="3">
                  <c:v>Nebūtiska</c:v>
                </c:pt>
                <c:pt idx="4">
                  <c:v>Grūti pateikt</c:v>
                </c:pt>
              </c:strCache>
            </c:strRef>
          </c:cat>
          <c:val>
            <c:numRef>
              <c:f>Sheet1!$B$2:$B$6</c:f>
              <c:numCache>
                <c:formatCode>0</c:formatCode>
                <c:ptCount val="5"/>
                <c:pt idx="0">
                  <c:v>5.0724637681159415</c:v>
                </c:pt>
                <c:pt idx="1">
                  <c:v>33.333333333333336</c:v>
                </c:pt>
                <c:pt idx="2">
                  <c:v>23.67149758454104</c:v>
                </c:pt>
                <c:pt idx="3">
                  <c:v>18.357487922705314</c:v>
                </c:pt>
                <c:pt idx="4">
                  <c:v>19.565217391304316</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jūsu uzņēmums plāno veikt ieguldījumus pētniecībā un attīstībā (izstrādē) tuvāko trīs gadu laikā (2013.-2015.)? (%)</a:t>
            </a:r>
            <a:endParaRPr lang="en-US" sz="1050"/>
          </a:p>
        </c:rich>
      </c:tx>
      <c:layout>
        <c:manualLayout>
          <c:xMode val="edge"/>
          <c:yMode val="edge"/>
          <c:x val="0.11065583309263367"/>
          <c:y val="1.2257849791248004E-2"/>
        </c:manualLayout>
      </c:layout>
      <c:overlay val="0"/>
    </c:title>
    <c:autoTitleDeleted val="0"/>
    <c:plotArea>
      <c:layout>
        <c:manualLayout>
          <c:layoutTarget val="inner"/>
          <c:xMode val="edge"/>
          <c:yMode val="edge"/>
          <c:x val="0.49390297504678005"/>
          <c:y val="0.10135726347728079"/>
          <c:w val="0.43006911217437532"/>
          <c:h val="0.80308767496187794"/>
        </c:manualLayout>
      </c:layout>
      <c:barChart>
        <c:barDir val="bar"/>
        <c:grouping val="percentStacked"/>
        <c:varyColors val="0"/>
        <c:ser>
          <c:idx val="1"/>
          <c:order val="1"/>
          <c:tx>
            <c:strRef>
              <c:f>Sheet1!$C$1</c:f>
              <c:strCache>
                <c:ptCount val="1"/>
                <c:pt idx="0">
                  <c:v>Noteikti jā</c:v>
                </c:pt>
              </c:strCache>
            </c:strRef>
          </c:tx>
          <c:spPr>
            <a:solidFill>
              <a:srgbClr val="9BBB59">
                <a:lumMod val="75000"/>
              </a:srgbClr>
            </a:solidFill>
          </c:spPr>
          <c:invertIfNegative val="0"/>
          <c:dLbls>
            <c:dLblPos val="ctr"/>
            <c:showLegendKey val="0"/>
            <c:showVal val="1"/>
            <c:showCatName val="0"/>
            <c:showSerName val="0"/>
            <c:showPercent val="0"/>
            <c:showBubbleSize val="0"/>
            <c:showLeaderLines val="0"/>
          </c:dLbls>
          <c:cat>
            <c:strRef>
              <c:f>Sheet1!$A$2:$A$26</c:f>
              <c:strCache>
                <c:ptCount val="25"/>
                <c:pt idx="0">
                  <c:v>KOPĀ, n=347</c:v>
                </c:pt>
                <c:pt idx="1">
                  <c:v>DIBINĀŠANAS GADS*</c:v>
                </c:pt>
                <c:pt idx="2">
                  <c:v>Līdz 1991.gadam, n=33</c:v>
                </c:pt>
                <c:pt idx="3">
                  <c:v>1992.-2000.gads, n=131</c:v>
                </c:pt>
                <c:pt idx="4">
                  <c:v>2001.-2007.gads, n=100</c:v>
                </c:pt>
                <c:pt idx="5">
                  <c:v>2008.-2013.gads, n=83</c:v>
                </c:pt>
                <c:pt idx="6">
                  <c:v>DARBINIEKU SKAITS</c:v>
                </c:pt>
                <c:pt idx="7">
                  <c:v>1–9, n=233</c:v>
                </c:pt>
                <c:pt idx="8">
                  <c:v>10–19, n=44</c:v>
                </c:pt>
                <c:pt idx="9">
                  <c:v>20–49, n=30</c:v>
                </c:pt>
                <c:pt idx="10">
                  <c:v>50 un vairāk, n=40</c:v>
                </c:pt>
                <c:pt idx="11">
                  <c:v>NOZARE</c:v>
                </c:pt>
                <c:pt idx="12">
                  <c:v>Ražošanas un rūpniecības, n=25**</c:v>
                </c:pt>
                <c:pt idx="13">
                  <c:v>Tirdzniecības, n=60</c:v>
                </c:pt>
                <c:pt idx="14">
                  <c:v>Pakalpojumu, n=119</c:v>
                </c:pt>
                <c:pt idx="15">
                  <c:v>Būvniecības, n=32</c:v>
                </c:pt>
                <c:pt idx="16">
                  <c:v>Cits, n=111</c:v>
                </c:pt>
                <c:pt idx="17">
                  <c:v>APGROZĪJUMS 2012.GADĀ*</c:v>
                </c:pt>
                <c:pt idx="18">
                  <c:v>Līdz 50 000 LVL, n=155</c:v>
                </c:pt>
                <c:pt idx="19">
                  <c:v>50 001 – 100 000 LVL, n=53</c:v>
                </c:pt>
                <c:pt idx="20">
                  <c:v>100 001 – 500 000 LVL, n=73</c:v>
                </c:pt>
                <c:pt idx="21">
                  <c:v>Vairāk par 500 000 LVL, n=57</c:v>
                </c:pt>
                <c:pt idx="22">
                  <c:v>IEGULDĪJUMI PĒTNIECĪBAS JOMĀ PĒDĒJO 3 g. LAIKĀ</c:v>
                </c:pt>
                <c:pt idx="23">
                  <c:v>Jā, n=104</c:v>
                </c:pt>
                <c:pt idx="24">
                  <c:v>Nē, n=243</c:v>
                </c:pt>
              </c:strCache>
            </c:strRef>
          </c:cat>
          <c:val>
            <c:numRef>
              <c:f>Sheet1!$C$2:$C$26</c:f>
              <c:numCache>
                <c:formatCode>General</c:formatCode>
                <c:ptCount val="25"/>
                <c:pt idx="0" formatCode="0">
                  <c:v>11.815561959654179</c:v>
                </c:pt>
                <c:pt idx="2" formatCode="0">
                  <c:v>30.303030303030287</c:v>
                </c:pt>
                <c:pt idx="3" formatCode="0">
                  <c:v>8.3969465648855088</c:v>
                </c:pt>
                <c:pt idx="4" formatCode="0">
                  <c:v>8</c:v>
                </c:pt>
                <c:pt idx="5" formatCode="0">
                  <c:v>14.457831325301218</c:v>
                </c:pt>
                <c:pt idx="7" formatCode="0">
                  <c:v>9.4420600858369106</c:v>
                </c:pt>
                <c:pt idx="8" formatCode="0">
                  <c:v>13.636363636363637</c:v>
                </c:pt>
                <c:pt idx="9" formatCode="0">
                  <c:v>13.333333333333334</c:v>
                </c:pt>
                <c:pt idx="10" formatCode="0">
                  <c:v>22.5</c:v>
                </c:pt>
                <c:pt idx="12" formatCode="0">
                  <c:v>20</c:v>
                </c:pt>
                <c:pt idx="13" formatCode="0">
                  <c:v>3.3333333333333335</c:v>
                </c:pt>
                <c:pt idx="14" formatCode="0">
                  <c:v>15.126050420168067</c:v>
                </c:pt>
                <c:pt idx="15" formatCode="0">
                  <c:v>3.125</c:v>
                </c:pt>
                <c:pt idx="16" formatCode="0">
                  <c:v>13.513513513513514</c:v>
                </c:pt>
                <c:pt idx="18" formatCode="0">
                  <c:v>7.0967741935483923</c:v>
                </c:pt>
                <c:pt idx="19" formatCode="0">
                  <c:v>13.207547169811319</c:v>
                </c:pt>
                <c:pt idx="20" formatCode="0">
                  <c:v>13.698630136986306</c:v>
                </c:pt>
                <c:pt idx="21" formatCode="0">
                  <c:v>19.298245614035089</c:v>
                </c:pt>
                <c:pt idx="23" formatCode="0">
                  <c:v>35.57692307692308</c:v>
                </c:pt>
                <c:pt idx="24" formatCode="0">
                  <c:v>1.6460905349794241</c:v>
                </c:pt>
              </c:numCache>
            </c:numRef>
          </c:val>
        </c:ser>
        <c:ser>
          <c:idx val="2"/>
          <c:order val="2"/>
          <c:tx>
            <c:strRef>
              <c:f>Sheet1!$D$1</c:f>
              <c:strCache>
                <c:ptCount val="1"/>
                <c:pt idx="0">
                  <c:v>Drīzāk jā</c:v>
                </c:pt>
              </c:strCache>
            </c:strRef>
          </c:tx>
          <c:spPr>
            <a:solidFill>
              <a:srgbClr val="9BBB59"/>
            </a:solidFill>
          </c:spPr>
          <c:invertIfNegative val="0"/>
          <c:dLbls>
            <c:showLegendKey val="0"/>
            <c:showVal val="1"/>
            <c:showCatName val="0"/>
            <c:showSerName val="0"/>
            <c:showPercent val="0"/>
            <c:showBubbleSize val="0"/>
            <c:showLeaderLines val="0"/>
          </c:dLbls>
          <c:cat>
            <c:strRef>
              <c:f>Sheet1!$A$2:$A$26</c:f>
              <c:strCache>
                <c:ptCount val="25"/>
                <c:pt idx="0">
                  <c:v>KOPĀ, n=347</c:v>
                </c:pt>
                <c:pt idx="1">
                  <c:v>DIBINĀŠANAS GADS*</c:v>
                </c:pt>
                <c:pt idx="2">
                  <c:v>Līdz 1991.gadam, n=33</c:v>
                </c:pt>
                <c:pt idx="3">
                  <c:v>1992.-2000.gads, n=131</c:v>
                </c:pt>
                <c:pt idx="4">
                  <c:v>2001.-2007.gads, n=100</c:v>
                </c:pt>
                <c:pt idx="5">
                  <c:v>2008.-2013.gads, n=83</c:v>
                </c:pt>
                <c:pt idx="6">
                  <c:v>DARBINIEKU SKAITS</c:v>
                </c:pt>
                <c:pt idx="7">
                  <c:v>1–9, n=233</c:v>
                </c:pt>
                <c:pt idx="8">
                  <c:v>10–19, n=44</c:v>
                </c:pt>
                <c:pt idx="9">
                  <c:v>20–49, n=30</c:v>
                </c:pt>
                <c:pt idx="10">
                  <c:v>50 un vairāk, n=40</c:v>
                </c:pt>
                <c:pt idx="11">
                  <c:v>NOZARE</c:v>
                </c:pt>
                <c:pt idx="12">
                  <c:v>Ražošanas un rūpniecības, n=25**</c:v>
                </c:pt>
                <c:pt idx="13">
                  <c:v>Tirdzniecības, n=60</c:v>
                </c:pt>
                <c:pt idx="14">
                  <c:v>Pakalpojumu, n=119</c:v>
                </c:pt>
                <c:pt idx="15">
                  <c:v>Būvniecības, n=32</c:v>
                </c:pt>
                <c:pt idx="16">
                  <c:v>Cits, n=111</c:v>
                </c:pt>
                <c:pt idx="17">
                  <c:v>APGROZĪJUMS 2012.GADĀ*</c:v>
                </c:pt>
                <c:pt idx="18">
                  <c:v>Līdz 50 000 LVL, n=155</c:v>
                </c:pt>
                <c:pt idx="19">
                  <c:v>50 001 – 100 000 LVL, n=53</c:v>
                </c:pt>
                <c:pt idx="20">
                  <c:v>100 001 – 500 000 LVL, n=73</c:v>
                </c:pt>
                <c:pt idx="21">
                  <c:v>Vairāk par 500 000 LVL, n=57</c:v>
                </c:pt>
                <c:pt idx="22">
                  <c:v>IEGULDĪJUMI PĒTNIECĪBAS JOMĀ PĒDĒJO 3 g. LAIKĀ</c:v>
                </c:pt>
                <c:pt idx="23">
                  <c:v>Jā, n=104</c:v>
                </c:pt>
                <c:pt idx="24">
                  <c:v>Nē, n=243</c:v>
                </c:pt>
              </c:strCache>
            </c:strRef>
          </c:cat>
          <c:val>
            <c:numRef>
              <c:f>Sheet1!$D$2:$D$26</c:f>
              <c:numCache>
                <c:formatCode>General</c:formatCode>
                <c:ptCount val="25"/>
                <c:pt idx="0" formatCode="0">
                  <c:v>18.731988472622508</c:v>
                </c:pt>
                <c:pt idx="2" formatCode="0">
                  <c:v>21.212121212121176</c:v>
                </c:pt>
                <c:pt idx="3" formatCode="0">
                  <c:v>16.793893129770993</c:v>
                </c:pt>
                <c:pt idx="4" formatCode="0">
                  <c:v>17</c:v>
                </c:pt>
                <c:pt idx="5" formatCode="0">
                  <c:v>22.891566265060227</c:v>
                </c:pt>
                <c:pt idx="7" formatCode="0">
                  <c:v>16.738197424892725</c:v>
                </c:pt>
                <c:pt idx="8" formatCode="0">
                  <c:v>18.181818181818208</c:v>
                </c:pt>
                <c:pt idx="9" formatCode="0">
                  <c:v>20</c:v>
                </c:pt>
                <c:pt idx="10" formatCode="0">
                  <c:v>30</c:v>
                </c:pt>
                <c:pt idx="12" formatCode="0">
                  <c:v>40</c:v>
                </c:pt>
                <c:pt idx="13" formatCode="0">
                  <c:v>21.666666666666668</c:v>
                </c:pt>
                <c:pt idx="14" formatCode="0">
                  <c:v>20.168067226890777</c:v>
                </c:pt>
                <c:pt idx="15" formatCode="0">
                  <c:v>15.625</c:v>
                </c:pt>
                <c:pt idx="16" formatCode="0">
                  <c:v>11.711711711711695</c:v>
                </c:pt>
                <c:pt idx="18" formatCode="0">
                  <c:v>15.483870967741936</c:v>
                </c:pt>
                <c:pt idx="19" formatCode="0">
                  <c:v>11.320754716981142</c:v>
                </c:pt>
                <c:pt idx="20" formatCode="0">
                  <c:v>23.28767123287669</c:v>
                </c:pt>
                <c:pt idx="21" formatCode="0">
                  <c:v>29.824561403508792</c:v>
                </c:pt>
                <c:pt idx="23" formatCode="0">
                  <c:v>37.5</c:v>
                </c:pt>
                <c:pt idx="24" formatCode="0">
                  <c:v>10.699588477366268</c:v>
                </c:pt>
              </c:numCache>
            </c:numRef>
          </c:val>
        </c:ser>
        <c:ser>
          <c:idx val="3"/>
          <c:order val="3"/>
          <c:tx>
            <c:strRef>
              <c:f>Sheet1!$E$1</c:f>
              <c:strCache>
                <c:ptCount val="1"/>
                <c:pt idx="0">
                  <c:v>Drīzāk nē</c:v>
                </c:pt>
              </c:strCache>
            </c:strRef>
          </c:tx>
          <c:spPr>
            <a:solidFill>
              <a:srgbClr val="FFC000"/>
            </a:solidFill>
          </c:spPr>
          <c:invertIfNegative val="0"/>
          <c:dLbls>
            <c:showLegendKey val="0"/>
            <c:showVal val="1"/>
            <c:showCatName val="0"/>
            <c:showSerName val="0"/>
            <c:showPercent val="0"/>
            <c:showBubbleSize val="0"/>
            <c:showLeaderLines val="0"/>
          </c:dLbls>
          <c:cat>
            <c:strRef>
              <c:f>Sheet1!$A$2:$A$26</c:f>
              <c:strCache>
                <c:ptCount val="25"/>
                <c:pt idx="0">
                  <c:v>KOPĀ, n=347</c:v>
                </c:pt>
                <c:pt idx="1">
                  <c:v>DIBINĀŠANAS GADS*</c:v>
                </c:pt>
                <c:pt idx="2">
                  <c:v>Līdz 1991.gadam, n=33</c:v>
                </c:pt>
                <c:pt idx="3">
                  <c:v>1992.-2000.gads, n=131</c:v>
                </c:pt>
                <c:pt idx="4">
                  <c:v>2001.-2007.gads, n=100</c:v>
                </c:pt>
                <c:pt idx="5">
                  <c:v>2008.-2013.gads, n=83</c:v>
                </c:pt>
                <c:pt idx="6">
                  <c:v>DARBINIEKU SKAITS</c:v>
                </c:pt>
                <c:pt idx="7">
                  <c:v>1–9, n=233</c:v>
                </c:pt>
                <c:pt idx="8">
                  <c:v>10–19, n=44</c:v>
                </c:pt>
                <c:pt idx="9">
                  <c:v>20–49, n=30</c:v>
                </c:pt>
                <c:pt idx="10">
                  <c:v>50 un vairāk, n=40</c:v>
                </c:pt>
                <c:pt idx="11">
                  <c:v>NOZARE</c:v>
                </c:pt>
                <c:pt idx="12">
                  <c:v>Ražošanas un rūpniecības, n=25**</c:v>
                </c:pt>
                <c:pt idx="13">
                  <c:v>Tirdzniecības, n=60</c:v>
                </c:pt>
                <c:pt idx="14">
                  <c:v>Pakalpojumu, n=119</c:v>
                </c:pt>
                <c:pt idx="15">
                  <c:v>Būvniecības, n=32</c:v>
                </c:pt>
                <c:pt idx="16">
                  <c:v>Cits, n=111</c:v>
                </c:pt>
                <c:pt idx="17">
                  <c:v>APGROZĪJUMS 2012.GADĀ*</c:v>
                </c:pt>
                <c:pt idx="18">
                  <c:v>Līdz 50 000 LVL, n=155</c:v>
                </c:pt>
                <c:pt idx="19">
                  <c:v>50 001 – 100 000 LVL, n=53</c:v>
                </c:pt>
                <c:pt idx="20">
                  <c:v>100 001 – 500 000 LVL, n=73</c:v>
                </c:pt>
                <c:pt idx="21">
                  <c:v>Vairāk par 500 000 LVL, n=57</c:v>
                </c:pt>
                <c:pt idx="22">
                  <c:v>IEGULDĪJUMI PĒTNIECĪBAS JOMĀ PĒDĒJO 3 g. LAIKĀ</c:v>
                </c:pt>
                <c:pt idx="23">
                  <c:v>Jā, n=104</c:v>
                </c:pt>
                <c:pt idx="24">
                  <c:v>Nē, n=243</c:v>
                </c:pt>
              </c:strCache>
            </c:strRef>
          </c:cat>
          <c:val>
            <c:numRef>
              <c:f>Sheet1!$E$2:$E$26</c:f>
              <c:numCache>
                <c:formatCode>General</c:formatCode>
                <c:ptCount val="25"/>
                <c:pt idx="0" formatCode="0">
                  <c:v>31.988472622478366</c:v>
                </c:pt>
                <c:pt idx="2" formatCode="0">
                  <c:v>15.151515151515149</c:v>
                </c:pt>
                <c:pt idx="3" formatCode="0">
                  <c:v>40.458015267175583</c:v>
                </c:pt>
                <c:pt idx="4" formatCode="0">
                  <c:v>28</c:v>
                </c:pt>
                <c:pt idx="5" formatCode="0">
                  <c:v>30.120481927710845</c:v>
                </c:pt>
                <c:pt idx="7" formatCode="0">
                  <c:v>34.763948497854081</c:v>
                </c:pt>
                <c:pt idx="8" formatCode="0">
                  <c:v>34.090909090909136</c:v>
                </c:pt>
                <c:pt idx="9" formatCode="0">
                  <c:v>20</c:v>
                </c:pt>
                <c:pt idx="10" formatCode="0">
                  <c:v>22.5</c:v>
                </c:pt>
                <c:pt idx="12" formatCode="0">
                  <c:v>12</c:v>
                </c:pt>
                <c:pt idx="13" formatCode="0">
                  <c:v>41.666666666666579</c:v>
                </c:pt>
                <c:pt idx="14" formatCode="0">
                  <c:v>25.210084033613445</c:v>
                </c:pt>
                <c:pt idx="15" formatCode="0">
                  <c:v>43.75</c:v>
                </c:pt>
                <c:pt idx="16" formatCode="0">
                  <c:v>35.135135135135229</c:v>
                </c:pt>
                <c:pt idx="18" formatCode="0">
                  <c:v>34.838709677419345</c:v>
                </c:pt>
                <c:pt idx="19" formatCode="0">
                  <c:v>35.849056603773519</c:v>
                </c:pt>
                <c:pt idx="20" formatCode="0">
                  <c:v>31.506849315068493</c:v>
                </c:pt>
                <c:pt idx="21" formatCode="0">
                  <c:v>22.807017543859651</c:v>
                </c:pt>
                <c:pt idx="23" formatCode="0">
                  <c:v>11.538461538461538</c:v>
                </c:pt>
                <c:pt idx="24" formatCode="0">
                  <c:v>40.740740740740762</c:v>
                </c:pt>
              </c:numCache>
            </c:numRef>
          </c:val>
        </c:ser>
        <c:ser>
          <c:idx val="0"/>
          <c:order val="0"/>
          <c:tx>
            <c:strRef>
              <c:f>Sheet1!$B$1</c:f>
              <c:strCache>
                <c:ptCount val="1"/>
                <c:pt idx="0">
                  <c:v>Column2</c:v>
                </c:pt>
              </c:strCache>
            </c:strRef>
          </c:tx>
          <c:spPr>
            <a:solidFill>
              <a:srgbClr val="9BBB59">
                <a:lumMod val="75000"/>
              </a:srgbClr>
            </a:solidFill>
            <a:ln>
              <a:noFill/>
            </a:ln>
          </c:spPr>
          <c:invertIfNegative val="0"/>
          <c:dPt>
            <c:idx val="1"/>
            <c:invertIfNegative val="0"/>
            <c:bubble3D val="0"/>
            <c:spPr>
              <a:solidFill>
                <a:srgbClr val="9BBB59"/>
              </a:solidFill>
              <a:ln>
                <a:noFill/>
              </a:ln>
            </c:spPr>
          </c:dPt>
          <c:dPt>
            <c:idx val="2"/>
            <c:invertIfNegative val="0"/>
            <c:bubble3D val="0"/>
            <c:spPr>
              <a:solidFill>
                <a:srgbClr val="FFC000"/>
              </a:solidFill>
              <a:ln>
                <a:noFill/>
              </a:ln>
            </c:spPr>
          </c:dPt>
          <c:dPt>
            <c:idx val="3"/>
            <c:invertIfNegative val="0"/>
            <c:bubble3D val="0"/>
            <c:spPr>
              <a:solidFill>
                <a:srgbClr val="F79646">
                  <a:lumMod val="75000"/>
                </a:srgbClr>
              </a:solidFill>
              <a:ln>
                <a:noFill/>
              </a:ln>
            </c:spPr>
          </c:dPt>
          <c:dPt>
            <c:idx val="4"/>
            <c:invertIfNegative val="0"/>
            <c:bubble3D val="0"/>
            <c:spPr>
              <a:solidFill>
                <a:sysClr val="window" lastClr="FFFFFF">
                  <a:lumMod val="75000"/>
                </a:sysClr>
              </a:solidFill>
              <a:ln>
                <a:noFill/>
              </a:ln>
            </c:spPr>
          </c:dPt>
          <c:dLbls>
            <c:showLegendKey val="0"/>
            <c:showVal val="1"/>
            <c:showCatName val="0"/>
            <c:showSerName val="0"/>
            <c:showPercent val="0"/>
            <c:showBubbleSize val="0"/>
            <c:showLeaderLines val="0"/>
          </c:dLbls>
          <c:cat>
            <c:strRef>
              <c:f>Sheet1!$A$2:$A$26</c:f>
              <c:strCache>
                <c:ptCount val="25"/>
                <c:pt idx="0">
                  <c:v>KOPĀ, n=347</c:v>
                </c:pt>
                <c:pt idx="1">
                  <c:v>DIBINĀŠANAS GADS*</c:v>
                </c:pt>
                <c:pt idx="2">
                  <c:v>Līdz 1991.gadam, n=33</c:v>
                </c:pt>
                <c:pt idx="3">
                  <c:v>1992.-2000.gads, n=131</c:v>
                </c:pt>
                <c:pt idx="4">
                  <c:v>2001.-2007.gads, n=100</c:v>
                </c:pt>
                <c:pt idx="5">
                  <c:v>2008.-2013.gads, n=83</c:v>
                </c:pt>
                <c:pt idx="6">
                  <c:v>DARBINIEKU SKAITS</c:v>
                </c:pt>
                <c:pt idx="7">
                  <c:v>1–9, n=233</c:v>
                </c:pt>
                <c:pt idx="8">
                  <c:v>10–19, n=44</c:v>
                </c:pt>
                <c:pt idx="9">
                  <c:v>20–49, n=30</c:v>
                </c:pt>
                <c:pt idx="10">
                  <c:v>50 un vairāk, n=40</c:v>
                </c:pt>
                <c:pt idx="11">
                  <c:v>NOZARE</c:v>
                </c:pt>
                <c:pt idx="12">
                  <c:v>Ražošanas un rūpniecības, n=25**</c:v>
                </c:pt>
                <c:pt idx="13">
                  <c:v>Tirdzniecības, n=60</c:v>
                </c:pt>
                <c:pt idx="14">
                  <c:v>Pakalpojumu, n=119</c:v>
                </c:pt>
                <c:pt idx="15">
                  <c:v>Būvniecības, n=32</c:v>
                </c:pt>
                <c:pt idx="16">
                  <c:v>Cits, n=111</c:v>
                </c:pt>
                <c:pt idx="17">
                  <c:v>APGROZĪJUMS 2012.GADĀ*</c:v>
                </c:pt>
                <c:pt idx="18">
                  <c:v>Līdz 50 000 LVL, n=155</c:v>
                </c:pt>
                <c:pt idx="19">
                  <c:v>50 001 – 100 000 LVL, n=53</c:v>
                </c:pt>
                <c:pt idx="20">
                  <c:v>100 001 – 500 000 LVL, n=73</c:v>
                </c:pt>
                <c:pt idx="21">
                  <c:v>Vairāk par 500 000 LVL, n=57</c:v>
                </c:pt>
                <c:pt idx="22">
                  <c:v>IEGULDĪJUMI PĒTNIECĪBAS JOMĀ PĒDĒJO 3 g. LAIKĀ</c:v>
                </c:pt>
                <c:pt idx="23">
                  <c:v>Jā, n=104</c:v>
                </c:pt>
                <c:pt idx="24">
                  <c:v>Nē, n=243</c:v>
                </c:pt>
              </c:strCache>
            </c:strRef>
          </c:cat>
          <c:val>
            <c:numRef>
              <c:f>Sheet1!$B$2:$B$26</c:f>
              <c:numCache>
                <c:formatCode>General</c:formatCode>
                <c:ptCount val="25"/>
              </c:numCache>
            </c:numRef>
          </c:val>
        </c:ser>
        <c:ser>
          <c:idx val="4"/>
          <c:order val="4"/>
          <c:tx>
            <c:strRef>
              <c:f>Sheet1!$F$1</c:f>
              <c:strCache>
                <c:ptCount val="1"/>
                <c:pt idx="0">
                  <c:v>Noteikti nē</c:v>
                </c:pt>
              </c:strCache>
            </c:strRef>
          </c:tx>
          <c:spPr>
            <a:solidFill>
              <a:srgbClr val="F79646">
                <a:lumMod val="75000"/>
              </a:srgbClr>
            </a:solidFill>
          </c:spPr>
          <c:invertIfNegative val="0"/>
          <c:dLbls>
            <c:showLegendKey val="0"/>
            <c:showVal val="1"/>
            <c:showCatName val="0"/>
            <c:showSerName val="0"/>
            <c:showPercent val="0"/>
            <c:showBubbleSize val="0"/>
            <c:showLeaderLines val="0"/>
          </c:dLbls>
          <c:cat>
            <c:strRef>
              <c:f>Sheet1!$A$2:$A$26</c:f>
              <c:strCache>
                <c:ptCount val="25"/>
                <c:pt idx="0">
                  <c:v>KOPĀ, n=347</c:v>
                </c:pt>
                <c:pt idx="1">
                  <c:v>DIBINĀŠANAS GADS*</c:v>
                </c:pt>
                <c:pt idx="2">
                  <c:v>Līdz 1991.gadam, n=33</c:v>
                </c:pt>
                <c:pt idx="3">
                  <c:v>1992.-2000.gads, n=131</c:v>
                </c:pt>
                <c:pt idx="4">
                  <c:v>2001.-2007.gads, n=100</c:v>
                </c:pt>
                <c:pt idx="5">
                  <c:v>2008.-2013.gads, n=83</c:v>
                </c:pt>
                <c:pt idx="6">
                  <c:v>DARBINIEKU SKAITS</c:v>
                </c:pt>
                <c:pt idx="7">
                  <c:v>1–9, n=233</c:v>
                </c:pt>
                <c:pt idx="8">
                  <c:v>10–19, n=44</c:v>
                </c:pt>
                <c:pt idx="9">
                  <c:v>20–49, n=30</c:v>
                </c:pt>
                <c:pt idx="10">
                  <c:v>50 un vairāk, n=40</c:v>
                </c:pt>
                <c:pt idx="11">
                  <c:v>NOZARE</c:v>
                </c:pt>
                <c:pt idx="12">
                  <c:v>Ražošanas un rūpniecības, n=25**</c:v>
                </c:pt>
                <c:pt idx="13">
                  <c:v>Tirdzniecības, n=60</c:v>
                </c:pt>
                <c:pt idx="14">
                  <c:v>Pakalpojumu, n=119</c:v>
                </c:pt>
                <c:pt idx="15">
                  <c:v>Būvniecības, n=32</c:v>
                </c:pt>
                <c:pt idx="16">
                  <c:v>Cits, n=111</c:v>
                </c:pt>
                <c:pt idx="17">
                  <c:v>APGROZĪJUMS 2012.GADĀ*</c:v>
                </c:pt>
                <c:pt idx="18">
                  <c:v>Līdz 50 000 LVL, n=155</c:v>
                </c:pt>
                <c:pt idx="19">
                  <c:v>50 001 – 100 000 LVL, n=53</c:v>
                </c:pt>
                <c:pt idx="20">
                  <c:v>100 001 – 500 000 LVL, n=73</c:v>
                </c:pt>
                <c:pt idx="21">
                  <c:v>Vairāk par 500 000 LVL, n=57</c:v>
                </c:pt>
                <c:pt idx="22">
                  <c:v>IEGULDĪJUMI PĒTNIECĪBAS JOMĀ PĒDĒJO 3 g. LAIKĀ</c:v>
                </c:pt>
                <c:pt idx="23">
                  <c:v>Jā, n=104</c:v>
                </c:pt>
                <c:pt idx="24">
                  <c:v>Nē, n=243</c:v>
                </c:pt>
              </c:strCache>
            </c:strRef>
          </c:cat>
          <c:val>
            <c:numRef>
              <c:f>Sheet1!$F$2:$F$26</c:f>
              <c:numCache>
                <c:formatCode>General</c:formatCode>
                <c:ptCount val="25"/>
                <c:pt idx="0" formatCode="0">
                  <c:v>12.68011527377522</c:v>
                </c:pt>
                <c:pt idx="2" formatCode="0">
                  <c:v>15.151515151515149</c:v>
                </c:pt>
                <c:pt idx="3" formatCode="0">
                  <c:v>11.450381679389327</c:v>
                </c:pt>
                <c:pt idx="4" formatCode="0">
                  <c:v>16</c:v>
                </c:pt>
                <c:pt idx="5" formatCode="0">
                  <c:v>9.6385542168674707</c:v>
                </c:pt>
                <c:pt idx="7" formatCode="0">
                  <c:v>15.021459227467822</c:v>
                </c:pt>
                <c:pt idx="8" formatCode="0">
                  <c:v>6.8181818181818103</c:v>
                </c:pt>
                <c:pt idx="9" formatCode="0">
                  <c:v>10</c:v>
                </c:pt>
                <c:pt idx="10" formatCode="0">
                  <c:v>7.5</c:v>
                </c:pt>
                <c:pt idx="12" formatCode="0">
                  <c:v>12</c:v>
                </c:pt>
                <c:pt idx="13" formatCode="0">
                  <c:v>8.3333333333333357</c:v>
                </c:pt>
                <c:pt idx="14" formatCode="0">
                  <c:v>14.285714285714286</c:v>
                </c:pt>
                <c:pt idx="15" formatCode="0">
                  <c:v>6.25</c:v>
                </c:pt>
                <c:pt idx="16" formatCode="0">
                  <c:v>15.315315315315322</c:v>
                </c:pt>
                <c:pt idx="18" formatCode="0">
                  <c:v>15.483870967741936</c:v>
                </c:pt>
                <c:pt idx="19" formatCode="0">
                  <c:v>16.981132075471656</c:v>
                </c:pt>
                <c:pt idx="20" formatCode="0">
                  <c:v>4.1095890410958855</c:v>
                </c:pt>
                <c:pt idx="21" formatCode="0">
                  <c:v>10.526315789473673</c:v>
                </c:pt>
                <c:pt idx="23" formatCode="0">
                  <c:v>2.8846153846153837</c:v>
                </c:pt>
                <c:pt idx="24" formatCode="0">
                  <c:v>16.872427983539069</c:v>
                </c:pt>
              </c:numCache>
            </c:numRef>
          </c:val>
        </c:ser>
        <c:ser>
          <c:idx val="5"/>
          <c:order val="5"/>
          <c:tx>
            <c:strRef>
              <c:f>Sheet1!$G$1</c:f>
              <c:strCache>
                <c:ptCount val="1"/>
                <c:pt idx="0">
                  <c:v>Grūti pateikt</c:v>
                </c:pt>
              </c:strCache>
            </c:strRef>
          </c:tx>
          <c:spPr>
            <a:solidFill>
              <a:sysClr val="window" lastClr="FFFFFF">
                <a:lumMod val="75000"/>
              </a:sysClr>
            </a:solidFill>
          </c:spPr>
          <c:invertIfNegative val="0"/>
          <c:dLbls>
            <c:showLegendKey val="0"/>
            <c:showVal val="1"/>
            <c:showCatName val="0"/>
            <c:showSerName val="0"/>
            <c:showPercent val="0"/>
            <c:showBubbleSize val="0"/>
            <c:showLeaderLines val="0"/>
          </c:dLbls>
          <c:cat>
            <c:strRef>
              <c:f>Sheet1!$A$2:$A$26</c:f>
              <c:strCache>
                <c:ptCount val="25"/>
                <c:pt idx="0">
                  <c:v>KOPĀ, n=347</c:v>
                </c:pt>
                <c:pt idx="1">
                  <c:v>DIBINĀŠANAS GADS*</c:v>
                </c:pt>
                <c:pt idx="2">
                  <c:v>Līdz 1991.gadam, n=33</c:v>
                </c:pt>
                <c:pt idx="3">
                  <c:v>1992.-2000.gads, n=131</c:v>
                </c:pt>
                <c:pt idx="4">
                  <c:v>2001.-2007.gads, n=100</c:v>
                </c:pt>
                <c:pt idx="5">
                  <c:v>2008.-2013.gads, n=83</c:v>
                </c:pt>
                <c:pt idx="6">
                  <c:v>DARBINIEKU SKAITS</c:v>
                </c:pt>
                <c:pt idx="7">
                  <c:v>1–9, n=233</c:v>
                </c:pt>
                <c:pt idx="8">
                  <c:v>10–19, n=44</c:v>
                </c:pt>
                <c:pt idx="9">
                  <c:v>20–49, n=30</c:v>
                </c:pt>
                <c:pt idx="10">
                  <c:v>50 un vairāk, n=40</c:v>
                </c:pt>
                <c:pt idx="11">
                  <c:v>NOZARE</c:v>
                </c:pt>
                <c:pt idx="12">
                  <c:v>Ražošanas un rūpniecības, n=25**</c:v>
                </c:pt>
                <c:pt idx="13">
                  <c:v>Tirdzniecības, n=60</c:v>
                </c:pt>
                <c:pt idx="14">
                  <c:v>Pakalpojumu, n=119</c:v>
                </c:pt>
                <c:pt idx="15">
                  <c:v>Būvniecības, n=32</c:v>
                </c:pt>
                <c:pt idx="16">
                  <c:v>Cits, n=111</c:v>
                </c:pt>
                <c:pt idx="17">
                  <c:v>APGROZĪJUMS 2012.GADĀ*</c:v>
                </c:pt>
                <c:pt idx="18">
                  <c:v>Līdz 50 000 LVL, n=155</c:v>
                </c:pt>
                <c:pt idx="19">
                  <c:v>50 001 – 100 000 LVL, n=53</c:v>
                </c:pt>
                <c:pt idx="20">
                  <c:v>100 001 – 500 000 LVL, n=73</c:v>
                </c:pt>
                <c:pt idx="21">
                  <c:v>Vairāk par 500 000 LVL, n=57</c:v>
                </c:pt>
                <c:pt idx="22">
                  <c:v>IEGULDĪJUMI PĒTNIECĪBAS JOMĀ PĒDĒJO 3 g. LAIKĀ</c:v>
                </c:pt>
                <c:pt idx="23">
                  <c:v>Jā, n=104</c:v>
                </c:pt>
                <c:pt idx="24">
                  <c:v>Nē, n=243</c:v>
                </c:pt>
              </c:strCache>
            </c:strRef>
          </c:cat>
          <c:val>
            <c:numRef>
              <c:f>Sheet1!$G$2:$G$26</c:f>
              <c:numCache>
                <c:formatCode>General</c:formatCode>
                <c:ptCount val="25"/>
                <c:pt idx="0" formatCode="0">
                  <c:v>24.783861671469726</c:v>
                </c:pt>
                <c:pt idx="2" formatCode="0">
                  <c:v>18.181818181818208</c:v>
                </c:pt>
                <c:pt idx="3" formatCode="0">
                  <c:v>22.900763358778626</c:v>
                </c:pt>
                <c:pt idx="4" formatCode="0">
                  <c:v>31</c:v>
                </c:pt>
                <c:pt idx="5" formatCode="0">
                  <c:v>22.891566265060227</c:v>
                </c:pt>
                <c:pt idx="7" formatCode="0">
                  <c:v>24.034334763948518</c:v>
                </c:pt>
                <c:pt idx="8" formatCode="0">
                  <c:v>27.272727272727206</c:v>
                </c:pt>
                <c:pt idx="9" formatCode="0">
                  <c:v>36.666666666666579</c:v>
                </c:pt>
                <c:pt idx="10" formatCode="0">
                  <c:v>17.5</c:v>
                </c:pt>
                <c:pt idx="12" formatCode="0">
                  <c:v>16</c:v>
                </c:pt>
                <c:pt idx="13" formatCode="0">
                  <c:v>25</c:v>
                </c:pt>
                <c:pt idx="14" formatCode="0">
                  <c:v>25.210084033613445</c:v>
                </c:pt>
                <c:pt idx="15" formatCode="0">
                  <c:v>31.25</c:v>
                </c:pt>
                <c:pt idx="16" formatCode="0">
                  <c:v>24.324324324324323</c:v>
                </c:pt>
                <c:pt idx="18" formatCode="0">
                  <c:v>27.096774193548388</c:v>
                </c:pt>
                <c:pt idx="19" formatCode="0">
                  <c:v>22.641509433962234</c:v>
                </c:pt>
                <c:pt idx="20" formatCode="0">
                  <c:v>27.397260273972602</c:v>
                </c:pt>
                <c:pt idx="21" formatCode="0">
                  <c:v>17.543859649122787</c:v>
                </c:pt>
                <c:pt idx="23" formatCode="0">
                  <c:v>12.5</c:v>
                </c:pt>
                <c:pt idx="24" formatCode="0">
                  <c:v>30.041152263374485</c:v>
                </c:pt>
              </c:numCache>
            </c:numRef>
          </c:val>
        </c:ser>
        <c:dLbls>
          <c:showLegendKey val="0"/>
          <c:showVal val="0"/>
          <c:showCatName val="0"/>
          <c:showSerName val="0"/>
          <c:showPercent val="0"/>
          <c:showBubbleSize val="0"/>
        </c:dLbls>
        <c:gapWidth val="50"/>
        <c:overlap val="100"/>
        <c:axId val="225901184"/>
        <c:axId val="225899648"/>
      </c:barChart>
      <c:valAx>
        <c:axId val="225899648"/>
        <c:scaling>
          <c:orientation val="minMax"/>
        </c:scaling>
        <c:delete val="1"/>
        <c:axPos val="t"/>
        <c:numFmt formatCode="0%" sourceLinked="1"/>
        <c:majorTickMark val="out"/>
        <c:minorTickMark val="none"/>
        <c:tickLblPos val="none"/>
        <c:crossAx val="225901184"/>
        <c:crosses val="autoZero"/>
        <c:crossBetween val="between"/>
      </c:valAx>
      <c:catAx>
        <c:axId val="225901184"/>
        <c:scaling>
          <c:orientation val="maxMin"/>
        </c:scaling>
        <c:delete val="0"/>
        <c:axPos val="l"/>
        <c:majorTickMark val="out"/>
        <c:minorTickMark val="none"/>
        <c:tickLblPos val="nextTo"/>
        <c:crossAx val="225899648"/>
        <c:crosses val="autoZero"/>
        <c:auto val="1"/>
        <c:lblAlgn val="ctr"/>
        <c:lblOffset val="100"/>
        <c:noMultiLvlLbl val="0"/>
      </c:catAx>
    </c:plotArea>
    <c:legend>
      <c:legendPos val="t"/>
      <c:legendEntry>
        <c:idx val="3"/>
        <c:delete val="1"/>
      </c:legendEntry>
      <c:layout>
        <c:manualLayout>
          <c:xMode val="edge"/>
          <c:yMode val="edge"/>
          <c:x val="0.44600534980974282"/>
          <c:y val="6.9007890867574154E-2"/>
          <c:w val="0.55399465019025762"/>
          <c:h val="3.582548466731407E-2"/>
        </c:manualLayout>
      </c:layout>
      <c:overlay val="0"/>
    </c:legend>
    <c:plotVisOnly val="1"/>
    <c:dispBlanksAs val="gap"/>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Kādus tieši ieguldījumus jūsu uzņēmums plāno veikt? (%)</a:t>
            </a:r>
            <a:endParaRPr lang="en-US" sz="1050"/>
          </a:p>
        </c:rich>
      </c:tx>
      <c:layout>
        <c:manualLayout>
          <c:xMode val="edge"/>
          <c:yMode val="edge"/>
          <c:x val="0.22077618288144629"/>
          <c:y val="2.6069005525252788E-2"/>
        </c:manualLayout>
      </c:layout>
      <c:overlay val="0"/>
    </c:title>
    <c:autoTitleDeleted val="0"/>
    <c:plotArea>
      <c:layout>
        <c:manualLayout>
          <c:layoutTarget val="inner"/>
          <c:xMode val="edge"/>
          <c:yMode val="edge"/>
          <c:x val="0.45745595197729488"/>
          <c:y val="0.10826113594590318"/>
          <c:w val="0.35351408825093067"/>
          <c:h val="0.7593301413692165"/>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Sheet1!$A$2:$A$9</c:f>
              <c:strCache>
                <c:ptCount val="8"/>
                <c:pt idx="0">
                  <c:v>Jaunu tehnoloģiju izstrāde, ieviešana</c:v>
                </c:pt>
                <c:pt idx="1">
                  <c:v>Uzņēmuma paplašināšana, attīstība</c:v>
                </c:pt>
                <c:pt idx="2">
                  <c:v>Pētījumi</c:v>
                </c:pt>
                <c:pt idx="3">
                  <c:v>Iekārtu iegāde</c:v>
                </c:pt>
                <c:pt idx="4">
                  <c:v>Darbaspēka apmācība</c:v>
                </c:pt>
                <c:pt idx="5">
                  <c:v>Jauna produkta ražošana</c:v>
                </c:pt>
                <c:pt idx="6">
                  <c:v>Laboratorijas izveide</c:v>
                </c:pt>
                <c:pt idx="7">
                  <c:v>Eksperimentālā ražošana</c:v>
                </c:pt>
              </c:strCache>
            </c:strRef>
          </c:cat>
          <c:val>
            <c:numRef>
              <c:f>Sheet1!$B$2:$B$9</c:f>
              <c:numCache>
                <c:formatCode>0</c:formatCode>
                <c:ptCount val="8"/>
                <c:pt idx="0">
                  <c:v>41.666666666666579</c:v>
                </c:pt>
                <c:pt idx="1">
                  <c:v>26.666666666666668</c:v>
                </c:pt>
                <c:pt idx="2">
                  <c:v>21.666666666666668</c:v>
                </c:pt>
                <c:pt idx="3">
                  <c:v>16.666666666666668</c:v>
                </c:pt>
                <c:pt idx="4">
                  <c:v>10</c:v>
                </c:pt>
                <c:pt idx="5">
                  <c:v>5</c:v>
                </c:pt>
                <c:pt idx="6">
                  <c:v>3.3333333333333335</c:v>
                </c:pt>
                <c:pt idx="7">
                  <c:v>3.3333333333333335</c:v>
                </c:pt>
              </c:numCache>
            </c:numRef>
          </c:val>
        </c:ser>
        <c:dLbls>
          <c:showLegendKey val="0"/>
          <c:showVal val="0"/>
          <c:showCatName val="0"/>
          <c:showSerName val="0"/>
          <c:showPercent val="0"/>
          <c:showBubbleSize val="0"/>
        </c:dLbls>
        <c:gapWidth val="50"/>
        <c:axId val="228511104"/>
        <c:axId val="228512896"/>
      </c:barChart>
      <c:catAx>
        <c:axId val="228511104"/>
        <c:scaling>
          <c:orientation val="maxMin"/>
        </c:scaling>
        <c:delete val="0"/>
        <c:axPos val="l"/>
        <c:majorTickMark val="out"/>
        <c:minorTickMark val="none"/>
        <c:tickLblPos val="nextTo"/>
        <c:txPr>
          <a:bodyPr/>
          <a:lstStyle/>
          <a:p>
            <a:pPr>
              <a:defRPr sz="1000"/>
            </a:pPr>
            <a:endParaRPr lang="lv-LV"/>
          </a:p>
        </c:txPr>
        <c:crossAx val="228512896"/>
        <c:crosses val="autoZero"/>
        <c:auto val="1"/>
        <c:lblAlgn val="ctr"/>
        <c:lblOffset val="100"/>
        <c:noMultiLvlLbl val="0"/>
      </c:catAx>
      <c:valAx>
        <c:axId val="228512896"/>
        <c:scaling>
          <c:orientation val="minMax"/>
          <c:max val="100"/>
          <c:min val="0"/>
        </c:scaling>
        <c:delete val="1"/>
        <c:axPos val="t"/>
        <c:numFmt formatCode="0" sourceLinked="1"/>
        <c:majorTickMark val="out"/>
        <c:minorTickMark val="none"/>
        <c:tickLblPos val="none"/>
        <c:crossAx val="228511104"/>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Jūsuprāt, kas ir galvenie iemesli, kādēļ uzņēmumi veic ieguldījumus pētniecībā un attīstībā (izstrādē)? (%)</a:t>
            </a:r>
            <a:endParaRPr lang="en-US" sz="1050"/>
          </a:p>
        </c:rich>
      </c:tx>
      <c:layout>
        <c:manualLayout>
          <c:xMode val="edge"/>
          <c:yMode val="edge"/>
          <c:x val="0.10807017543859661"/>
          <c:y val="2.2226659707882328E-2"/>
        </c:manualLayout>
      </c:layout>
      <c:overlay val="0"/>
    </c:title>
    <c:autoTitleDeleted val="0"/>
    <c:plotArea>
      <c:layout>
        <c:manualLayout>
          <c:layoutTarget val="inner"/>
          <c:xMode val="edge"/>
          <c:yMode val="edge"/>
          <c:x val="0.50636610615060595"/>
          <c:y val="0.15437064603235834"/>
          <c:w val="0.35351408825093067"/>
          <c:h val="0.76701505971695849"/>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Sheet1!$A$2:$A$9</c:f>
              <c:strCache>
                <c:ptCount val="8"/>
                <c:pt idx="0">
                  <c:v>Konkurētspējas, efektivitātes veicināšana</c:v>
                </c:pt>
                <c:pt idx="1">
                  <c:v>Uzņēmuma attīstība</c:v>
                </c:pt>
                <c:pt idx="2">
                  <c:v>Jaunu produktu, pakalpojumu izstrāde</c:v>
                </c:pt>
                <c:pt idx="3">
                  <c:v>Peļņas, apgrozījuma palielināšana</c:v>
                </c:pt>
                <c:pt idx="4">
                  <c:v>Izmaksu optimizācija</c:v>
                </c:pt>
                <c:pt idx="5">
                  <c:v>Jaunu tehnoloģiju apgūšana</c:v>
                </c:pt>
                <c:pt idx="6">
                  <c:v>Jaunu klientu piesaistīšana</c:v>
                </c:pt>
                <c:pt idx="7">
                  <c:v>Produkcijas atbilstība Eiropas standartiem</c:v>
                </c:pt>
              </c:strCache>
            </c:strRef>
          </c:cat>
          <c:val>
            <c:numRef>
              <c:f>Sheet1!$B$2:$B$9</c:f>
              <c:numCache>
                <c:formatCode>0</c:formatCode>
                <c:ptCount val="8"/>
                <c:pt idx="0">
                  <c:v>40.476190476190474</c:v>
                </c:pt>
                <c:pt idx="1">
                  <c:v>29.166666666666668</c:v>
                </c:pt>
                <c:pt idx="2">
                  <c:v>19.642857142857164</c:v>
                </c:pt>
                <c:pt idx="3">
                  <c:v>17.857142857142836</c:v>
                </c:pt>
                <c:pt idx="4">
                  <c:v>7.7380952380952355</c:v>
                </c:pt>
                <c:pt idx="5">
                  <c:v>5.9523809523809472</c:v>
                </c:pt>
                <c:pt idx="6">
                  <c:v>3.5714285714285707</c:v>
                </c:pt>
                <c:pt idx="7">
                  <c:v>0.59523809523809523</c:v>
                </c:pt>
              </c:numCache>
            </c:numRef>
          </c:val>
        </c:ser>
        <c:dLbls>
          <c:showLegendKey val="0"/>
          <c:showVal val="0"/>
          <c:showCatName val="0"/>
          <c:showSerName val="0"/>
          <c:showPercent val="0"/>
          <c:showBubbleSize val="0"/>
        </c:dLbls>
        <c:gapWidth val="50"/>
        <c:axId val="195950080"/>
        <c:axId val="195951616"/>
      </c:barChart>
      <c:catAx>
        <c:axId val="195950080"/>
        <c:scaling>
          <c:orientation val="maxMin"/>
        </c:scaling>
        <c:delete val="0"/>
        <c:axPos val="l"/>
        <c:majorTickMark val="out"/>
        <c:minorTickMark val="none"/>
        <c:tickLblPos val="nextTo"/>
        <c:txPr>
          <a:bodyPr/>
          <a:lstStyle/>
          <a:p>
            <a:pPr>
              <a:defRPr sz="1000"/>
            </a:pPr>
            <a:endParaRPr lang="lv-LV"/>
          </a:p>
        </c:txPr>
        <c:crossAx val="195951616"/>
        <c:crosses val="autoZero"/>
        <c:auto val="1"/>
        <c:lblAlgn val="ctr"/>
        <c:lblOffset val="100"/>
        <c:noMultiLvlLbl val="0"/>
      </c:catAx>
      <c:valAx>
        <c:axId val="195951616"/>
        <c:scaling>
          <c:orientation val="minMax"/>
          <c:max val="100"/>
          <c:min val="0"/>
        </c:scaling>
        <c:delete val="1"/>
        <c:axPos val="t"/>
        <c:numFmt formatCode="0" sourceLinked="1"/>
        <c:majorTickMark val="out"/>
        <c:minorTickMark val="none"/>
        <c:tickLblPos val="none"/>
        <c:crossAx val="195950080"/>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Kas ir galvenie uzņēmumu ieguvumi no ieguldījumiem pētniecībā un attīstībā (izstrādē)? (%)</a:t>
            </a:r>
            <a:endParaRPr lang="en-US" sz="1050"/>
          </a:p>
        </c:rich>
      </c:tx>
      <c:layout>
        <c:manualLayout>
          <c:xMode val="edge"/>
          <c:yMode val="edge"/>
          <c:x val="0.10807017543859661"/>
          <c:y val="2.2226659707882328E-2"/>
        </c:manualLayout>
      </c:layout>
      <c:overlay val="0"/>
    </c:title>
    <c:autoTitleDeleted val="0"/>
    <c:plotArea>
      <c:layout>
        <c:manualLayout>
          <c:layoutTarget val="inner"/>
          <c:xMode val="edge"/>
          <c:yMode val="edge"/>
          <c:x val="0.50636610615060595"/>
          <c:y val="0.15437064603235834"/>
          <c:w val="0.35351408825093067"/>
          <c:h val="0.76701505971695849"/>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Sheet1!$A$2:$A$12</c:f>
              <c:strCache>
                <c:ptCount val="11"/>
                <c:pt idx="0">
                  <c:v>Konkurētspējas palielināšanās</c:v>
                </c:pt>
                <c:pt idx="1">
                  <c:v>Apgrozījuma, peļņas palielināšanās</c:v>
                </c:pt>
                <c:pt idx="2">
                  <c:v>Uzņēmuma attīstība</c:v>
                </c:pt>
                <c:pt idx="3">
                  <c:v>Klientu apmierinātība, klientu skaita palielināšanās</c:v>
                </c:pt>
                <c:pt idx="4">
                  <c:v>Jaunu produktu, pakalpojumu ieviešana</c:v>
                </c:pt>
                <c:pt idx="5">
                  <c:v>Līdzekļu ietaupījums, optimizācija</c:v>
                </c:pt>
                <c:pt idx="6">
                  <c:v>Jaunu tehnoloģiju ieviešana</c:v>
                </c:pt>
                <c:pt idx="7">
                  <c:v>Jaunas darba vietas</c:v>
                </c:pt>
                <c:pt idx="8">
                  <c:v>Personāla izaugsme, kompetenču uzlabošanās</c:v>
                </c:pt>
                <c:pt idx="9">
                  <c:v>Eksporta iespējas</c:v>
                </c:pt>
                <c:pt idx="10">
                  <c:v>Uzņēmuma atpazīstamība</c:v>
                </c:pt>
              </c:strCache>
            </c:strRef>
          </c:cat>
          <c:val>
            <c:numRef>
              <c:f>Sheet1!$B$2:$B$12</c:f>
              <c:numCache>
                <c:formatCode>0</c:formatCode>
                <c:ptCount val="11"/>
                <c:pt idx="0">
                  <c:v>31.724137931034484</c:v>
                </c:pt>
                <c:pt idx="1">
                  <c:v>29.655172413793103</c:v>
                </c:pt>
                <c:pt idx="2">
                  <c:v>14.482758620689665</c:v>
                </c:pt>
                <c:pt idx="3">
                  <c:v>13.103448275862076</c:v>
                </c:pt>
                <c:pt idx="4">
                  <c:v>13.103448275862076</c:v>
                </c:pt>
                <c:pt idx="5">
                  <c:v>10.344827586206897</c:v>
                </c:pt>
                <c:pt idx="6">
                  <c:v>6.2068965517241423</c:v>
                </c:pt>
                <c:pt idx="7">
                  <c:v>2.0689655172413812</c:v>
                </c:pt>
                <c:pt idx="8">
                  <c:v>0.6896551724137947</c:v>
                </c:pt>
                <c:pt idx="9">
                  <c:v>0.6896551724137947</c:v>
                </c:pt>
                <c:pt idx="10">
                  <c:v>0.6896551724137947</c:v>
                </c:pt>
              </c:numCache>
            </c:numRef>
          </c:val>
        </c:ser>
        <c:dLbls>
          <c:showLegendKey val="0"/>
          <c:showVal val="0"/>
          <c:showCatName val="0"/>
          <c:showSerName val="0"/>
          <c:showPercent val="0"/>
          <c:showBubbleSize val="0"/>
        </c:dLbls>
        <c:gapWidth val="50"/>
        <c:axId val="215506304"/>
        <c:axId val="215532672"/>
      </c:barChart>
      <c:catAx>
        <c:axId val="215506304"/>
        <c:scaling>
          <c:orientation val="maxMin"/>
        </c:scaling>
        <c:delete val="0"/>
        <c:axPos val="l"/>
        <c:majorTickMark val="out"/>
        <c:minorTickMark val="none"/>
        <c:tickLblPos val="nextTo"/>
        <c:txPr>
          <a:bodyPr/>
          <a:lstStyle/>
          <a:p>
            <a:pPr>
              <a:defRPr sz="1000"/>
            </a:pPr>
            <a:endParaRPr lang="lv-LV"/>
          </a:p>
        </c:txPr>
        <c:crossAx val="215532672"/>
        <c:crosses val="autoZero"/>
        <c:auto val="1"/>
        <c:lblAlgn val="ctr"/>
        <c:lblOffset val="100"/>
        <c:noMultiLvlLbl val="0"/>
      </c:catAx>
      <c:valAx>
        <c:axId val="215532672"/>
        <c:scaling>
          <c:orientation val="minMax"/>
          <c:max val="100"/>
          <c:min val="0"/>
        </c:scaling>
        <c:delete val="1"/>
        <c:axPos val="t"/>
        <c:numFmt formatCode="0" sourceLinked="1"/>
        <c:majorTickMark val="out"/>
        <c:minorTickMark val="none"/>
        <c:tickLblPos val="none"/>
        <c:crossAx val="215506304"/>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Jūsuprāt, vai esošie valsts atbalsta instrumenti uzņēmējdarbībai ir pietiekami, lai stimulētu veikt ieguldījumus pētniecībā un attīstībā (izstrādē)? Vai atbalsta instrumenti ir...? (%)</a:t>
            </a:r>
            <a:endParaRPr lang="en-US" sz="1050"/>
          </a:p>
        </c:rich>
      </c:tx>
      <c:layout>
        <c:manualLayout>
          <c:xMode val="edge"/>
          <c:yMode val="edge"/>
          <c:x val="0.13211049575740857"/>
          <c:y val="3.7444627721930052E-2"/>
        </c:manualLayout>
      </c:layout>
      <c:overlay val="0"/>
    </c:title>
    <c:autoTitleDeleted val="0"/>
    <c:plotArea>
      <c:layout>
        <c:manualLayout>
          <c:layoutTarget val="inner"/>
          <c:xMode val="edge"/>
          <c:yMode val="edge"/>
          <c:x val="0.37269085383465889"/>
          <c:y val="0.16726072607260728"/>
          <c:w val="0.2812121212121213"/>
          <c:h val="0.76995633187772927"/>
        </c:manualLayout>
      </c:layout>
      <c:pieChart>
        <c:varyColors val="1"/>
        <c:ser>
          <c:idx val="0"/>
          <c:order val="0"/>
          <c:tx>
            <c:strRef>
              <c:f>Sheet1!$B$1</c:f>
              <c:strCache>
                <c:ptCount val="1"/>
                <c:pt idx="0">
                  <c:v>Series 1</c:v>
                </c:pt>
              </c:strCache>
            </c:strRef>
          </c:tx>
          <c:spPr>
            <a:solidFill>
              <a:srgbClr val="9BBB59">
                <a:lumMod val="75000"/>
              </a:srgbClr>
            </a:solidFill>
            <a:ln>
              <a:noFill/>
            </a:ln>
          </c:spPr>
          <c:dPt>
            <c:idx val="1"/>
            <c:bubble3D val="0"/>
            <c:spPr>
              <a:solidFill>
                <a:srgbClr val="9BBB59"/>
              </a:solidFill>
              <a:ln>
                <a:noFill/>
              </a:ln>
            </c:spPr>
          </c:dPt>
          <c:dPt>
            <c:idx val="2"/>
            <c:bubble3D val="0"/>
            <c:spPr>
              <a:solidFill>
                <a:srgbClr val="FFC000"/>
              </a:solidFill>
              <a:ln>
                <a:noFill/>
              </a:ln>
            </c:spPr>
          </c:dPt>
          <c:dPt>
            <c:idx val="3"/>
            <c:bubble3D val="0"/>
            <c:spPr>
              <a:solidFill>
                <a:srgbClr val="F79646">
                  <a:lumMod val="75000"/>
                </a:srgbClr>
              </a:solidFill>
              <a:ln>
                <a:noFill/>
              </a:ln>
            </c:spPr>
          </c:dPt>
          <c:dPt>
            <c:idx val="4"/>
            <c:bubble3D val="0"/>
            <c:spPr>
              <a:solidFill>
                <a:sysClr val="window" lastClr="FFFFFF">
                  <a:lumMod val="75000"/>
                </a:sysClr>
              </a:solidFill>
              <a:ln>
                <a:noFill/>
              </a:ln>
            </c:spPr>
          </c:dPt>
          <c:dLbls>
            <c:dLbl>
              <c:idx val="0"/>
              <c:layout>
                <c:manualLayout>
                  <c:x val="4.7457584548343132E-2"/>
                  <c:y val="-5.3506374944238808E-2"/>
                </c:manualLayout>
              </c:layout>
              <c:numFmt formatCode="0.0%" sourceLinked="0"/>
              <c:spPr/>
              <c:txPr>
                <a:bodyPr/>
                <a:lstStyle/>
                <a:p>
                  <a:pPr>
                    <a:defRPr/>
                  </a:pPr>
                  <a:endParaRPr lang="lv-LV"/>
                </a:p>
              </c:txPr>
              <c:dLblPos val="bestFit"/>
              <c:showLegendKey val="0"/>
              <c:showVal val="0"/>
              <c:showCatName val="1"/>
              <c:showSerName val="0"/>
              <c:showPercent val="1"/>
              <c:showBubbleSize val="0"/>
            </c:dLbl>
            <c:dLbl>
              <c:idx val="1"/>
              <c:layout>
                <c:manualLayout>
                  <c:x val="3.5911037436110009E-2"/>
                  <c:y val="2.4224580623074289E-2"/>
                </c:manualLayout>
              </c:layout>
              <c:dLblPos val="bestFit"/>
              <c:showLegendKey val="0"/>
              <c:showVal val="0"/>
              <c:showCatName val="1"/>
              <c:showSerName val="0"/>
              <c:showPercent val="1"/>
              <c:showBubbleSize val="0"/>
            </c:dLbl>
            <c:dLbl>
              <c:idx val="2"/>
              <c:layout>
                <c:manualLayout>
                  <c:x val="-1.1938866493362907E-2"/>
                  <c:y val="-3.0007189695347488E-2"/>
                </c:manualLayout>
              </c:layout>
              <c:dLblPos val="bestFit"/>
              <c:showLegendKey val="0"/>
              <c:showVal val="0"/>
              <c:showCatName val="1"/>
              <c:showSerName val="0"/>
              <c:showPercent val="1"/>
              <c:showBubbleSize val="0"/>
            </c:dLbl>
            <c:dLbl>
              <c:idx val="3"/>
              <c:layout>
                <c:manualLayout>
                  <c:x val="3.7873973887235482E-3"/>
                  <c:y val="1.29486580975798E-2"/>
                </c:manualLayout>
              </c:layout>
              <c:dLblPos val="bestFit"/>
              <c:showLegendKey val="0"/>
              <c:showVal val="0"/>
              <c:showCatName val="1"/>
              <c:showSerName val="0"/>
              <c:showPercent val="1"/>
              <c:showBubbleSize val="0"/>
            </c:dLbl>
            <c:dLbl>
              <c:idx val="4"/>
              <c:layout>
                <c:manualLayout>
                  <c:x val="3.5957084311829444E-2"/>
                  <c:y val="0.23669644061290782"/>
                </c:manualLayout>
              </c:layout>
              <c:dLblPos val="bestFit"/>
              <c:showLegendKey val="0"/>
              <c:showVal val="0"/>
              <c:showCatName val="1"/>
              <c:showSerName val="0"/>
              <c:showPercent val="1"/>
              <c:showBubbleSize val="0"/>
            </c:dLbl>
            <c:dLblPos val="ctr"/>
            <c:showLegendKey val="0"/>
            <c:showVal val="0"/>
            <c:showCatName val="1"/>
            <c:showSerName val="0"/>
            <c:showPercent val="1"/>
            <c:showBubbleSize val="0"/>
            <c:showLeaderLines val="1"/>
          </c:dLbls>
          <c:cat>
            <c:strRef>
              <c:f>Sheet1!$A$2:$A$6</c:f>
              <c:strCache>
                <c:ptCount val="5"/>
                <c:pt idx="0">
                  <c:v>Pilnībā pietiekami</c:v>
                </c:pt>
                <c:pt idx="1">
                  <c:v>Drīzāk pietiekami</c:v>
                </c:pt>
                <c:pt idx="2">
                  <c:v>Drīzāk nepietiekami</c:v>
                </c:pt>
                <c:pt idx="3">
                  <c:v>Pilnībā nepietiekami</c:v>
                </c:pt>
                <c:pt idx="4">
                  <c:v>Grūti pateikt</c:v>
                </c:pt>
              </c:strCache>
            </c:strRef>
          </c:cat>
          <c:val>
            <c:numRef>
              <c:f>Sheet1!$B$2:$B$6</c:f>
              <c:numCache>
                <c:formatCode>0</c:formatCode>
                <c:ptCount val="5"/>
                <c:pt idx="0" formatCode="0.0">
                  <c:v>0.3012048192771089</c:v>
                </c:pt>
                <c:pt idx="1">
                  <c:v>3.3132530120481927</c:v>
                </c:pt>
                <c:pt idx="2">
                  <c:v>34.638554216867469</c:v>
                </c:pt>
                <c:pt idx="3">
                  <c:v>25.301204819277107</c:v>
                </c:pt>
                <c:pt idx="4">
                  <c:v>36.445783132530117</c:v>
                </c:pt>
              </c:numCache>
            </c:numRef>
          </c:val>
        </c:ser>
        <c:dLbls>
          <c:showLegendKey val="0"/>
          <c:showVal val="0"/>
          <c:showCatName val="0"/>
          <c:showSerName val="0"/>
          <c:showPercent val="0"/>
          <c:showBubbleSize val="0"/>
          <c:showLeaderLines val="1"/>
        </c:dLbls>
        <c:firstSliceAng val="60"/>
      </c:pieChart>
    </c:plotArea>
    <c:plotVisOnly val="1"/>
    <c:dispBlanksAs val="zero"/>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Jūsuprāt, vai esošie valsts atbalsta instrumenti uzņēmējdarbībai ir pietiekami, lai stimulētu veikt ieguldījumus pētniecībā un attīstībā (izstrādē)? Vai atbalsta instrumenti ir...? (%)</a:t>
            </a:r>
            <a:endParaRPr lang="en-US" sz="1050"/>
          </a:p>
        </c:rich>
      </c:tx>
      <c:layout>
        <c:manualLayout>
          <c:xMode val="edge"/>
          <c:yMode val="edge"/>
          <c:x val="0.11065583309263367"/>
          <c:y val="1.2257849791248004E-2"/>
        </c:manualLayout>
      </c:layout>
      <c:overlay val="0"/>
    </c:title>
    <c:autoTitleDeleted val="0"/>
    <c:plotArea>
      <c:layout>
        <c:manualLayout>
          <c:layoutTarget val="inner"/>
          <c:xMode val="edge"/>
          <c:yMode val="edge"/>
          <c:x val="0.49390297504678005"/>
          <c:y val="0.12315023029253595"/>
          <c:w val="0.43006911217437532"/>
          <c:h val="0.7812947081466225"/>
        </c:manualLayout>
      </c:layout>
      <c:barChart>
        <c:barDir val="bar"/>
        <c:grouping val="percentStacked"/>
        <c:varyColors val="0"/>
        <c:ser>
          <c:idx val="1"/>
          <c:order val="1"/>
          <c:tx>
            <c:strRef>
              <c:f>Sheet1!$C$1</c:f>
              <c:strCache>
                <c:ptCount val="1"/>
                <c:pt idx="0">
                  <c:v>Pilnībā pietiekami</c:v>
                </c:pt>
              </c:strCache>
            </c:strRef>
          </c:tx>
          <c:spPr>
            <a:solidFill>
              <a:srgbClr val="9BBB59">
                <a:lumMod val="75000"/>
              </a:srgbClr>
            </a:solidFill>
          </c:spPr>
          <c:invertIfNegative val="0"/>
          <c:dLbls>
            <c:dLbl>
              <c:idx val="0"/>
              <c:layout>
                <c:manualLayout>
                  <c:x val="2.1265284423179227E-3"/>
                  <c:y val="1.3868251609707803E-2"/>
                </c:manualLayout>
              </c:layout>
              <c:dLblPos val="ctr"/>
              <c:showLegendKey val="0"/>
              <c:showVal val="1"/>
              <c:showCatName val="0"/>
              <c:showSerName val="0"/>
              <c:showPercent val="0"/>
              <c:showBubbleSize val="0"/>
            </c:dLbl>
            <c:dLbl>
              <c:idx val="24"/>
              <c:layout>
                <c:manualLayout>
                  <c:x val="0"/>
                  <c:y val="1.58494304110946E-2"/>
                </c:manualLayout>
              </c:layout>
              <c:dLblPos val="ctr"/>
              <c:showLegendKey val="0"/>
              <c:showVal val="1"/>
              <c:showCatName val="0"/>
              <c:showSerName val="0"/>
              <c:showPercent val="0"/>
              <c:showBubbleSize val="0"/>
            </c:dLbl>
            <c:dLblPos val="ctr"/>
            <c:showLegendKey val="0"/>
            <c:showVal val="1"/>
            <c:showCatName val="0"/>
            <c:showSerName val="0"/>
            <c:showPercent val="0"/>
            <c:showBubbleSize val="0"/>
            <c:showLeaderLines val="0"/>
          </c:dLbls>
          <c:cat>
            <c:strRef>
              <c:f>Sheet1!$A$2:$A$26</c:f>
              <c:strCache>
                <c:ptCount val="25"/>
                <c:pt idx="0">
                  <c:v>KOPĀ, n=332</c:v>
                </c:pt>
                <c:pt idx="1">
                  <c:v>DIBINĀŠANAS GADS*</c:v>
                </c:pt>
                <c:pt idx="2">
                  <c:v>Līdz 1991.gadam, n=32</c:v>
                </c:pt>
                <c:pt idx="3">
                  <c:v>1992.-2000.gads, n=125</c:v>
                </c:pt>
                <c:pt idx="4">
                  <c:v>2001.-2007.gads, n=94</c:v>
                </c:pt>
                <c:pt idx="5">
                  <c:v>2008.-2013.gads, n=81</c:v>
                </c:pt>
                <c:pt idx="6">
                  <c:v>DARBINIEKU SKAITS</c:v>
                </c:pt>
                <c:pt idx="7">
                  <c:v>1–9, n=222</c:v>
                </c:pt>
                <c:pt idx="8">
                  <c:v>10–19, n=43</c:v>
                </c:pt>
                <c:pt idx="9">
                  <c:v>20–49, n=28</c:v>
                </c:pt>
                <c:pt idx="10">
                  <c:v>50 un vairāk, n=39</c:v>
                </c:pt>
                <c:pt idx="11">
                  <c:v>NOZARE</c:v>
                </c:pt>
                <c:pt idx="12">
                  <c:v>Ražošanas un rūpniecības, n=25**</c:v>
                </c:pt>
                <c:pt idx="13">
                  <c:v>Tirdzniecības, n=59</c:v>
                </c:pt>
                <c:pt idx="14">
                  <c:v>Pakalpojumu, n=110</c:v>
                </c:pt>
                <c:pt idx="15">
                  <c:v>Būvniecības, n=30</c:v>
                </c:pt>
                <c:pt idx="16">
                  <c:v>Cits, n=108</c:v>
                </c:pt>
                <c:pt idx="17">
                  <c:v>APGROZĪJUMS 2012.GADĀ*</c:v>
                </c:pt>
                <c:pt idx="18">
                  <c:v>Līdz 50 000 LVL, n=146</c:v>
                </c:pt>
                <c:pt idx="19">
                  <c:v>50 001 – 100 000 LVL, n=52</c:v>
                </c:pt>
                <c:pt idx="20">
                  <c:v>100 001 – 500 000 LVL, n=70</c:v>
                </c:pt>
                <c:pt idx="21">
                  <c:v>Vairāk par 500 000 LVL, n=56</c:v>
                </c:pt>
                <c:pt idx="22">
                  <c:v>IEGULDĪJUMI PĒTNIECĪBAS JOMĀ PĒDĒJO 3 g. LAIKĀ</c:v>
                </c:pt>
                <c:pt idx="23">
                  <c:v>Jā, n=103</c:v>
                </c:pt>
                <c:pt idx="24">
                  <c:v>Nē, n=229</c:v>
                </c:pt>
              </c:strCache>
            </c:strRef>
          </c:cat>
          <c:val>
            <c:numRef>
              <c:f>Sheet1!$C$2:$C$26</c:f>
              <c:numCache>
                <c:formatCode>General</c:formatCode>
                <c:ptCount val="25"/>
                <c:pt idx="0" formatCode="0.0">
                  <c:v>0.3012048192771089</c:v>
                </c:pt>
                <c:pt idx="4" formatCode="0">
                  <c:v>1.0638297872340394</c:v>
                </c:pt>
                <c:pt idx="8" formatCode="0">
                  <c:v>2.3255813953488373</c:v>
                </c:pt>
                <c:pt idx="13" formatCode="0">
                  <c:v>1.6949152542372881</c:v>
                </c:pt>
                <c:pt idx="20" formatCode="0">
                  <c:v>1.4285714285714286</c:v>
                </c:pt>
                <c:pt idx="24" formatCode="0.0">
                  <c:v>0.43668122270742382</c:v>
                </c:pt>
              </c:numCache>
            </c:numRef>
          </c:val>
        </c:ser>
        <c:ser>
          <c:idx val="2"/>
          <c:order val="2"/>
          <c:tx>
            <c:strRef>
              <c:f>Sheet1!$D$1</c:f>
              <c:strCache>
                <c:ptCount val="1"/>
                <c:pt idx="0">
                  <c:v>Drīzāk pietiekami</c:v>
                </c:pt>
              </c:strCache>
            </c:strRef>
          </c:tx>
          <c:spPr>
            <a:solidFill>
              <a:srgbClr val="9BBB59"/>
            </a:solidFill>
          </c:spPr>
          <c:invertIfNegative val="0"/>
          <c:dLbls>
            <c:showLegendKey val="0"/>
            <c:showVal val="1"/>
            <c:showCatName val="0"/>
            <c:showSerName val="0"/>
            <c:showPercent val="0"/>
            <c:showBubbleSize val="0"/>
            <c:showLeaderLines val="0"/>
          </c:dLbls>
          <c:cat>
            <c:strRef>
              <c:f>Sheet1!$A$2:$A$26</c:f>
              <c:strCache>
                <c:ptCount val="25"/>
                <c:pt idx="0">
                  <c:v>KOPĀ, n=332</c:v>
                </c:pt>
                <c:pt idx="1">
                  <c:v>DIBINĀŠANAS GADS*</c:v>
                </c:pt>
                <c:pt idx="2">
                  <c:v>Līdz 1991.gadam, n=32</c:v>
                </c:pt>
                <c:pt idx="3">
                  <c:v>1992.-2000.gads, n=125</c:v>
                </c:pt>
                <c:pt idx="4">
                  <c:v>2001.-2007.gads, n=94</c:v>
                </c:pt>
                <c:pt idx="5">
                  <c:v>2008.-2013.gads, n=81</c:v>
                </c:pt>
                <c:pt idx="6">
                  <c:v>DARBINIEKU SKAITS</c:v>
                </c:pt>
                <c:pt idx="7">
                  <c:v>1–9, n=222</c:v>
                </c:pt>
                <c:pt idx="8">
                  <c:v>10–19, n=43</c:v>
                </c:pt>
                <c:pt idx="9">
                  <c:v>20–49, n=28</c:v>
                </c:pt>
                <c:pt idx="10">
                  <c:v>50 un vairāk, n=39</c:v>
                </c:pt>
                <c:pt idx="11">
                  <c:v>NOZARE</c:v>
                </c:pt>
                <c:pt idx="12">
                  <c:v>Ražošanas un rūpniecības, n=25**</c:v>
                </c:pt>
                <c:pt idx="13">
                  <c:v>Tirdzniecības, n=59</c:v>
                </c:pt>
                <c:pt idx="14">
                  <c:v>Pakalpojumu, n=110</c:v>
                </c:pt>
                <c:pt idx="15">
                  <c:v>Būvniecības, n=30</c:v>
                </c:pt>
                <c:pt idx="16">
                  <c:v>Cits, n=108</c:v>
                </c:pt>
                <c:pt idx="17">
                  <c:v>APGROZĪJUMS 2012.GADĀ*</c:v>
                </c:pt>
                <c:pt idx="18">
                  <c:v>Līdz 50 000 LVL, n=146</c:v>
                </c:pt>
                <c:pt idx="19">
                  <c:v>50 001 – 100 000 LVL, n=52</c:v>
                </c:pt>
                <c:pt idx="20">
                  <c:v>100 001 – 500 000 LVL, n=70</c:v>
                </c:pt>
                <c:pt idx="21">
                  <c:v>Vairāk par 500 000 LVL, n=56</c:v>
                </c:pt>
                <c:pt idx="22">
                  <c:v>IEGULDĪJUMI PĒTNIECĪBAS JOMĀ PĒDĒJO 3 g. LAIKĀ</c:v>
                </c:pt>
                <c:pt idx="23">
                  <c:v>Jā, n=103</c:v>
                </c:pt>
                <c:pt idx="24">
                  <c:v>Nē, n=229</c:v>
                </c:pt>
              </c:strCache>
            </c:strRef>
          </c:cat>
          <c:val>
            <c:numRef>
              <c:f>Sheet1!$D$2:$D$26</c:f>
              <c:numCache>
                <c:formatCode>General</c:formatCode>
                <c:ptCount val="25"/>
                <c:pt idx="0" formatCode="0">
                  <c:v>3.3132530120481927</c:v>
                </c:pt>
                <c:pt idx="3" formatCode="0">
                  <c:v>4.8</c:v>
                </c:pt>
                <c:pt idx="4" formatCode="0">
                  <c:v>2.1276595744680837</c:v>
                </c:pt>
                <c:pt idx="5" formatCode="0">
                  <c:v>3.7037037037037042</c:v>
                </c:pt>
                <c:pt idx="7" formatCode="0">
                  <c:v>4.0540540540540491</c:v>
                </c:pt>
                <c:pt idx="8" formatCode="0">
                  <c:v>2.3255813953488373</c:v>
                </c:pt>
                <c:pt idx="10" formatCode="0">
                  <c:v>2.5641025641025652</c:v>
                </c:pt>
                <c:pt idx="14" formatCode="0">
                  <c:v>4.5454545454545459</c:v>
                </c:pt>
                <c:pt idx="16" formatCode="0">
                  <c:v>5.5555555555555456</c:v>
                </c:pt>
                <c:pt idx="18" formatCode="0">
                  <c:v>3.4246575342465753</c:v>
                </c:pt>
                <c:pt idx="19" formatCode="0">
                  <c:v>1.9230769230769249</c:v>
                </c:pt>
                <c:pt idx="20" formatCode="0">
                  <c:v>2.8571428571428572</c:v>
                </c:pt>
                <c:pt idx="21" formatCode="0">
                  <c:v>3.5714285714285707</c:v>
                </c:pt>
                <c:pt idx="23" formatCode="0">
                  <c:v>4.8543689320388363</c:v>
                </c:pt>
                <c:pt idx="24" formatCode="0">
                  <c:v>2.6200873362445414</c:v>
                </c:pt>
              </c:numCache>
            </c:numRef>
          </c:val>
        </c:ser>
        <c:ser>
          <c:idx val="3"/>
          <c:order val="3"/>
          <c:tx>
            <c:strRef>
              <c:f>Sheet1!$E$1</c:f>
              <c:strCache>
                <c:ptCount val="1"/>
                <c:pt idx="0">
                  <c:v>Drīzāk nepietiekami</c:v>
                </c:pt>
              </c:strCache>
            </c:strRef>
          </c:tx>
          <c:spPr>
            <a:solidFill>
              <a:srgbClr val="FFC000"/>
            </a:solidFill>
          </c:spPr>
          <c:invertIfNegative val="0"/>
          <c:dLbls>
            <c:showLegendKey val="0"/>
            <c:showVal val="1"/>
            <c:showCatName val="0"/>
            <c:showSerName val="0"/>
            <c:showPercent val="0"/>
            <c:showBubbleSize val="0"/>
            <c:showLeaderLines val="0"/>
          </c:dLbls>
          <c:cat>
            <c:strRef>
              <c:f>Sheet1!$A$2:$A$26</c:f>
              <c:strCache>
                <c:ptCount val="25"/>
                <c:pt idx="0">
                  <c:v>KOPĀ, n=332</c:v>
                </c:pt>
                <c:pt idx="1">
                  <c:v>DIBINĀŠANAS GADS*</c:v>
                </c:pt>
                <c:pt idx="2">
                  <c:v>Līdz 1991.gadam, n=32</c:v>
                </c:pt>
                <c:pt idx="3">
                  <c:v>1992.-2000.gads, n=125</c:v>
                </c:pt>
                <c:pt idx="4">
                  <c:v>2001.-2007.gads, n=94</c:v>
                </c:pt>
                <c:pt idx="5">
                  <c:v>2008.-2013.gads, n=81</c:v>
                </c:pt>
                <c:pt idx="6">
                  <c:v>DARBINIEKU SKAITS</c:v>
                </c:pt>
                <c:pt idx="7">
                  <c:v>1–9, n=222</c:v>
                </c:pt>
                <c:pt idx="8">
                  <c:v>10–19, n=43</c:v>
                </c:pt>
                <c:pt idx="9">
                  <c:v>20–49, n=28</c:v>
                </c:pt>
                <c:pt idx="10">
                  <c:v>50 un vairāk, n=39</c:v>
                </c:pt>
                <c:pt idx="11">
                  <c:v>NOZARE</c:v>
                </c:pt>
                <c:pt idx="12">
                  <c:v>Ražošanas un rūpniecības, n=25**</c:v>
                </c:pt>
                <c:pt idx="13">
                  <c:v>Tirdzniecības, n=59</c:v>
                </c:pt>
                <c:pt idx="14">
                  <c:v>Pakalpojumu, n=110</c:v>
                </c:pt>
                <c:pt idx="15">
                  <c:v>Būvniecības, n=30</c:v>
                </c:pt>
                <c:pt idx="16">
                  <c:v>Cits, n=108</c:v>
                </c:pt>
                <c:pt idx="17">
                  <c:v>APGROZĪJUMS 2012.GADĀ*</c:v>
                </c:pt>
                <c:pt idx="18">
                  <c:v>Līdz 50 000 LVL, n=146</c:v>
                </c:pt>
                <c:pt idx="19">
                  <c:v>50 001 – 100 000 LVL, n=52</c:v>
                </c:pt>
                <c:pt idx="20">
                  <c:v>100 001 – 500 000 LVL, n=70</c:v>
                </c:pt>
                <c:pt idx="21">
                  <c:v>Vairāk par 500 000 LVL, n=56</c:v>
                </c:pt>
                <c:pt idx="22">
                  <c:v>IEGULDĪJUMI PĒTNIECĪBAS JOMĀ PĒDĒJO 3 g. LAIKĀ</c:v>
                </c:pt>
                <c:pt idx="23">
                  <c:v>Jā, n=103</c:v>
                </c:pt>
                <c:pt idx="24">
                  <c:v>Nē, n=229</c:v>
                </c:pt>
              </c:strCache>
            </c:strRef>
          </c:cat>
          <c:val>
            <c:numRef>
              <c:f>Sheet1!$E$2:$E$26</c:f>
              <c:numCache>
                <c:formatCode>General</c:formatCode>
                <c:ptCount val="25"/>
                <c:pt idx="0" formatCode="0">
                  <c:v>34.638554216867469</c:v>
                </c:pt>
                <c:pt idx="2" formatCode="0">
                  <c:v>53.125000000000043</c:v>
                </c:pt>
                <c:pt idx="3" formatCode="0">
                  <c:v>31.2</c:v>
                </c:pt>
                <c:pt idx="4" formatCode="0">
                  <c:v>32.978723404255305</c:v>
                </c:pt>
                <c:pt idx="5" formatCode="0">
                  <c:v>34.567901234567913</c:v>
                </c:pt>
                <c:pt idx="7" formatCode="0">
                  <c:v>31.531531531531506</c:v>
                </c:pt>
                <c:pt idx="8" formatCode="0">
                  <c:v>39.534883720930225</c:v>
                </c:pt>
                <c:pt idx="9" formatCode="0">
                  <c:v>35.714285714285715</c:v>
                </c:pt>
                <c:pt idx="10" formatCode="0">
                  <c:v>46.153846153846033</c:v>
                </c:pt>
                <c:pt idx="12" formatCode="0">
                  <c:v>36</c:v>
                </c:pt>
                <c:pt idx="13" formatCode="0">
                  <c:v>45.762711864406839</c:v>
                </c:pt>
                <c:pt idx="14" formatCode="0">
                  <c:v>38.181818181818144</c:v>
                </c:pt>
                <c:pt idx="15" formatCode="0">
                  <c:v>23.33333333333329</c:v>
                </c:pt>
                <c:pt idx="16" formatCode="0">
                  <c:v>27.777777777777779</c:v>
                </c:pt>
                <c:pt idx="18" formatCode="0">
                  <c:v>30.82191780821919</c:v>
                </c:pt>
                <c:pt idx="19" formatCode="0">
                  <c:v>28.846153846153829</c:v>
                </c:pt>
                <c:pt idx="20" formatCode="0">
                  <c:v>34.285714285714285</c:v>
                </c:pt>
                <c:pt idx="21" formatCode="0">
                  <c:v>42.857142857142797</c:v>
                </c:pt>
                <c:pt idx="23" formatCode="0">
                  <c:v>45.631067961165044</c:v>
                </c:pt>
                <c:pt idx="24" formatCode="0">
                  <c:v>29.694323144104803</c:v>
                </c:pt>
              </c:numCache>
            </c:numRef>
          </c:val>
        </c:ser>
        <c:ser>
          <c:idx val="0"/>
          <c:order val="0"/>
          <c:tx>
            <c:strRef>
              <c:f>Sheet1!$B$1</c:f>
              <c:strCache>
                <c:ptCount val="1"/>
                <c:pt idx="0">
                  <c:v>Column2</c:v>
                </c:pt>
              </c:strCache>
            </c:strRef>
          </c:tx>
          <c:spPr>
            <a:solidFill>
              <a:srgbClr val="9BBB59">
                <a:lumMod val="75000"/>
              </a:srgbClr>
            </a:solidFill>
            <a:ln>
              <a:noFill/>
            </a:ln>
          </c:spPr>
          <c:invertIfNegative val="0"/>
          <c:dPt>
            <c:idx val="1"/>
            <c:invertIfNegative val="0"/>
            <c:bubble3D val="0"/>
            <c:spPr>
              <a:solidFill>
                <a:srgbClr val="9BBB59"/>
              </a:solidFill>
              <a:ln>
                <a:noFill/>
              </a:ln>
            </c:spPr>
          </c:dPt>
          <c:dPt>
            <c:idx val="2"/>
            <c:invertIfNegative val="0"/>
            <c:bubble3D val="0"/>
            <c:spPr>
              <a:solidFill>
                <a:srgbClr val="FFC000"/>
              </a:solidFill>
              <a:ln>
                <a:noFill/>
              </a:ln>
            </c:spPr>
          </c:dPt>
          <c:dPt>
            <c:idx val="3"/>
            <c:invertIfNegative val="0"/>
            <c:bubble3D val="0"/>
            <c:spPr>
              <a:solidFill>
                <a:srgbClr val="F79646">
                  <a:lumMod val="75000"/>
                </a:srgbClr>
              </a:solidFill>
              <a:ln>
                <a:noFill/>
              </a:ln>
            </c:spPr>
          </c:dPt>
          <c:dPt>
            <c:idx val="4"/>
            <c:invertIfNegative val="0"/>
            <c:bubble3D val="0"/>
            <c:spPr>
              <a:solidFill>
                <a:sysClr val="window" lastClr="FFFFFF">
                  <a:lumMod val="75000"/>
                </a:sysClr>
              </a:solidFill>
              <a:ln>
                <a:noFill/>
              </a:ln>
            </c:spPr>
          </c:dPt>
          <c:dLbls>
            <c:showLegendKey val="0"/>
            <c:showVal val="1"/>
            <c:showCatName val="0"/>
            <c:showSerName val="0"/>
            <c:showPercent val="0"/>
            <c:showBubbleSize val="0"/>
            <c:showLeaderLines val="0"/>
          </c:dLbls>
          <c:cat>
            <c:strRef>
              <c:f>Sheet1!$A$2:$A$26</c:f>
              <c:strCache>
                <c:ptCount val="25"/>
                <c:pt idx="0">
                  <c:v>KOPĀ, n=332</c:v>
                </c:pt>
                <c:pt idx="1">
                  <c:v>DIBINĀŠANAS GADS*</c:v>
                </c:pt>
                <c:pt idx="2">
                  <c:v>Līdz 1991.gadam, n=32</c:v>
                </c:pt>
                <c:pt idx="3">
                  <c:v>1992.-2000.gads, n=125</c:v>
                </c:pt>
                <c:pt idx="4">
                  <c:v>2001.-2007.gads, n=94</c:v>
                </c:pt>
                <c:pt idx="5">
                  <c:v>2008.-2013.gads, n=81</c:v>
                </c:pt>
                <c:pt idx="6">
                  <c:v>DARBINIEKU SKAITS</c:v>
                </c:pt>
                <c:pt idx="7">
                  <c:v>1–9, n=222</c:v>
                </c:pt>
                <c:pt idx="8">
                  <c:v>10–19, n=43</c:v>
                </c:pt>
                <c:pt idx="9">
                  <c:v>20–49, n=28</c:v>
                </c:pt>
                <c:pt idx="10">
                  <c:v>50 un vairāk, n=39</c:v>
                </c:pt>
                <c:pt idx="11">
                  <c:v>NOZARE</c:v>
                </c:pt>
                <c:pt idx="12">
                  <c:v>Ražošanas un rūpniecības, n=25**</c:v>
                </c:pt>
                <c:pt idx="13">
                  <c:v>Tirdzniecības, n=59</c:v>
                </c:pt>
                <c:pt idx="14">
                  <c:v>Pakalpojumu, n=110</c:v>
                </c:pt>
                <c:pt idx="15">
                  <c:v>Būvniecības, n=30</c:v>
                </c:pt>
                <c:pt idx="16">
                  <c:v>Cits, n=108</c:v>
                </c:pt>
                <c:pt idx="17">
                  <c:v>APGROZĪJUMS 2012.GADĀ*</c:v>
                </c:pt>
                <c:pt idx="18">
                  <c:v>Līdz 50 000 LVL, n=146</c:v>
                </c:pt>
                <c:pt idx="19">
                  <c:v>50 001 – 100 000 LVL, n=52</c:v>
                </c:pt>
                <c:pt idx="20">
                  <c:v>100 001 – 500 000 LVL, n=70</c:v>
                </c:pt>
                <c:pt idx="21">
                  <c:v>Vairāk par 500 000 LVL, n=56</c:v>
                </c:pt>
                <c:pt idx="22">
                  <c:v>IEGULDĪJUMI PĒTNIECĪBAS JOMĀ PĒDĒJO 3 g. LAIKĀ</c:v>
                </c:pt>
                <c:pt idx="23">
                  <c:v>Jā, n=103</c:v>
                </c:pt>
                <c:pt idx="24">
                  <c:v>Nē, n=229</c:v>
                </c:pt>
              </c:strCache>
            </c:strRef>
          </c:cat>
          <c:val>
            <c:numRef>
              <c:f>Sheet1!$B$2:$B$26</c:f>
              <c:numCache>
                <c:formatCode>General</c:formatCode>
                <c:ptCount val="25"/>
              </c:numCache>
            </c:numRef>
          </c:val>
        </c:ser>
        <c:ser>
          <c:idx val="4"/>
          <c:order val="4"/>
          <c:tx>
            <c:strRef>
              <c:f>Sheet1!$F$1</c:f>
              <c:strCache>
                <c:ptCount val="1"/>
                <c:pt idx="0">
                  <c:v>Pilnībā nepietiekami</c:v>
                </c:pt>
              </c:strCache>
            </c:strRef>
          </c:tx>
          <c:spPr>
            <a:solidFill>
              <a:srgbClr val="F79646">
                <a:lumMod val="75000"/>
              </a:srgbClr>
            </a:solidFill>
          </c:spPr>
          <c:invertIfNegative val="0"/>
          <c:dLbls>
            <c:showLegendKey val="0"/>
            <c:showVal val="1"/>
            <c:showCatName val="0"/>
            <c:showSerName val="0"/>
            <c:showPercent val="0"/>
            <c:showBubbleSize val="0"/>
            <c:showLeaderLines val="0"/>
          </c:dLbls>
          <c:cat>
            <c:strRef>
              <c:f>Sheet1!$A$2:$A$26</c:f>
              <c:strCache>
                <c:ptCount val="25"/>
                <c:pt idx="0">
                  <c:v>KOPĀ, n=332</c:v>
                </c:pt>
                <c:pt idx="1">
                  <c:v>DIBINĀŠANAS GADS*</c:v>
                </c:pt>
                <c:pt idx="2">
                  <c:v>Līdz 1991.gadam, n=32</c:v>
                </c:pt>
                <c:pt idx="3">
                  <c:v>1992.-2000.gads, n=125</c:v>
                </c:pt>
                <c:pt idx="4">
                  <c:v>2001.-2007.gads, n=94</c:v>
                </c:pt>
                <c:pt idx="5">
                  <c:v>2008.-2013.gads, n=81</c:v>
                </c:pt>
                <c:pt idx="6">
                  <c:v>DARBINIEKU SKAITS</c:v>
                </c:pt>
                <c:pt idx="7">
                  <c:v>1–9, n=222</c:v>
                </c:pt>
                <c:pt idx="8">
                  <c:v>10–19, n=43</c:v>
                </c:pt>
                <c:pt idx="9">
                  <c:v>20–49, n=28</c:v>
                </c:pt>
                <c:pt idx="10">
                  <c:v>50 un vairāk, n=39</c:v>
                </c:pt>
                <c:pt idx="11">
                  <c:v>NOZARE</c:v>
                </c:pt>
                <c:pt idx="12">
                  <c:v>Ražošanas un rūpniecības, n=25**</c:v>
                </c:pt>
                <c:pt idx="13">
                  <c:v>Tirdzniecības, n=59</c:v>
                </c:pt>
                <c:pt idx="14">
                  <c:v>Pakalpojumu, n=110</c:v>
                </c:pt>
                <c:pt idx="15">
                  <c:v>Būvniecības, n=30</c:v>
                </c:pt>
                <c:pt idx="16">
                  <c:v>Cits, n=108</c:v>
                </c:pt>
                <c:pt idx="17">
                  <c:v>APGROZĪJUMS 2012.GADĀ*</c:v>
                </c:pt>
                <c:pt idx="18">
                  <c:v>Līdz 50 000 LVL, n=146</c:v>
                </c:pt>
                <c:pt idx="19">
                  <c:v>50 001 – 100 000 LVL, n=52</c:v>
                </c:pt>
                <c:pt idx="20">
                  <c:v>100 001 – 500 000 LVL, n=70</c:v>
                </c:pt>
                <c:pt idx="21">
                  <c:v>Vairāk par 500 000 LVL, n=56</c:v>
                </c:pt>
                <c:pt idx="22">
                  <c:v>IEGULDĪJUMI PĒTNIECĪBAS JOMĀ PĒDĒJO 3 g. LAIKĀ</c:v>
                </c:pt>
                <c:pt idx="23">
                  <c:v>Jā, n=103</c:v>
                </c:pt>
                <c:pt idx="24">
                  <c:v>Nē, n=229</c:v>
                </c:pt>
              </c:strCache>
            </c:strRef>
          </c:cat>
          <c:val>
            <c:numRef>
              <c:f>Sheet1!$F$2:$F$26</c:f>
              <c:numCache>
                <c:formatCode>General</c:formatCode>
                <c:ptCount val="25"/>
                <c:pt idx="0" formatCode="0">
                  <c:v>25.301204819277107</c:v>
                </c:pt>
                <c:pt idx="2" formatCode="0">
                  <c:v>15.625</c:v>
                </c:pt>
                <c:pt idx="3" formatCode="0">
                  <c:v>24.8</c:v>
                </c:pt>
                <c:pt idx="4" formatCode="0">
                  <c:v>23.404255319148938</c:v>
                </c:pt>
                <c:pt idx="5" formatCode="0">
                  <c:v>32.098765432098816</c:v>
                </c:pt>
                <c:pt idx="7" formatCode="0">
                  <c:v>29.279279279279251</c:v>
                </c:pt>
                <c:pt idx="8" formatCode="0">
                  <c:v>13.953488372093034</c:v>
                </c:pt>
                <c:pt idx="9" formatCode="0">
                  <c:v>28.571428571428573</c:v>
                </c:pt>
                <c:pt idx="10" formatCode="0">
                  <c:v>12.820512820512821</c:v>
                </c:pt>
                <c:pt idx="12" formatCode="0">
                  <c:v>28</c:v>
                </c:pt>
                <c:pt idx="13" formatCode="0">
                  <c:v>20.338983050847478</c:v>
                </c:pt>
                <c:pt idx="14" formatCode="0">
                  <c:v>24.545454545454547</c:v>
                </c:pt>
                <c:pt idx="15" formatCode="0">
                  <c:v>30</c:v>
                </c:pt>
                <c:pt idx="16" formatCode="0">
                  <c:v>26.851851851851883</c:v>
                </c:pt>
                <c:pt idx="18" formatCode="0">
                  <c:v>30.82191780821919</c:v>
                </c:pt>
                <c:pt idx="19" formatCode="0">
                  <c:v>28.846153846153829</c:v>
                </c:pt>
                <c:pt idx="20" formatCode="0">
                  <c:v>24.285714285714242</c:v>
                </c:pt>
                <c:pt idx="21" formatCode="0">
                  <c:v>12.5</c:v>
                </c:pt>
                <c:pt idx="23" formatCode="0">
                  <c:v>27.184466019417499</c:v>
                </c:pt>
                <c:pt idx="24" formatCode="0">
                  <c:v>24.454148471615721</c:v>
                </c:pt>
              </c:numCache>
            </c:numRef>
          </c:val>
        </c:ser>
        <c:ser>
          <c:idx val="5"/>
          <c:order val="5"/>
          <c:tx>
            <c:strRef>
              <c:f>Sheet1!$G$1</c:f>
              <c:strCache>
                <c:ptCount val="1"/>
                <c:pt idx="0">
                  <c:v>Grūti pateikt</c:v>
                </c:pt>
              </c:strCache>
            </c:strRef>
          </c:tx>
          <c:spPr>
            <a:solidFill>
              <a:sysClr val="window" lastClr="FFFFFF">
                <a:lumMod val="75000"/>
              </a:sysClr>
            </a:solidFill>
          </c:spPr>
          <c:invertIfNegative val="0"/>
          <c:dLbls>
            <c:showLegendKey val="0"/>
            <c:showVal val="1"/>
            <c:showCatName val="0"/>
            <c:showSerName val="0"/>
            <c:showPercent val="0"/>
            <c:showBubbleSize val="0"/>
            <c:showLeaderLines val="0"/>
          </c:dLbls>
          <c:cat>
            <c:strRef>
              <c:f>Sheet1!$A$2:$A$26</c:f>
              <c:strCache>
                <c:ptCount val="25"/>
                <c:pt idx="0">
                  <c:v>KOPĀ, n=332</c:v>
                </c:pt>
                <c:pt idx="1">
                  <c:v>DIBINĀŠANAS GADS*</c:v>
                </c:pt>
                <c:pt idx="2">
                  <c:v>Līdz 1991.gadam, n=32</c:v>
                </c:pt>
                <c:pt idx="3">
                  <c:v>1992.-2000.gads, n=125</c:v>
                </c:pt>
                <c:pt idx="4">
                  <c:v>2001.-2007.gads, n=94</c:v>
                </c:pt>
                <c:pt idx="5">
                  <c:v>2008.-2013.gads, n=81</c:v>
                </c:pt>
                <c:pt idx="6">
                  <c:v>DARBINIEKU SKAITS</c:v>
                </c:pt>
                <c:pt idx="7">
                  <c:v>1–9, n=222</c:v>
                </c:pt>
                <c:pt idx="8">
                  <c:v>10–19, n=43</c:v>
                </c:pt>
                <c:pt idx="9">
                  <c:v>20–49, n=28</c:v>
                </c:pt>
                <c:pt idx="10">
                  <c:v>50 un vairāk, n=39</c:v>
                </c:pt>
                <c:pt idx="11">
                  <c:v>NOZARE</c:v>
                </c:pt>
                <c:pt idx="12">
                  <c:v>Ražošanas un rūpniecības, n=25**</c:v>
                </c:pt>
                <c:pt idx="13">
                  <c:v>Tirdzniecības, n=59</c:v>
                </c:pt>
                <c:pt idx="14">
                  <c:v>Pakalpojumu, n=110</c:v>
                </c:pt>
                <c:pt idx="15">
                  <c:v>Būvniecības, n=30</c:v>
                </c:pt>
                <c:pt idx="16">
                  <c:v>Cits, n=108</c:v>
                </c:pt>
                <c:pt idx="17">
                  <c:v>APGROZĪJUMS 2012.GADĀ*</c:v>
                </c:pt>
                <c:pt idx="18">
                  <c:v>Līdz 50 000 LVL, n=146</c:v>
                </c:pt>
                <c:pt idx="19">
                  <c:v>50 001 – 100 000 LVL, n=52</c:v>
                </c:pt>
                <c:pt idx="20">
                  <c:v>100 001 – 500 000 LVL, n=70</c:v>
                </c:pt>
                <c:pt idx="21">
                  <c:v>Vairāk par 500 000 LVL, n=56</c:v>
                </c:pt>
                <c:pt idx="22">
                  <c:v>IEGULDĪJUMI PĒTNIECĪBAS JOMĀ PĒDĒJO 3 g. LAIKĀ</c:v>
                </c:pt>
                <c:pt idx="23">
                  <c:v>Jā, n=103</c:v>
                </c:pt>
                <c:pt idx="24">
                  <c:v>Nē, n=229</c:v>
                </c:pt>
              </c:strCache>
            </c:strRef>
          </c:cat>
          <c:val>
            <c:numRef>
              <c:f>Sheet1!$G$2:$G$26</c:f>
              <c:numCache>
                <c:formatCode>General</c:formatCode>
                <c:ptCount val="25"/>
                <c:pt idx="0" formatCode="0">
                  <c:v>36.445783132530117</c:v>
                </c:pt>
                <c:pt idx="2" formatCode="0">
                  <c:v>31.25</c:v>
                </c:pt>
                <c:pt idx="3" formatCode="0">
                  <c:v>39.200000000000003</c:v>
                </c:pt>
                <c:pt idx="4" formatCode="0">
                  <c:v>40.425531914893618</c:v>
                </c:pt>
                <c:pt idx="5" formatCode="0">
                  <c:v>29.629629629629626</c:v>
                </c:pt>
                <c:pt idx="7" formatCode="0">
                  <c:v>35.135135135135229</c:v>
                </c:pt>
                <c:pt idx="8" formatCode="0">
                  <c:v>41.860465116279073</c:v>
                </c:pt>
                <c:pt idx="9" formatCode="0">
                  <c:v>35.714285714285715</c:v>
                </c:pt>
                <c:pt idx="10" formatCode="0">
                  <c:v>38.461538461538446</c:v>
                </c:pt>
                <c:pt idx="12" formatCode="0">
                  <c:v>36</c:v>
                </c:pt>
                <c:pt idx="13" formatCode="0">
                  <c:v>32.203389830508513</c:v>
                </c:pt>
                <c:pt idx="14" formatCode="0">
                  <c:v>32.727272727272762</c:v>
                </c:pt>
                <c:pt idx="15" formatCode="0">
                  <c:v>46.666666666666579</c:v>
                </c:pt>
                <c:pt idx="16" formatCode="0">
                  <c:v>39.814814814814795</c:v>
                </c:pt>
                <c:pt idx="18" formatCode="0">
                  <c:v>34.93150684931507</c:v>
                </c:pt>
                <c:pt idx="19" formatCode="0">
                  <c:v>40.384615384615344</c:v>
                </c:pt>
                <c:pt idx="20" formatCode="0">
                  <c:v>37.142857142857153</c:v>
                </c:pt>
                <c:pt idx="21" formatCode="0">
                  <c:v>41.07142857142852</c:v>
                </c:pt>
                <c:pt idx="23" formatCode="0">
                  <c:v>22.33009708737864</c:v>
                </c:pt>
                <c:pt idx="24" formatCode="0">
                  <c:v>42.79475982532751</c:v>
                </c:pt>
              </c:numCache>
            </c:numRef>
          </c:val>
        </c:ser>
        <c:dLbls>
          <c:showLegendKey val="0"/>
          <c:showVal val="0"/>
          <c:showCatName val="0"/>
          <c:showSerName val="0"/>
          <c:showPercent val="0"/>
          <c:showBubbleSize val="0"/>
        </c:dLbls>
        <c:gapWidth val="50"/>
        <c:overlap val="100"/>
        <c:axId val="225943552"/>
        <c:axId val="225929472"/>
      </c:barChart>
      <c:valAx>
        <c:axId val="225929472"/>
        <c:scaling>
          <c:orientation val="minMax"/>
        </c:scaling>
        <c:delete val="1"/>
        <c:axPos val="t"/>
        <c:numFmt formatCode="0%" sourceLinked="1"/>
        <c:majorTickMark val="out"/>
        <c:minorTickMark val="none"/>
        <c:tickLblPos val="none"/>
        <c:crossAx val="225943552"/>
        <c:crosses val="autoZero"/>
        <c:crossBetween val="between"/>
      </c:valAx>
      <c:catAx>
        <c:axId val="225943552"/>
        <c:scaling>
          <c:orientation val="maxMin"/>
        </c:scaling>
        <c:delete val="0"/>
        <c:axPos val="l"/>
        <c:majorTickMark val="out"/>
        <c:minorTickMark val="none"/>
        <c:tickLblPos val="nextTo"/>
        <c:crossAx val="225929472"/>
        <c:crosses val="autoZero"/>
        <c:auto val="1"/>
        <c:lblAlgn val="ctr"/>
        <c:lblOffset val="100"/>
        <c:noMultiLvlLbl val="0"/>
      </c:catAx>
    </c:plotArea>
    <c:legend>
      <c:legendPos val="t"/>
      <c:legendEntry>
        <c:idx val="3"/>
        <c:delete val="1"/>
      </c:legendEntry>
      <c:layout>
        <c:manualLayout>
          <c:xMode val="edge"/>
          <c:yMode val="edge"/>
          <c:x val="1.4320076019205751E-2"/>
          <c:y val="8.8819677629449367E-2"/>
          <c:w val="0.95165546890370833"/>
          <c:h val="3.582548466731407E-2"/>
        </c:manualLayout>
      </c:layout>
      <c:overlay val="0"/>
    </c:legend>
    <c:plotVisOnly val="1"/>
    <c:dispBlanksAs val="gap"/>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Kādi papildu valsts atbalsta instrumenti būtu nepieciešami, lai stimulētu uzņēmējus veikt ieguldījumus pētniecībā un attīstībā (izstrādē)? (%)</a:t>
            </a:r>
            <a:endParaRPr lang="en-US" sz="1050"/>
          </a:p>
        </c:rich>
      </c:tx>
      <c:layout>
        <c:manualLayout>
          <c:xMode val="edge"/>
          <c:yMode val="edge"/>
          <c:x val="0.11870281765018607"/>
          <c:y val="2.6069014100510192E-2"/>
        </c:manualLayout>
      </c:layout>
      <c:overlay val="0"/>
    </c:title>
    <c:autoTitleDeleted val="0"/>
    <c:plotArea>
      <c:layout>
        <c:manualLayout>
          <c:layoutTarget val="inner"/>
          <c:xMode val="edge"/>
          <c:yMode val="edge"/>
          <c:x val="0.51912527680451515"/>
          <c:y val="0.17629682653304699"/>
          <c:w val="0.35351408825093067"/>
          <c:h val="0.68719674026760569"/>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Sheet1!$A$2:$A$9</c:f>
              <c:strCache>
                <c:ptCount val="8"/>
                <c:pt idx="0">
                  <c:v>Nodokļu atvieglojumi</c:v>
                </c:pt>
                <c:pt idx="1">
                  <c:v>Finansējuma pieejamība, granti</c:v>
                </c:pt>
                <c:pt idx="2">
                  <c:v>Birokrātijas samazināšana</c:v>
                </c:pt>
                <c:pt idx="3">
                  <c:v>Valsts garantijas kredītiem bankās</c:v>
                </c:pt>
                <c:pt idx="4">
                  <c:v>Speciālistu konsultācijas</c:v>
                </c:pt>
                <c:pt idx="5">
                  <c:v>Eksporta veicināšana</c:v>
                </c:pt>
                <c:pt idx="6">
                  <c:v>Ierēdņu korupcijas samazināšana</c:v>
                </c:pt>
                <c:pt idx="7">
                  <c:v>Kredītbrīvdienas jaunajiem uzņēmējiem</c:v>
                </c:pt>
              </c:strCache>
            </c:strRef>
          </c:cat>
          <c:val>
            <c:numRef>
              <c:f>Sheet1!$B$2:$B$9</c:f>
              <c:numCache>
                <c:formatCode>0</c:formatCode>
                <c:ptCount val="8"/>
                <c:pt idx="0">
                  <c:v>61.176470588235297</c:v>
                </c:pt>
                <c:pt idx="1">
                  <c:v>35.294117647058904</c:v>
                </c:pt>
                <c:pt idx="2">
                  <c:v>9.4117647058823533</c:v>
                </c:pt>
                <c:pt idx="3">
                  <c:v>4.7058823529411784</c:v>
                </c:pt>
                <c:pt idx="4">
                  <c:v>3.5294117647058822</c:v>
                </c:pt>
                <c:pt idx="5">
                  <c:v>1.1764705882352955</c:v>
                </c:pt>
                <c:pt idx="6">
                  <c:v>1.1764705882352955</c:v>
                </c:pt>
                <c:pt idx="7">
                  <c:v>1.1764705882352955</c:v>
                </c:pt>
              </c:numCache>
            </c:numRef>
          </c:val>
        </c:ser>
        <c:dLbls>
          <c:showLegendKey val="0"/>
          <c:showVal val="0"/>
          <c:showCatName val="0"/>
          <c:showSerName val="0"/>
          <c:showPercent val="0"/>
          <c:showBubbleSize val="0"/>
        </c:dLbls>
        <c:gapWidth val="50"/>
        <c:axId val="228643584"/>
        <c:axId val="228645120"/>
      </c:barChart>
      <c:catAx>
        <c:axId val="228643584"/>
        <c:scaling>
          <c:orientation val="maxMin"/>
        </c:scaling>
        <c:delete val="0"/>
        <c:axPos val="l"/>
        <c:majorTickMark val="out"/>
        <c:minorTickMark val="none"/>
        <c:tickLblPos val="nextTo"/>
        <c:txPr>
          <a:bodyPr/>
          <a:lstStyle/>
          <a:p>
            <a:pPr>
              <a:defRPr sz="1000"/>
            </a:pPr>
            <a:endParaRPr lang="lv-LV"/>
          </a:p>
        </c:txPr>
        <c:crossAx val="228645120"/>
        <c:crosses val="autoZero"/>
        <c:auto val="1"/>
        <c:lblAlgn val="ctr"/>
        <c:lblOffset val="100"/>
        <c:noMultiLvlLbl val="0"/>
      </c:catAx>
      <c:valAx>
        <c:axId val="228645120"/>
        <c:scaling>
          <c:orientation val="minMax"/>
          <c:max val="100"/>
          <c:min val="0"/>
        </c:scaling>
        <c:delete val="1"/>
        <c:axPos val="t"/>
        <c:numFmt formatCode="0" sourceLinked="1"/>
        <c:majorTickMark val="out"/>
        <c:minorTickMark val="none"/>
        <c:tickLblPos val="none"/>
        <c:crossAx val="228643584"/>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Jūsuprāt, kādi uzlabojumi būtu nepieciešami nosauktajos valsts atbalsta instrumentos? - Nodokļu atvieglojumi (%)</a:t>
            </a:r>
            <a:endParaRPr lang="en-US" sz="1050"/>
          </a:p>
        </c:rich>
      </c:tx>
      <c:layout>
        <c:manualLayout>
          <c:xMode val="edge"/>
          <c:yMode val="edge"/>
          <c:x val="0.18249867091972372"/>
          <c:y val="2.6069049061175076E-2"/>
        </c:manualLayout>
      </c:layout>
      <c:overlay val="0"/>
    </c:title>
    <c:autoTitleDeleted val="0"/>
    <c:plotArea>
      <c:layout>
        <c:manualLayout>
          <c:layoutTarget val="inner"/>
          <c:xMode val="edge"/>
          <c:yMode val="edge"/>
          <c:x val="0.51912527680451515"/>
          <c:y val="0.13905277203478039"/>
          <c:w val="0.35351408825093067"/>
          <c:h val="0.76913356500828467"/>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Sheet1!$A$2:$A$12</c:f>
              <c:strCache>
                <c:ptCount val="11"/>
                <c:pt idx="0">
                  <c:v>Nodokļu atvieglojumi</c:v>
                </c:pt>
                <c:pt idx="1">
                  <c:v>IIN atvieglojumi</c:v>
                </c:pt>
                <c:pt idx="2">
                  <c:v>UIN atvieglojumi</c:v>
                </c:pt>
                <c:pt idx="3">
                  <c:v>Nodokļu atlaides MVU</c:v>
                </c:pt>
                <c:pt idx="4">
                  <c:v>Vienkāršot nodokļu sistēmu</c:v>
                </c:pt>
                <c:pt idx="5">
                  <c:v>Progresīvās nodokļu likmes</c:v>
                </c:pt>
                <c:pt idx="6">
                  <c:v>Nepiemērot nodokļus pašu ieguldījumiem</c:v>
                </c:pt>
                <c:pt idx="7">
                  <c:v>Vienkāršot procedūru, samazināt birokrātiju</c:v>
                </c:pt>
                <c:pt idx="8">
                  <c:v>IIN atvieglojumi par ieguldījumiem zinātnē</c:v>
                </c:pt>
                <c:pt idx="9">
                  <c:v>Reinvestēto peļņu neaplikt ar nodokli</c:v>
                </c:pt>
                <c:pt idx="10">
                  <c:v>Paaugstināt neapliekamo minimumu</c:v>
                </c:pt>
              </c:strCache>
            </c:strRef>
          </c:cat>
          <c:val>
            <c:numRef>
              <c:f>Sheet1!$B$2:$B$12</c:f>
              <c:numCache>
                <c:formatCode>0</c:formatCode>
                <c:ptCount val="11"/>
                <c:pt idx="0">
                  <c:v>56</c:v>
                </c:pt>
                <c:pt idx="1">
                  <c:v>16</c:v>
                </c:pt>
                <c:pt idx="2">
                  <c:v>9.3333333333333357</c:v>
                </c:pt>
                <c:pt idx="3">
                  <c:v>5.3333333333333401</c:v>
                </c:pt>
                <c:pt idx="4">
                  <c:v>4</c:v>
                </c:pt>
                <c:pt idx="5">
                  <c:v>2.6666666666666665</c:v>
                </c:pt>
                <c:pt idx="6">
                  <c:v>1.3333333333333333</c:v>
                </c:pt>
                <c:pt idx="7">
                  <c:v>1.3333333333333333</c:v>
                </c:pt>
                <c:pt idx="8">
                  <c:v>1.3333333333333333</c:v>
                </c:pt>
                <c:pt idx="9">
                  <c:v>1.3333333333333333</c:v>
                </c:pt>
                <c:pt idx="10">
                  <c:v>1.3333333333333333</c:v>
                </c:pt>
              </c:numCache>
            </c:numRef>
          </c:val>
        </c:ser>
        <c:dLbls>
          <c:showLegendKey val="0"/>
          <c:showVal val="0"/>
          <c:showCatName val="0"/>
          <c:showSerName val="0"/>
          <c:showPercent val="0"/>
          <c:showBubbleSize val="0"/>
        </c:dLbls>
        <c:gapWidth val="50"/>
        <c:axId val="228670080"/>
        <c:axId val="228671872"/>
      </c:barChart>
      <c:catAx>
        <c:axId val="228670080"/>
        <c:scaling>
          <c:orientation val="maxMin"/>
        </c:scaling>
        <c:delete val="0"/>
        <c:axPos val="l"/>
        <c:majorTickMark val="out"/>
        <c:minorTickMark val="none"/>
        <c:tickLblPos val="nextTo"/>
        <c:txPr>
          <a:bodyPr/>
          <a:lstStyle/>
          <a:p>
            <a:pPr>
              <a:defRPr sz="1000"/>
            </a:pPr>
            <a:endParaRPr lang="lv-LV"/>
          </a:p>
        </c:txPr>
        <c:crossAx val="228671872"/>
        <c:crosses val="autoZero"/>
        <c:auto val="1"/>
        <c:lblAlgn val="ctr"/>
        <c:lblOffset val="100"/>
        <c:noMultiLvlLbl val="0"/>
      </c:catAx>
      <c:valAx>
        <c:axId val="228671872"/>
        <c:scaling>
          <c:orientation val="minMax"/>
          <c:max val="100"/>
          <c:min val="0"/>
        </c:scaling>
        <c:delete val="1"/>
        <c:axPos val="t"/>
        <c:numFmt formatCode="0" sourceLinked="1"/>
        <c:majorTickMark val="out"/>
        <c:minorTickMark val="none"/>
        <c:tickLblPos val="none"/>
        <c:crossAx val="228670080"/>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Jūsuprāt, kādi uzlabojumi būtu nepieciešami nosauktajos valsts atbalsta instrumentos? - Valsts garantijas (Latvijas Garantiju aģentūras vai valsts budžetā piešķirtās) (%)</a:t>
            </a:r>
            <a:endParaRPr lang="en-US" sz="1050"/>
          </a:p>
        </c:rich>
      </c:tx>
      <c:layout>
        <c:manualLayout>
          <c:xMode val="edge"/>
          <c:yMode val="edge"/>
          <c:x val="0.18249867091972372"/>
          <c:y val="2.6069049061175076E-2"/>
        </c:manualLayout>
      </c:layout>
      <c:overlay val="0"/>
    </c:title>
    <c:autoTitleDeleted val="0"/>
    <c:plotArea>
      <c:layout>
        <c:manualLayout>
          <c:layoutTarget val="inner"/>
          <c:xMode val="edge"/>
          <c:yMode val="edge"/>
          <c:x val="0.51912527680451515"/>
          <c:y val="0.23028141821255388"/>
          <c:w val="0.35351408825093067"/>
          <c:h val="0.61914782686062564"/>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Sheet1!$A$2:$A$6</c:f>
              <c:strCache>
                <c:ptCount val="5"/>
                <c:pt idx="0">
                  <c:v>Vienkāršot procedūru, samazināt birokrātiju</c:v>
                </c:pt>
                <c:pt idx="1">
                  <c:v>Sniegt vairāk informācijas, skaidrot</c:v>
                </c:pt>
                <c:pt idx="2">
                  <c:v>Eksporta garantijas</c:v>
                </c:pt>
                <c:pt idx="3">
                  <c:v>Garantijas būvuzņēmējiem</c:v>
                </c:pt>
                <c:pt idx="4">
                  <c:v>Vairāk iespēju MVU</c:v>
                </c:pt>
              </c:strCache>
            </c:strRef>
          </c:cat>
          <c:val>
            <c:numRef>
              <c:f>Sheet1!$B$2:$B$6</c:f>
              <c:numCache>
                <c:formatCode>0</c:formatCode>
                <c:ptCount val="5"/>
                <c:pt idx="0">
                  <c:v>50</c:v>
                </c:pt>
                <c:pt idx="1">
                  <c:v>20</c:v>
                </c:pt>
                <c:pt idx="2">
                  <c:v>10</c:v>
                </c:pt>
                <c:pt idx="3">
                  <c:v>10</c:v>
                </c:pt>
                <c:pt idx="4">
                  <c:v>10</c:v>
                </c:pt>
              </c:numCache>
            </c:numRef>
          </c:val>
        </c:ser>
        <c:dLbls>
          <c:showLegendKey val="0"/>
          <c:showVal val="0"/>
          <c:showCatName val="0"/>
          <c:showSerName val="0"/>
          <c:showPercent val="0"/>
          <c:showBubbleSize val="0"/>
        </c:dLbls>
        <c:gapWidth val="50"/>
        <c:axId val="228803712"/>
        <c:axId val="228805248"/>
      </c:barChart>
      <c:catAx>
        <c:axId val="228803712"/>
        <c:scaling>
          <c:orientation val="maxMin"/>
        </c:scaling>
        <c:delete val="0"/>
        <c:axPos val="l"/>
        <c:majorTickMark val="out"/>
        <c:minorTickMark val="none"/>
        <c:tickLblPos val="nextTo"/>
        <c:txPr>
          <a:bodyPr/>
          <a:lstStyle/>
          <a:p>
            <a:pPr>
              <a:defRPr sz="1000"/>
            </a:pPr>
            <a:endParaRPr lang="lv-LV"/>
          </a:p>
        </c:txPr>
        <c:crossAx val="228805248"/>
        <c:crosses val="autoZero"/>
        <c:auto val="1"/>
        <c:lblAlgn val="ctr"/>
        <c:lblOffset val="100"/>
        <c:noMultiLvlLbl val="0"/>
      </c:catAx>
      <c:valAx>
        <c:axId val="228805248"/>
        <c:scaling>
          <c:orientation val="minMax"/>
          <c:max val="100"/>
          <c:min val="0"/>
        </c:scaling>
        <c:delete val="1"/>
        <c:axPos val="t"/>
        <c:numFmt formatCode="0" sourceLinked="1"/>
        <c:majorTickMark val="out"/>
        <c:minorTickMark val="none"/>
        <c:tickLblPos val="none"/>
        <c:crossAx val="228803712"/>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Jūsuprāt, kādi uzlabojumi būtu nepieciešami nosauktajos valsts atbalsta instrumentos? - Riska kapitāla fondu investīcijas (%)</a:t>
            </a:r>
            <a:endParaRPr lang="en-US" sz="1050"/>
          </a:p>
        </c:rich>
      </c:tx>
      <c:layout>
        <c:manualLayout>
          <c:xMode val="edge"/>
          <c:yMode val="edge"/>
          <c:x val="0.18249867091972372"/>
          <c:y val="2.6069049061175076E-2"/>
        </c:manualLayout>
      </c:layout>
      <c:overlay val="0"/>
    </c:title>
    <c:autoTitleDeleted val="0"/>
    <c:plotArea>
      <c:layout>
        <c:manualLayout>
          <c:layoutTarget val="inner"/>
          <c:xMode val="edge"/>
          <c:yMode val="edge"/>
          <c:x val="0.51912527680451515"/>
          <c:y val="0.23028141821255388"/>
          <c:w val="0.35351408825093067"/>
          <c:h val="0.5515594421665041"/>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Sheet1!$A$2:$A$4</c:f>
              <c:strCache>
                <c:ptCount val="3"/>
                <c:pt idx="0">
                  <c:v>Piemērot arī mazāku investīciju piesaistei</c:v>
                </c:pt>
                <c:pt idx="1">
                  <c:v>Sniegt vairāk informācijas, skaidrot</c:v>
                </c:pt>
                <c:pt idx="2">
                  <c:v>Vienkāršot procedūru, samazināt birokrātiju</c:v>
                </c:pt>
              </c:strCache>
            </c:strRef>
          </c:cat>
          <c:val>
            <c:numRef>
              <c:f>Sheet1!$B$2:$B$4</c:f>
              <c:numCache>
                <c:formatCode>0</c:formatCode>
                <c:ptCount val="3"/>
                <c:pt idx="0">
                  <c:v>40</c:v>
                </c:pt>
                <c:pt idx="1">
                  <c:v>40</c:v>
                </c:pt>
                <c:pt idx="2">
                  <c:v>20</c:v>
                </c:pt>
              </c:numCache>
            </c:numRef>
          </c:val>
        </c:ser>
        <c:dLbls>
          <c:showLegendKey val="0"/>
          <c:showVal val="0"/>
          <c:showCatName val="0"/>
          <c:showSerName val="0"/>
          <c:showPercent val="0"/>
          <c:showBubbleSize val="0"/>
        </c:dLbls>
        <c:gapWidth val="50"/>
        <c:axId val="228851072"/>
        <c:axId val="228725888"/>
      </c:barChart>
      <c:catAx>
        <c:axId val="228851072"/>
        <c:scaling>
          <c:orientation val="maxMin"/>
        </c:scaling>
        <c:delete val="0"/>
        <c:axPos val="l"/>
        <c:majorTickMark val="out"/>
        <c:minorTickMark val="none"/>
        <c:tickLblPos val="nextTo"/>
        <c:txPr>
          <a:bodyPr/>
          <a:lstStyle/>
          <a:p>
            <a:pPr>
              <a:defRPr sz="1000"/>
            </a:pPr>
            <a:endParaRPr lang="lv-LV"/>
          </a:p>
        </c:txPr>
        <c:crossAx val="228725888"/>
        <c:crosses val="autoZero"/>
        <c:auto val="1"/>
        <c:lblAlgn val="ctr"/>
        <c:lblOffset val="100"/>
        <c:noMultiLvlLbl val="0"/>
      </c:catAx>
      <c:valAx>
        <c:axId val="228725888"/>
        <c:scaling>
          <c:orientation val="minMax"/>
          <c:max val="100"/>
          <c:min val="0"/>
        </c:scaling>
        <c:delete val="1"/>
        <c:axPos val="t"/>
        <c:numFmt formatCode="0" sourceLinked="1"/>
        <c:majorTickMark val="out"/>
        <c:minorTickMark val="none"/>
        <c:tickLblPos val="none"/>
        <c:crossAx val="228851072"/>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Novērtējiet, cik būtiska jūsu uzņēmuma darbībā ir pētniecība un attīstība? (%)</a:t>
            </a:r>
            <a:endParaRPr lang="en-US" sz="1050"/>
          </a:p>
        </c:rich>
      </c:tx>
      <c:layout>
        <c:manualLayout>
          <c:xMode val="edge"/>
          <c:yMode val="edge"/>
          <c:x val="0.16381904415058171"/>
          <c:y val="1.0946599711565764E-2"/>
        </c:manualLayout>
      </c:layout>
      <c:overlay val="0"/>
    </c:title>
    <c:autoTitleDeleted val="0"/>
    <c:plotArea>
      <c:layout>
        <c:manualLayout>
          <c:layoutTarget val="inner"/>
          <c:xMode val="edge"/>
          <c:yMode val="edge"/>
          <c:x val="0.49390297504678005"/>
          <c:y val="8.5740493510975527E-2"/>
          <c:w val="0.43219564061669324"/>
          <c:h val="0.84278687482403802"/>
        </c:manualLayout>
      </c:layout>
      <c:barChart>
        <c:barDir val="bar"/>
        <c:grouping val="percentStacked"/>
        <c:varyColors val="0"/>
        <c:ser>
          <c:idx val="1"/>
          <c:order val="1"/>
          <c:tx>
            <c:strRef>
              <c:f>Sheet1!$C$1</c:f>
              <c:strCache>
                <c:ptCount val="1"/>
                <c:pt idx="0">
                  <c:v>Izšķiroša</c:v>
                </c:pt>
              </c:strCache>
            </c:strRef>
          </c:tx>
          <c:spPr>
            <a:solidFill>
              <a:srgbClr val="9BBB59">
                <a:lumMod val="75000"/>
              </a:srgbClr>
            </a:solidFill>
          </c:spPr>
          <c:invertIfNegative val="0"/>
          <c:dLbls>
            <c:showLegendKey val="0"/>
            <c:showVal val="1"/>
            <c:showCatName val="0"/>
            <c:showSerName val="0"/>
            <c:showPercent val="0"/>
            <c:showBubbleSize val="0"/>
            <c:showLeaderLines val="0"/>
          </c:dLbls>
          <c:cat>
            <c:strRef>
              <c:f>Sheet1!$A$2:$A$33</c:f>
              <c:strCache>
                <c:ptCount val="32"/>
                <c:pt idx="0">
                  <c:v>VISI RESPONDENTI, n=414</c:v>
                </c:pt>
                <c:pt idx="1">
                  <c:v>DIBINĀŠANAS GADS*</c:v>
                </c:pt>
                <c:pt idx="2">
                  <c:v>Līdz 1991.gadam, n=41</c:v>
                </c:pt>
                <c:pt idx="3">
                  <c:v>1992.-2000.gads, n=148</c:v>
                </c:pt>
                <c:pt idx="4">
                  <c:v>2001.-2007.gads, n=123</c:v>
                </c:pt>
                <c:pt idx="5">
                  <c:v>2008.-2013.gads, n=101</c:v>
                </c:pt>
                <c:pt idx="6">
                  <c:v>DARBINIEKU SKAITS</c:v>
                </c:pt>
                <c:pt idx="7">
                  <c:v>1–9, n=278</c:v>
                </c:pt>
                <c:pt idx="8">
                  <c:v>10–19, n=51</c:v>
                </c:pt>
                <c:pt idx="9">
                  <c:v>20–49, n=39</c:v>
                </c:pt>
                <c:pt idx="10">
                  <c:v>50 un vairāk, n=46</c:v>
                </c:pt>
                <c:pt idx="11">
                  <c:v>NOZARE</c:v>
                </c:pt>
                <c:pt idx="12">
                  <c:v>Ražošanas un rūpniecības, n=31</c:v>
                </c:pt>
                <c:pt idx="13">
                  <c:v>Tirdzniecības, n=69</c:v>
                </c:pt>
                <c:pt idx="14">
                  <c:v>Pakalpojumu, n=143</c:v>
                </c:pt>
                <c:pt idx="15">
                  <c:v>Būvniecības, n=37</c:v>
                </c:pt>
                <c:pt idx="16">
                  <c:v>Cits, n=134</c:v>
                </c:pt>
                <c:pt idx="17">
                  <c:v>STATISTISKAIS REĢIONS</c:v>
                </c:pt>
                <c:pt idx="18">
                  <c:v>Rīgas, n=172</c:v>
                </c:pt>
                <c:pt idx="19">
                  <c:v>Pierīgas, n=31</c:v>
                </c:pt>
                <c:pt idx="20">
                  <c:v>Vidzemes, n=72</c:v>
                </c:pt>
                <c:pt idx="21">
                  <c:v>Kurzemes, n=59</c:v>
                </c:pt>
                <c:pt idx="22">
                  <c:v>Zemgales, n=42</c:v>
                </c:pt>
                <c:pt idx="23">
                  <c:v>Latgales, n=38</c:v>
                </c:pt>
                <c:pt idx="24">
                  <c:v>APGROZĪJUMS 2012.GADĀ*</c:v>
                </c:pt>
                <c:pt idx="25">
                  <c:v>Līdz 50 000 LVL, n=181</c:v>
                </c:pt>
                <c:pt idx="26">
                  <c:v>50 001 – 100 000 LVL, n=58</c:v>
                </c:pt>
                <c:pt idx="27">
                  <c:v>100 001 – 500 000 LVL, n=87</c:v>
                </c:pt>
                <c:pt idx="28">
                  <c:v>Vairāk par 500 000 LVL, n=70</c:v>
                </c:pt>
                <c:pt idx="29">
                  <c:v>IEGULDĪJUMI PĒTNIECĪBAS JOMĀ PĒDĒJO 3 g. LAIKĀ</c:v>
                </c:pt>
                <c:pt idx="30">
                  <c:v>Ir veikti, n=158</c:v>
                </c:pt>
                <c:pt idx="31">
                  <c:v>Nav veikti, n=256</c:v>
                </c:pt>
              </c:strCache>
            </c:strRef>
          </c:cat>
          <c:val>
            <c:numRef>
              <c:f>Sheet1!$C$2:$C$33</c:f>
              <c:numCache>
                <c:formatCode>General</c:formatCode>
                <c:ptCount val="32"/>
                <c:pt idx="0" formatCode="0">
                  <c:v>5.0724637681159415</c:v>
                </c:pt>
                <c:pt idx="2" formatCode="0">
                  <c:v>12.195121951219511</c:v>
                </c:pt>
                <c:pt idx="3" formatCode="0">
                  <c:v>2.7027027027027053</c:v>
                </c:pt>
                <c:pt idx="4" formatCode="0">
                  <c:v>3.2520325203252027</c:v>
                </c:pt>
                <c:pt idx="5" formatCode="0">
                  <c:v>6.9306930693069324</c:v>
                </c:pt>
                <c:pt idx="7" formatCode="0">
                  <c:v>4.6762589928057574</c:v>
                </c:pt>
                <c:pt idx="8" formatCode="0">
                  <c:v>3.9215686274509798</c:v>
                </c:pt>
                <c:pt idx="9" formatCode="0">
                  <c:v>5.1282051282051286</c:v>
                </c:pt>
                <c:pt idx="10" formatCode="0">
                  <c:v>8.6956521739130448</c:v>
                </c:pt>
                <c:pt idx="12" formatCode="0">
                  <c:v>3.2258064516129052</c:v>
                </c:pt>
                <c:pt idx="13" formatCode="0">
                  <c:v>2.8985507246376807</c:v>
                </c:pt>
                <c:pt idx="14" formatCode="0">
                  <c:v>8.3916083916084006</c:v>
                </c:pt>
                <c:pt idx="16" formatCode="0">
                  <c:v>4.4776119402985071</c:v>
                </c:pt>
                <c:pt idx="18" formatCode="0">
                  <c:v>7.558139534883721</c:v>
                </c:pt>
                <c:pt idx="20" formatCode="0">
                  <c:v>1.3888888888888902</c:v>
                </c:pt>
                <c:pt idx="21" formatCode="0">
                  <c:v>3.3898305084745788</c:v>
                </c:pt>
                <c:pt idx="23" formatCode="0">
                  <c:v>13.157894736842104</c:v>
                </c:pt>
                <c:pt idx="25" formatCode="0">
                  <c:v>4.9723756906077394</c:v>
                </c:pt>
                <c:pt idx="26" formatCode="0">
                  <c:v>5.1724137931034484</c:v>
                </c:pt>
                <c:pt idx="27" formatCode="0">
                  <c:v>4.5977011494252817</c:v>
                </c:pt>
                <c:pt idx="28" formatCode="0">
                  <c:v>7.1428571428571415</c:v>
                </c:pt>
                <c:pt idx="30" formatCode="0">
                  <c:v>8.8607594936708853</c:v>
                </c:pt>
                <c:pt idx="31" formatCode="0">
                  <c:v>2.734375</c:v>
                </c:pt>
              </c:numCache>
            </c:numRef>
          </c:val>
        </c:ser>
        <c:ser>
          <c:idx val="2"/>
          <c:order val="2"/>
          <c:tx>
            <c:strRef>
              <c:f>Sheet1!$D$1</c:f>
              <c:strCache>
                <c:ptCount val="1"/>
                <c:pt idx="0">
                  <c:v>Ļoti būtiska</c:v>
                </c:pt>
              </c:strCache>
            </c:strRef>
          </c:tx>
          <c:spPr>
            <a:solidFill>
              <a:srgbClr val="9BBB59"/>
            </a:solidFill>
          </c:spPr>
          <c:invertIfNegative val="0"/>
          <c:dLbls>
            <c:showLegendKey val="0"/>
            <c:showVal val="1"/>
            <c:showCatName val="0"/>
            <c:showSerName val="0"/>
            <c:showPercent val="0"/>
            <c:showBubbleSize val="0"/>
            <c:showLeaderLines val="0"/>
          </c:dLbls>
          <c:cat>
            <c:strRef>
              <c:f>Sheet1!$A$2:$A$33</c:f>
              <c:strCache>
                <c:ptCount val="32"/>
                <c:pt idx="0">
                  <c:v>VISI RESPONDENTI, n=414</c:v>
                </c:pt>
                <c:pt idx="1">
                  <c:v>DIBINĀŠANAS GADS*</c:v>
                </c:pt>
                <c:pt idx="2">
                  <c:v>Līdz 1991.gadam, n=41</c:v>
                </c:pt>
                <c:pt idx="3">
                  <c:v>1992.-2000.gads, n=148</c:v>
                </c:pt>
                <c:pt idx="4">
                  <c:v>2001.-2007.gads, n=123</c:v>
                </c:pt>
                <c:pt idx="5">
                  <c:v>2008.-2013.gads, n=101</c:v>
                </c:pt>
                <c:pt idx="6">
                  <c:v>DARBINIEKU SKAITS</c:v>
                </c:pt>
                <c:pt idx="7">
                  <c:v>1–9, n=278</c:v>
                </c:pt>
                <c:pt idx="8">
                  <c:v>10–19, n=51</c:v>
                </c:pt>
                <c:pt idx="9">
                  <c:v>20–49, n=39</c:v>
                </c:pt>
                <c:pt idx="10">
                  <c:v>50 un vairāk, n=46</c:v>
                </c:pt>
                <c:pt idx="11">
                  <c:v>NOZARE</c:v>
                </c:pt>
                <c:pt idx="12">
                  <c:v>Ražošanas un rūpniecības, n=31</c:v>
                </c:pt>
                <c:pt idx="13">
                  <c:v>Tirdzniecības, n=69</c:v>
                </c:pt>
                <c:pt idx="14">
                  <c:v>Pakalpojumu, n=143</c:v>
                </c:pt>
                <c:pt idx="15">
                  <c:v>Būvniecības, n=37</c:v>
                </c:pt>
                <c:pt idx="16">
                  <c:v>Cits, n=134</c:v>
                </c:pt>
                <c:pt idx="17">
                  <c:v>STATISTISKAIS REĢIONS</c:v>
                </c:pt>
                <c:pt idx="18">
                  <c:v>Rīgas, n=172</c:v>
                </c:pt>
                <c:pt idx="19">
                  <c:v>Pierīgas, n=31</c:v>
                </c:pt>
                <c:pt idx="20">
                  <c:v>Vidzemes, n=72</c:v>
                </c:pt>
                <c:pt idx="21">
                  <c:v>Kurzemes, n=59</c:v>
                </c:pt>
                <c:pt idx="22">
                  <c:v>Zemgales, n=42</c:v>
                </c:pt>
                <c:pt idx="23">
                  <c:v>Latgales, n=38</c:v>
                </c:pt>
                <c:pt idx="24">
                  <c:v>APGROZĪJUMS 2012.GADĀ*</c:v>
                </c:pt>
                <c:pt idx="25">
                  <c:v>Līdz 50 000 LVL, n=181</c:v>
                </c:pt>
                <c:pt idx="26">
                  <c:v>50 001 – 100 000 LVL, n=58</c:v>
                </c:pt>
                <c:pt idx="27">
                  <c:v>100 001 – 500 000 LVL, n=87</c:v>
                </c:pt>
                <c:pt idx="28">
                  <c:v>Vairāk par 500 000 LVL, n=70</c:v>
                </c:pt>
                <c:pt idx="29">
                  <c:v>IEGULDĪJUMI PĒTNIECĪBAS JOMĀ PĒDĒJO 3 g. LAIKĀ</c:v>
                </c:pt>
                <c:pt idx="30">
                  <c:v>Ir veikti, n=158</c:v>
                </c:pt>
                <c:pt idx="31">
                  <c:v>Nav veikti, n=256</c:v>
                </c:pt>
              </c:strCache>
            </c:strRef>
          </c:cat>
          <c:val>
            <c:numRef>
              <c:f>Sheet1!$D$2:$D$33</c:f>
              <c:numCache>
                <c:formatCode>General</c:formatCode>
                <c:ptCount val="32"/>
                <c:pt idx="0" formatCode="0">
                  <c:v>33.333333333333336</c:v>
                </c:pt>
                <c:pt idx="2" formatCode="0">
                  <c:v>48.780487804878049</c:v>
                </c:pt>
                <c:pt idx="3" formatCode="0">
                  <c:v>29.054054054054095</c:v>
                </c:pt>
                <c:pt idx="4" formatCode="0">
                  <c:v>27.642276422764226</c:v>
                </c:pt>
                <c:pt idx="5" formatCode="0">
                  <c:v>40.594059405940541</c:v>
                </c:pt>
                <c:pt idx="7" formatCode="0">
                  <c:v>30.935251798561129</c:v>
                </c:pt>
                <c:pt idx="8" formatCode="0">
                  <c:v>37.254901960784295</c:v>
                </c:pt>
                <c:pt idx="9" formatCode="0">
                  <c:v>35.897435897435912</c:v>
                </c:pt>
                <c:pt idx="10" formatCode="0">
                  <c:v>41.304347826086946</c:v>
                </c:pt>
                <c:pt idx="12" formatCode="0">
                  <c:v>48.387096774193473</c:v>
                </c:pt>
                <c:pt idx="13" formatCode="0">
                  <c:v>24.637681159420314</c:v>
                </c:pt>
                <c:pt idx="14" formatCode="0">
                  <c:v>35.664335664335667</c:v>
                </c:pt>
                <c:pt idx="15" formatCode="0">
                  <c:v>18.91891891891893</c:v>
                </c:pt>
                <c:pt idx="16" formatCode="0">
                  <c:v>35.820895522388057</c:v>
                </c:pt>
                <c:pt idx="18" formatCode="0">
                  <c:v>38.953488372092977</c:v>
                </c:pt>
                <c:pt idx="19" formatCode="0">
                  <c:v>35.483870967741893</c:v>
                </c:pt>
                <c:pt idx="20" formatCode="0">
                  <c:v>31.944444444444443</c:v>
                </c:pt>
                <c:pt idx="21" formatCode="0">
                  <c:v>25.423728813559283</c:v>
                </c:pt>
                <c:pt idx="22" formatCode="0">
                  <c:v>35.714285714285715</c:v>
                </c:pt>
                <c:pt idx="23" formatCode="0">
                  <c:v>18.421052631578917</c:v>
                </c:pt>
                <c:pt idx="25" formatCode="0">
                  <c:v>30.38674033149168</c:v>
                </c:pt>
                <c:pt idx="26" formatCode="0">
                  <c:v>22.413793103448278</c:v>
                </c:pt>
                <c:pt idx="27" formatCode="0">
                  <c:v>40.229885057471265</c:v>
                </c:pt>
                <c:pt idx="28" formatCode="0">
                  <c:v>38.57142857142852</c:v>
                </c:pt>
                <c:pt idx="30" formatCode="0">
                  <c:v>62.025316455696156</c:v>
                </c:pt>
                <c:pt idx="31" formatCode="0">
                  <c:v>15.625</c:v>
                </c:pt>
              </c:numCache>
            </c:numRef>
          </c:val>
        </c:ser>
        <c:ser>
          <c:idx val="3"/>
          <c:order val="3"/>
          <c:tx>
            <c:strRef>
              <c:f>Sheet1!$E$1</c:f>
              <c:strCache>
                <c:ptCount val="1"/>
                <c:pt idx="0">
                  <c:v>Mazsvarīga</c:v>
                </c:pt>
              </c:strCache>
            </c:strRef>
          </c:tx>
          <c:spPr>
            <a:solidFill>
              <a:srgbClr val="FFC000"/>
            </a:solidFill>
          </c:spPr>
          <c:invertIfNegative val="0"/>
          <c:dLbls>
            <c:showLegendKey val="0"/>
            <c:showVal val="1"/>
            <c:showCatName val="0"/>
            <c:showSerName val="0"/>
            <c:showPercent val="0"/>
            <c:showBubbleSize val="0"/>
            <c:showLeaderLines val="0"/>
          </c:dLbls>
          <c:cat>
            <c:strRef>
              <c:f>Sheet1!$A$2:$A$33</c:f>
              <c:strCache>
                <c:ptCount val="32"/>
                <c:pt idx="0">
                  <c:v>VISI RESPONDENTI, n=414</c:v>
                </c:pt>
                <c:pt idx="1">
                  <c:v>DIBINĀŠANAS GADS*</c:v>
                </c:pt>
                <c:pt idx="2">
                  <c:v>Līdz 1991.gadam, n=41</c:v>
                </c:pt>
                <c:pt idx="3">
                  <c:v>1992.-2000.gads, n=148</c:v>
                </c:pt>
                <c:pt idx="4">
                  <c:v>2001.-2007.gads, n=123</c:v>
                </c:pt>
                <c:pt idx="5">
                  <c:v>2008.-2013.gads, n=101</c:v>
                </c:pt>
                <c:pt idx="6">
                  <c:v>DARBINIEKU SKAITS</c:v>
                </c:pt>
                <c:pt idx="7">
                  <c:v>1–9, n=278</c:v>
                </c:pt>
                <c:pt idx="8">
                  <c:v>10–19, n=51</c:v>
                </c:pt>
                <c:pt idx="9">
                  <c:v>20–49, n=39</c:v>
                </c:pt>
                <c:pt idx="10">
                  <c:v>50 un vairāk, n=46</c:v>
                </c:pt>
                <c:pt idx="11">
                  <c:v>NOZARE</c:v>
                </c:pt>
                <c:pt idx="12">
                  <c:v>Ražošanas un rūpniecības, n=31</c:v>
                </c:pt>
                <c:pt idx="13">
                  <c:v>Tirdzniecības, n=69</c:v>
                </c:pt>
                <c:pt idx="14">
                  <c:v>Pakalpojumu, n=143</c:v>
                </c:pt>
                <c:pt idx="15">
                  <c:v>Būvniecības, n=37</c:v>
                </c:pt>
                <c:pt idx="16">
                  <c:v>Cits, n=134</c:v>
                </c:pt>
                <c:pt idx="17">
                  <c:v>STATISTISKAIS REĢIONS</c:v>
                </c:pt>
                <c:pt idx="18">
                  <c:v>Rīgas, n=172</c:v>
                </c:pt>
                <c:pt idx="19">
                  <c:v>Pierīgas, n=31</c:v>
                </c:pt>
                <c:pt idx="20">
                  <c:v>Vidzemes, n=72</c:v>
                </c:pt>
                <c:pt idx="21">
                  <c:v>Kurzemes, n=59</c:v>
                </c:pt>
                <c:pt idx="22">
                  <c:v>Zemgales, n=42</c:v>
                </c:pt>
                <c:pt idx="23">
                  <c:v>Latgales, n=38</c:v>
                </c:pt>
                <c:pt idx="24">
                  <c:v>APGROZĪJUMS 2012.GADĀ*</c:v>
                </c:pt>
                <c:pt idx="25">
                  <c:v>Līdz 50 000 LVL, n=181</c:v>
                </c:pt>
                <c:pt idx="26">
                  <c:v>50 001 – 100 000 LVL, n=58</c:v>
                </c:pt>
                <c:pt idx="27">
                  <c:v>100 001 – 500 000 LVL, n=87</c:v>
                </c:pt>
                <c:pt idx="28">
                  <c:v>Vairāk par 500 000 LVL, n=70</c:v>
                </c:pt>
                <c:pt idx="29">
                  <c:v>IEGULDĪJUMI PĒTNIECĪBAS JOMĀ PĒDĒJO 3 g. LAIKĀ</c:v>
                </c:pt>
                <c:pt idx="30">
                  <c:v>Ir veikti, n=158</c:v>
                </c:pt>
                <c:pt idx="31">
                  <c:v>Nav veikti, n=256</c:v>
                </c:pt>
              </c:strCache>
            </c:strRef>
          </c:cat>
          <c:val>
            <c:numRef>
              <c:f>Sheet1!$E$2:$E$33</c:f>
              <c:numCache>
                <c:formatCode>General</c:formatCode>
                <c:ptCount val="32"/>
                <c:pt idx="0" formatCode="0">
                  <c:v>23.67149758454104</c:v>
                </c:pt>
                <c:pt idx="2" formatCode="0">
                  <c:v>9.7560975609756095</c:v>
                </c:pt>
                <c:pt idx="3" formatCode="0">
                  <c:v>25.675675675675677</c:v>
                </c:pt>
                <c:pt idx="4" formatCode="0">
                  <c:v>29.268292682926781</c:v>
                </c:pt>
                <c:pt idx="5" formatCode="0">
                  <c:v>19.801980198019837</c:v>
                </c:pt>
                <c:pt idx="7" formatCode="0">
                  <c:v>21.942446043165404</c:v>
                </c:pt>
                <c:pt idx="8" formatCode="0">
                  <c:v>27.450980392156861</c:v>
                </c:pt>
                <c:pt idx="9" formatCode="0">
                  <c:v>28.205128205128172</c:v>
                </c:pt>
                <c:pt idx="10" formatCode="0">
                  <c:v>26.086956521739129</c:v>
                </c:pt>
                <c:pt idx="12" formatCode="0">
                  <c:v>16.129032258064516</c:v>
                </c:pt>
                <c:pt idx="13" formatCode="0">
                  <c:v>21.739130434782609</c:v>
                </c:pt>
                <c:pt idx="14" formatCode="0">
                  <c:v>23.776223776223755</c:v>
                </c:pt>
                <c:pt idx="15" formatCode="0">
                  <c:v>29.729729729729705</c:v>
                </c:pt>
                <c:pt idx="16" formatCode="0">
                  <c:v>24.626865671641795</c:v>
                </c:pt>
                <c:pt idx="18" formatCode="0">
                  <c:v>21.511627906976742</c:v>
                </c:pt>
                <c:pt idx="19" formatCode="0">
                  <c:v>29.032258064516135</c:v>
                </c:pt>
                <c:pt idx="20" formatCode="0">
                  <c:v>26.388888888888893</c:v>
                </c:pt>
                <c:pt idx="21" formatCode="0">
                  <c:v>23.72881355932201</c:v>
                </c:pt>
                <c:pt idx="22" formatCode="0">
                  <c:v>26.19047619047619</c:v>
                </c:pt>
                <c:pt idx="23" formatCode="0">
                  <c:v>21.05263157894732</c:v>
                </c:pt>
                <c:pt idx="25" formatCode="0">
                  <c:v>20.441988950276244</c:v>
                </c:pt>
                <c:pt idx="26" formatCode="0">
                  <c:v>31.03448275862069</c:v>
                </c:pt>
                <c:pt idx="27" formatCode="0">
                  <c:v>20.689655172413794</c:v>
                </c:pt>
                <c:pt idx="28" formatCode="0">
                  <c:v>28.571428571428573</c:v>
                </c:pt>
                <c:pt idx="30" formatCode="0">
                  <c:v>13.924050632911392</c:v>
                </c:pt>
                <c:pt idx="31" formatCode="0">
                  <c:v>29.6875</c:v>
                </c:pt>
              </c:numCache>
            </c:numRef>
          </c:val>
        </c:ser>
        <c:ser>
          <c:idx val="4"/>
          <c:order val="4"/>
          <c:tx>
            <c:strRef>
              <c:f>Sheet1!$F$1</c:f>
              <c:strCache>
                <c:ptCount val="1"/>
                <c:pt idx="0">
                  <c:v>Nebūtiska</c:v>
                </c:pt>
              </c:strCache>
            </c:strRef>
          </c:tx>
          <c:spPr>
            <a:solidFill>
              <a:srgbClr val="F79646">
                <a:lumMod val="75000"/>
              </a:srgbClr>
            </a:solidFill>
          </c:spPr>
          <c:invertIfNegative val="0"/>
          <c:dLbls>
            <c:showLegendKey val="0"/>
            <c:showVal val="1"/>
            <c:showCatName val="0"/>
            <c:showSerName val="0"/>
            <c:showPercent val="0"/>
            <c:showBubbleSize val="0"/>
            <c:showLeaderLines val="0"/>
          </c:dLbls>
          <c:cat>
            <c:strRef>
              <c:f>Sheet1!$A$2:$A$33</c:f>
              <c:strCache>
                <c:ptCount val="32"/>
                <c:pt idx="0">
                  <c:v>VISI RESPONDENTI, n=414</c:v>
                </c:pt>
                <c:pt idx="1">
                  <c:v>DIBINĀŠANAS GADS*</c:v>
                </c:pt>
                <c:pt idx="2">
                  <c:v>Līdz 1991.gadam, n=41</c:v>
                </c:pt>
                <c:pt idx="3">
                  <c:v>1992.-2000.gads, n=148</c:v>
                </c:pt>
                <c:pt idx="4">
                  <c:v>2001.-2007.gads, n=123</c:v>
                </c:pt>
                <c:pt idx="5">
                  <c:v>2008.-2013.gads, n=101</c:v>
                </c:pt>
                <c:pt idx="6">
                  <c:v>DARBINIEKU SKAITS</c:v>
                </c:pt>
                <c:pt idx="7">
                  <c:v>1–9, n=278</c:v>
                </c:pt>
                <c:pt idx="8">
                  <c:v>10–19, n=51</c:v>
                </c:pt>
                <c:pt idx="9">
                  <c:v>20–49, n=39</c:v>
                </c:pt>
                <c:pt idx="10">
                  <c:v>50 un vairāk, n=46</c:v>
                </c:pt>
                <c:pt idx="11">
                  <c:v>NOZARE</c:v>
                </c:pt>
                <c:pt idx="12">
                  <c:v>Ražošanas un rūpniecības, n=31</c:v>
                </c:pt>
                <c:pt idx="13">
                  <c:v>Tirdzniecības, n=69</c:v>
                </c:pt>
                <c:pt idx="14">
                  <c:v>Pakalpojumu, n=143</c:v>
                </c:pt>
                <c:pt idx="15">
                  <c:v>Būvniecības, n=37</c:v>
                </c:pt>
                <c:pt idx="16">
                  <c:v>Cits, n=134</c:v>
                </c:pt>
                <c:pt idx="17">
                  <c:v>STATISTISKAIS REĢIONS</c:v>
                </c:pt>
                <c:pt idx="18">
                  <c:v>Rīgas, n=172</c:v>
                </c:pt>
                <c:pt idx="19">
                  <c:v>Pierīgas, n=31</c:v>
                </c:pt>
                <c:pt idx="20">
                  <c:v>Vidzemes, n=72</c:v>
                </c:pt>
                <c:pt idx="21">
                  <c:v>Kurzemes, n=59</c:v>
                </c:pt>
                <c:pt idx="22">
                  <c:v>Zemgales, n=42</c:v>
                </c:pt>
                <c:pt idx="23">
                  <c:v>Latgales, n=38</c:v>
                </c:pt>
                <c:pt idx="24">
                  <c:v>APGROZĪJUMS 2012.GADĀ*</c:v>
                </c:pt>
                <c:pt idx="25">
                  <c:v>Līdz 50 000 LVL, n=181</c:v>
                </c:pt>
                <c:pt idx="26">
                  <c:v>50 001 – 100 000 LVL, n=58</c:v>
                </c:pt>
                <c:pt idx="27">
                  <c:v>100 001 – 500 000 LVL, n=87</c:v>
                </c:pt>
                <c:pt idx="28">
                  <c:v>Vairāk par 500 000 LVL, n=70</c:v>
                </c:pt>
                <c:pt idx="29">
                  <c:v>IEGULDĪJUMI PĒTNIECĪBAS JOMĀ PĒDĒJO 3 g. LAIKĀ</c:v>
                </c:pt>
                <c:pt idx="30">
                  <c:v>Ir veikti, n=158</c:v>
                </c:pt>
                <c:pt idx="31">
                  <c:v>Nav veikti, n=256</c:v>
                </c:pt>
              </c:strCache>
            </c:strRef>
          </c:cat>
          <c:val>
            <c:numRef>
              <c:f>Sheet1!$F$2:$F$33</c:f>
              <c:numCache>
                <c:formatCode>General</c:formatCode>
                <c:ptCount val="32"/>
                <c:pt idx="0" formatCode="0">
                  <c:v>18.357487922705314</c:v>
                </c:pt>
                <c:pt idx="2" formatCode="0">
                  <c:v>7.3170731707317076</c:v>
                </c:pt>
                <c:pt idx="3" formatCode="0">
                  <c:v>25.675675675675677</c:v>
                </c:pt>
                <c:pt idx="4" formatCode="0">
                  <c:v>17.886178861788618</c:v>
                </c:pt>
                <c:pt idx="5" formatCode="0">
                  <c:v>12.871287128712869</c:v>
                </c:pt>
                <c:pt idx="7" formatCode="0">
                  <c:v>20.503597122302157</c:v>
                </c:pt>
                <c:pt idx="8" formatCode="0">
                  <c:v>17.647058823529431</c:v>
                </c:pt>
                <c:pt idx="9" formatCode="0">
                  <c:v>10.256410256410271</c:v>
                </c:pt>
                <c:pt idx="10" formatCode="0">
                  <c:v>13.043478260869565</c:v>
                </c:pt>
                <c:pt idx="12" formatCode="0">
                  <c:v>16.129032258064516</c:v>
                </c:pt>
                <c:pt idx="13" formatCode="0">
                  <c:v>27.536231884057973</c:v>
                </c:pt>
                <c:pt idx="14" formatCode="0">
                  <c:v>13.986013986013987</c:v>
                </c:pt>
                <c:pt idx="15" formatCode="0">
                  <c:v>32.432432432432435</c:v>
                </c:pt>
                <c:pt idx="16" formatCode="0">
                  <c:v>14.925373134328359</c:v>
                </c:pt>
                <c:pt idx="18" formatCode="0">
                  <c:v>15.116279069767442</c:v>
                </c:pt>
                <c:pt idx="19" formatCode="0">
                  <c:v>22.580645161290324</c:v>
                </c:pt>
                <c:pt idx="20" formatCode="0">
                  <c:v>15.277777777777768</c:v>
                </c:pt>
                <c:pt idx="21" formatCode="0">
                  <c:v>16.949152542372847</c:v>
                </c:pt>
                <c:pt idx="22" formatCode="0">
                  <c:v>30.952380952380921</c:v>
                </c:pt>
                <c:pt idx="23" formatCode="0">
                  <c:v>23.684210526315788</c:v>
                </c:pt>
                <c:pt idx="25" formatCode="0">
                  <c:v>21.546961325966851</c:v>
                </c:pt>
                <c:pt idx="26" formatCode="0">
                  <c:v>15.517241379310345</c:v>
                </c:pt>
                <c:pt idx="27" formatCode="0">
                  <c:v>19.54022988505745</c:v>
                </c:pt>
                <c:pt idx="28" formatCode="0">
                  <c:v>14.285714285714286</c:v>
                </c:pt>
                <c:pt idx="30" formatCode="0">
                  <c:v>3.7974683544303796</c:v>
                </c:pt>
                <c:pt idx="31" formatCode="0">
                  <c:v>27.34375</c:v>
                </c:pt>
              </c:numCache>
            </c:numRef>
          </c:val>
        </c:ser>
        <c:ser>
          <c:idx val="0"/>
          <c:order val="0"/>
          <c:tx>
            <c:strRef>
              <c:f>Sheet1!$B$1</c:f>
              <c:strCache>
                <c:ptCount val="1"/>
                <c:pt idx="0">
                  <c:v>Column2</c:v>
                </c:pt>
              </c:strCache>
            </c:strRef>
          </c:tx>
          <c:spPr>
            <a:solidFill>
              <a:srgbClr val="9BBB59">
                <a:lumMod val="75000"/>
              </a:srgbClr>
            </a:solidFill>
            <a:ln>
              <a:noFill/>
            </a:ln>
          </c:spPr>
          <c:invertIfNegative val="0"/>
          <c:dPt>
            <c:idx val="1"/>
            <c:invertIfNegative val="0"/>
            <c:bubble3D val="0"/>
            <c:spPr>
              <a:solidFill>
                <a:srgbClr val="9BBB59"/>
              </a:solidFill>
              <a:ln>
                <a:noFill/>
              </a:ln>
            </c:spPr>
          </c:dPt>
          <c:dPt>
            <c:idx val="2"/>
            <c:invertIfNegative val="0"/>
            <c:bubble3D val="0"/>
            <c:spPr>
              <a:solidFill>
                <a:srgbClr val="FFC000"/>
              </a:solidFill>
              <a:ln>
                <a:noFill/>
              </a:ln>
            </c:spPr>
          </c:dPt>
          <c:dPt>
            <c:idx val="3"/>
            <c:invertIfNegative val="0"/>
            <c:bubble3D val="0"/>
            <c:spPr>
              <a:solidFill>
                <a:srgbClr val="F79646">
                  <a:lumMod val="75000"/>
                </a:srgbClr>
              </a:solidFill>
              <a:ln>
                <a:noFill/>
              </a:ln>
            </c:spPr>
          </c:dPt>
          <c:dPt>
            <c:idx val="4"/>
            <c:invertIfNegative val="0"/>
            <c:bubble3D val="0"/>
            <c:spPr>
              <a:solidFill>
                <a:sysClr val="window" lastClr="FFFFFF">
                  <a:lumMod val="75000"/>
                </a:sysClr>
              </a:solidFill>
              <a:ln>
                <a:noFill/>
              </a:ln>
            </c:spPr>
          </c:dPt>
          <c:dLbls>
            <c:showLegendKey val="0"/>
            <c:showVal val="1"/>
            <c:showCatName val="0"/>
            <c:showSerName val="0"/>
            <c:showPercent val="0"/>
            <c:showBubbleSize val="0"/>
            <c:showLeaderLines val="0"/>
          </c:dLbls>
          <c:cat>
            <c:strRef>
              <c:f>Sheet1!$A$2:$A$33</c:f>
              <c:strCache>
                <c:ptCount val="32"/>
                <c:pt idx="0">
                  <c:v>VISI RESPONDENTI, n=414</c:v>
                </c:pt>
                <c:pt idx="1">
                  <c:v>DIBINĀŠANAS GADS*</c:v>
                </c:pt>
                <c:pt idx="2">
                  <c:v>Līdz 1991.gadam, n=41</c:v>
                </c:pt>
                <c:pt idx="3">
                  <c:v>1992.-2000.gads, n=148</c:v>
                </c:pt>
                <c:pt idx="4">
                  <c:v>2001.-2007.gads, n=123</c:v>
                </c:pt>
                <c:pt idx="5">
                  <c:v>2008.-2013.gads, n=101</c:v>
                </c:pt>
                <c:pt idx="6">
                  <c:v>DARBINIEKU SKAITS</c:v>
                </c:pt>
                <c:pt idx="7">
                  <c:v>1–9, n=278</c:v>
                </c:pt>
                <c:pt idx="8">
                  <c:v>10–19, n=51</c:v>
                </c:pt>
                <c:pt idx="9">
                  <c:v>20–49, n=39</c:v>
                </c:pt>
                <c:pt idx="10">
                  <c:v>50 un vairāk, n=46</c:v>
                </c:pt>
                <c:pt idx="11">
                  <c:v>NOZARE</c:v>
                </c:pt>
                <c:pt idx="12">
                  <c:v>Ražošanas un rūpniecības, n=31</c:v>
                </c:pt>
                <c:pt idx="13">
                  <c:v>Tirdzniecības, n=69</c:v>
                </c:pt>
                <c:pt idx="14">
                  <c:v>Pakalpojumu, n=143</c:v>
                </c:pt>
                <c:pt idx="15">
                  <c:v>Būvniecības, n=37</c:v>
                </c:pt>
                <c:pt idx="16">
                  <c:v>Cits, n=134</c:v>
                </c:pt>
                <c:pt idx="17">
                  <c:v>STATISTISKAIS REĢIONS</c:v>
                </c:pt>
                <c:pt idx="18">
                  <c:v>Rīgas, n=172</c:v>
                </c:pt>
                <c:pt idx="19">
                  <c:v>Pierīgas, n=31</c:v>
                </c:pt>
                <c:pt idx="20">
                  <c:v>Vidzemes, n=72</c:v>
                </c:pt>
                <c:pt idx="21">
                  <c:v>Kurzemes, n=59</c:v>
                </c:pt>
                <c:pt idx="22">
                  <c:v>Zemgales, n=42</c:v>
                </c:pt>
                <c:pt idx="23">
                  <c:v>Latgales, n=38</c:v>
                </c:pt>
                <c:pt idx="24">
                  <c:v>APGROZĪJUMS 2012.GADĀ*</c:v>
                </c:pt>
                <c:pt idx="25">
                  <c:v>Līdz 50 000 LVL, n=181</c:v>
                </c:pt>
                <c:pt idx="26">
                  <c:v>50 001 – 100 000 LVL, n=58</c:v>
                </c:pt>
                <c:pt idx="27">
                  <c:v>100 001 – 500 000 LVL, n=87</c:v>
                </c:pt>
                <c:pt idx="28">
                  <c:v>Vairāk par 500 000 LVL, n=70</c:v>
                </c:pt>
                <c:pt idx="29">
                  <c:v>IEGULDĪJUMI PĒTNIECĪBAS JOMĀ PĒDĒJO 3 g. LAIKĀ</c:v>
                </c:pt>
                <c:pt idx="30">
                  <c:v>Ir veikti, n=158</c:v>
                </c:pt>
                <c:pt idx="31">
                  <c:v>Nav veikti, n=256</c:v>
                </c:pt>
              </c:strCache>
            </c:strRef>
          </c:cat>
          <c:val>
            <c:numRef>
              <c:f>Sheet1!$B$2:$B$33</c:f>
              <c:numCache>
                <c:formatCode>General</c:formatCode>
                <c:ptCount val="32"/>
              </c:numCache>
            </c:numRef>
          </c:val>
        </c:ser>
        <c:ser>
          <c:idx val="5"/>
          <c:order val="5"/>
          <c:tx>
            <c:strRef>
              <c:f>Sheet1!$G$1</c:f>
              <c:strCache>
                <c:ptCount val="1"/>
                <c:pt idx="0">
                  <c:v>Grūti pateikt</c:v>
                </c:pt>
              </c:strCache>
            </c:strRef>
          </c:tx>
          <c:spPr>
            <a:solidFill>
              <a:sysClr val="window" lastClr="FFFFFF">
                <a:lumMod val="75000"/>
              </a:sysClr>
            </a:solidFill>
          </c:spPr>
          <c:invertIfNegative val="0"/>
          <c:dLbls>
            <c:showLegendKey val="0"/>
            <c:showVal val="1"/>
            <c:showCatName val="0"/>
            <c:showSerName val="0"/>
            <c:showPercent val="0"/>
            <c:showBubbleSize val="0"/>
            <c:showLeaderLines val="0"/>
          </c:dLbls>
          <c:cat>
            <c:strRef>
              <c:f>Sheet1!$A$2:$A$33</c:f>
              <c:strCache>
                <c:ptCount val="32"/>
                <c:pt idx="0">
                  <c:v>VISI RESPONDENTI, n=414</c:v>
                </c:pt>
                <c:pt idx="1">
                  <c:v>DIBINĀŠANAS GADS*</c:v>
                </c:pt>
                <c:pt idx="2">
                  <c:v>Līdz 1991.gadam, n=41</c:v>
                </c:pt>
                <c:pt idx="3">
                  <c:v>1992.-2000.gads, n=148</c:v>
                </c:pt>
                <c:pt idx="4">
                  <c:v>2001.-2007.gads, n=123</c:v>
                </c:pt>
                <c:pt idx="5">
                  <c:v>2008.-2013.gads, n=101</c:v>
                </c:pt>
                <c:pt idx="6">
                  <c:v>DARBINIEKU SKAITS</c:v>
                </c:pt>
                <c:pt idx="7">
                  <c:v>1–9, n=278</c:v>
                </c:pt>
                <c:pt idx="8">
                  <c:v>10–19, n=51</c:v>
                </c:pt>
                <c:pt idx="9">
                  <c:v>20–49, n=39</c:v>
                </c:pt>
                <c:pt idx="10">
                  <c:v>50 un vairāk, n=46</c:v>
                </c:pt>
                <c:pt idx="11">
                  <c:v>NOZARE</c:v>
                </c:pt>
                <c:pt idx="12">
                  <c:v>Ražošanas un rūpniecības, n=31</c:v>
                </c:pt>
                <c:pt idx="13">
                  <c:v>Tirdzniecības, n=69</c:v>
                </c:pt>
                <c:pt idx="14">
                  <c:v>Pakalpojumu, n=143</c:v>
                </c:pt>
                <c:pt idx="15">
                  <c:v>Būvniecības, n=37</c:v>
                </c:pt>
                <c:pt idx="16">
                  <c:v>Cits, n=134</c:v>
                </c:pt>
                <c:pt idx="17">
                  <c:v>STATISTISKAIS REĢIONS</c:v>
                </c:pt>
                <c:pt idx="18">
                  <c:v>Rīgas, n=172</c:v>
                </c:pt>
                <c:pt idx="19">
                  <c:v>Pierīgas, n=31</c:v>
                </c:pt>
                <c:pt idx="20">
                  <c:v>Vidzemes, n=72</c:v>
                </c:pt>
                <c:pt idx="21">
                  <c:v>Kurzemes, n=59</c:v>
                </c:pt>
                <c:pt idx="22">
                  <c:v>Zemgales, n=42</c:v>
                </c:pt>
                <c:pt idx="23">
                  <c:v>Latgales, n=38</c:v>
                </c:pt>
                <c:pt idx="24">
                  <c:v>APGROZĪJUMS 2012.GADĀ*</c:v>
                </c:pt>
                <c:pt idx="25">
                  <c:v>Līdz 50 000 LVL, n=181</c:v>
                </c:pt>
                <c:pt idx="26">
                  <c:v>50 001 – 100 000 LVL, n=58</c:v>
                </c:pt>
                <c:pt idx="27">
                  <c:v>100 001 – 500 000 LVL, n=87</c:v>
                </c:pt>
                <c:pt idx="28">
                  <c:v>Vairāk par 500 000 LVL, n=70</c:v>
                </c:pt>
                <c:pt idx="29">
                  <c:v>IEGULDĪJUMI PĒTNIECĪBAS JOMĀ PĒDĒJO 3 g. LAIKĀ</c:v>
                </c:pt>
                <c:pt idx="30">
                  <c:v>Ir veikti, n=158</c:v>
                </c:pt>
                <c:pt idx="31">
                  <c:v>Nav veikti, n=256</c:v>
                </c:pt>
              </c:strCache>
            </c:strRef>
          </c:cat>
          <c:val>
            <c:numRef>
              <c:f>Sheet1!$G$2:$G$33</c:f>
              <c:numCache>
                <c:formatCode>General</c:formatCode>
                <c:ptCount val="32"/>
                <c:pt idx="0" formatCode="0">
                  <c:v>19.565217391304316</c:v>
                </c:pt>
                <c:pt idx="2" formatCode="0">
                  <c:v>21.951219512195102</c:v>
                </c:pt>
                <c:pt idx="3" formatCode="0">
                  <c:v>16.891891891891891</c:v>
                </c:pt>
                <c:pt idx="4" formatCode="0">
                  <c:v>21.951219512195102</c:v>
                </c:pt>
                <c:pt idx="5" formatCode="0">
                  <c:v>19.801980198019837</c:v>
                </c:pt>
                <c:pt idx="7" formatCode="0">
                  <c:v>21.942446043165404</c:v>
                </c:pt>
                <c:pt idx="8" formatCode="0">
                  <c:v>13.725490196078432</c:v>
                </c:pt>
                <c:pt idx="9" formatCode="0">
                  <c:v>20.512820512820515</c:v>
                </c:pt>
                <c:pt idx="10" formatCode="0">
                  <c:v>10.869565217391324</c:v>
                </c:pt>
                <c:pt idx="12" formatCode="0">
                  <c:v>16.129032258064516</c:v>
                </c:pt>
                <c:pt idx="13" formatCode="0">
                  <c:v>23.188405797101449</c:v>
                </c:pt>
                <c:pt idx="14" formatCode="0">
                  <c:v>18.181818181818208</c:v>
                </c:pt>
                <c:pt idx="15" formatCode="0">
                  <c:v>18.91891891891893</c:v>
                </c:pt>
                <c:pt idx="16" formatCode="0">
                  <c:v>20.149253731343283</c:v>
                </c:pt>
                <c:pt idx="18" formatCode="0">
                  <c:v>16.860465116279091</c:v>
                </c:pt>
                <c:pt idx="19" formatCode="0">
                  <c:v>12.903225806451612</c:v>
                </c:pt>
                <c:pt idx="20" formatCode="0">
                  <c:v>25</c:v>
                </c:pt>
                <c:pt idx="21" formatCode="0">
                  <c:v>30.508474576271166</c:v>
                </c:pt>
                <c:pt idx="22" formatCode="0">
                  <c:v>7.1428571428571415</c:v>
                </c:pt>
                <c:pt idx="23" formatCode="0">
                  <c:v>23.684210526315788</c:v>
                </c:pt>
                <c:pt idx="25" formatCode="0">
                  <c:v>22.651933701657498</c:v>
                </c:pt>
                <c:pt idx="26" formatCode="0">
                  <c:v>25.862068965517242</c:v>
                </c:pt>
                <c:pt idx="27" formatCode="0">
                  <c:v>14.942528735632173</c:v>
                </c:pt>
                <c:pt idx="28" formatCode="0">
                  <c:v>11.428571428571411</c:v>
                </c:pt>
                <c:pt idx="30" formatCode="0">
                  <c:v>11.39240506329115</c:v>
                </c:pt>
                <c:pt idx="31" formatCode="0">
                  <c:v>24.609375000000021</c:v>
                </c:pt>
              </c:numCache>
            </c:numRef>
          </c:val>
        </c:ser>
        <c:dLbls>
          <c:showLegendKey val="0"/>
          <c:showVal val="0"/>
          <c:showCatName val="0"/>
          <c:showSerName val="0"/>
          <c:showPercent val="0"/>
          <c:showBubbleSize val="0"/>
        </c:dLbls>
        <c:gapWidth val="50"/>
        <c:overlap val="100"/>
        <c:axId val="186942976"/>
        <c:axId val="186941440"/>
      </c:barChart>
      <c:valAx>
        <c:axId val="186941440"/>
        <c:scaling>
          <c:orientation val="minMax"/>
        </c:scaling>
        <c:delete val="1"/>
        <c:axPos val="t"/>
        <c:numFmt formatCode="0%" sourceLinked="1"/>
        <c:majorTickMark val="out"/>
        <c:minorTickMark val="none"/>
        <c:tickLblPos val="none"/>
        <c:crossAx val="186942976"/>
        <c:crosses val="autoZero"/>
        <c:crossBetween val="between"/>
      </c:valAx>
      <c:catAx>
        <c:axId val="186942976"/>
        <c:scaling>
          <c:orientation val="maxMin"/>
        </c:scaling>
        <c:delete val="0"/>
        <c:axPos val="l"/>
        <c:majorTickMark val="out"/>
        <c:minorTickMark val="none"/>
        <c:tickLblPos val="nextTo"/>
        <c:crossAx val="186941440"/>
        <c:crosses val="autoZero"/>
        <c:auto val="1"/>
        <c:lblAlgn val="ctr"/>
        <c:lblOffset val="100"/>
        <c:noMultiLvlLbl val="0"/>
      </c:catAx>
    </c:plotArea>
    <c:legend>
      <c:legendPos val="t"/>
      <c:legendEntry>
        <c:idx val="4"/>
        <c:delete val="1"/>
      </c:legendEntry>
      <c:layout>
        <c:manualLayout>
          <c:xMode val="edge"/>
          <c:yMode val="edge"/>
          <c:x val="0.38220949654020531"/>
          <c:y val="4.7377045905791504E-2"/>
          <c:w val="0.61779050345979625"/>
          <c:h val="3.6697947003200018E-2"/>
        </c:manualLayout>
      </c:layout>
      <c:overlay val="0"/>
    </c:legend>
    <c:plotVisOnly val="1"/>
    <c:dispBlanksAs val="gap"/>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Jūsuprāt, kādi uzlabojumi būtu nepieciešami nosauktajos valsts atbalsta instrumentos? - Granti valsts atbalsta programmu ietvaros (%)</a:t>
            </a:r>
            <a:endParaRPr lang="en-US" sz="1050"/>
          </a:p>
        </c:rich>
      </c:tx>
      <c:layout>
        <c:manualLayout>
          <c:xMode val="edge"/>
          <c:yMode val="edge"/>
          <c:x val="0.18249867091972372"/>
          <c:y val="2.6069049061175076E-2"/>
        </c:manualLayout>
      </c:layout>
      <c:overlay val="0"/>
    </c:title>
    <c:autoTitleDeleted val="0"/>
    <c:plotArea>
      <c:layout>
        <c:manualLayout>
          <c:layoutTarget val="inner"/>
          <c:xMode val="edge"/>
          <c:yMode val="edge"/>
          <c:x val="0.51912527680451515"/>
          <c:y val="0.18550515140831295"/>
          <c:w val="0.35351408825093067"/>
          <c:h val="0.61914782686062564"/>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Sheet1!$A$2:$A$6</c:f>
              <c:strCache>
                <c:ptCount val="5"/>
                <c:pt idx="0">
                  <c:v>Vienkāršot procedūru, samazināt birokrātiju</c:v>
                </c:pt>
                <c:pt idx="1">
                  <c:v>Sniegt vairāk informācijas, skaidrot</c:v>
                </c:pt>
                <c:pt idx="2">
                  <c:v>Jāievieš avansa finansējums pa etapiem</c:v>
                </c:pt>
                <c:pt idx="3">
                  <c:v>Atbalstu sniegt tikai ražošanas/eksporta jomām</c:v>
                </c:pt>
                <c:pt idx="4">
                  <c:v>100% granti priekšizpētei</c:v>
                </c:pt>
              </c:strCache>
            </c:strRef>
          </c:cat>
          <c:val>
            <c:numRef>
              <c:f>Sheet1!$B$2:$B$6</c:f>
              <c:numCache>
                <c:formatCode>0</c:formatCode>
                <c:ptCount val="5"/>
                <c:pt idx="0">
                  <c:v>53.846153846153911</c:v>
                </c:pt>
                <c:pt idx="1">
                  <c:v>23.076923076923055</c:v>
                </c:pt>
                <c:pt idx="2">
                  <c:v>7.6923076923076925</c:v>
                </c:pt>
                <c:pt idx="3">
                  <c:v>7.6923076923076925</c:v>
                </c:pt>
                <c:pt idx="4">
                  <c:v>7.6923076923076925</c:v>
                </c:pt>
              </c:numCache>
            </c:numRef>
          </c:val>
        </c:ser>
        <c:dLbls>
          <c:showLegendKey val="0"/>
          <c:showVal val="0"/>
          <c:showCatName val="0"/>
          <c:showSerName val="0"/>
          <c:showPercent val="0"/>
          <c:showBubbleSize val="0"/>
        </c:dLbls>
        <c:gapWidth val="50"/>
        <c:axId val="234563072"/>
        <c:axId val="234564608"/>
      </c:barChart>
      <c:catAx>
        <c:axId val="234563072"/>
        <c:scaling>
          <c:orientation val="maxMin"/>
        </c:scaling>
        <c:delete val="0"/>
        <c:axPos val="l"/>
        <c:majorTickMark val="out"/>
        <c:minorTickMark val="none"/>
        <c:tickLblPos val="nextTo"/>
        <c:txPr>
          <a:bodyPr/>
          <a:lstStyle/>
          <a:p>
            <a:pPr>
              <a:defRPr sz="1000"/>
            </a:pPr>
            <a:endParaRPr lang="lv-LV"/>
          </a:p>
        </c:txPr>
        <c:crossAx val="234564608"/>
        <c:crosses val="autoZero"/>
        <c:auto val="1"/>
        <c:lblAlgn val="ctr"/>
        <c:lblOffset val="100"/>
        <c:noMultiLvlLbl val="0"/>
      </c:catAx>
      <c:valAx>
        <c:axId val="234564608"/>
        <c:scaling>
          <c:orientation val="minMax"/>
          <c:max val="100"/>
          <c:min val="0"/>
        </c:scaling>
        <c:delete val="1"/>
        <c:axPos val="t"/>
        <c:numFmt formatCode="0" sourceLinked="1"/>
        <c:majorTickMark val="out"/>
        <c:minorTickMark val="none"/>
        <c:tickLblPos val="none"/>
        <c:crossAx val="234563072"/>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Jūsuprāt, kādi uzlabojumi būtu nepieciešami nosauktajos valsts atbalsta instrumentos? - Aizdevumi ar atvieglotiem nosacījumiem (Latvijas Hipotēku un zemes bankas piešķirtie) (%)</a:t>
            </a:r>
            <a:endParaRPr lang="en-US" sz="1050"/>
          </a:p>
        </c:rich>
      </c:tx>
      <c:layout>
        <c:manualLayout>
          <c:xMode val="edge"/>
          <c:yMode val="edge"/>
          <c:x val="0.18249867091972372"/>
          <c:y val="2.6069049061175076E-2"/>
        </c:manualLayout>
      </c:layout>
      <c:overlay val="0"/>
    </c:title>
    <c:autoTitleDeleted val="0"/>
    <c:plotArea>
      <c:layout>
        <c:manualLayout>
          <c:layoutTarget val="inner"/>
          <c:xMode val="edge"/>
          <c:yMode val="edge"/>
          <c:x val="0.51912527680451515"/>
          <c:y val="0.19020373092749618"/>
          <c:w val="0.35351408825093067"/>
          <c:h val="0.69045068481484051"/>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Sheet1!$A$2:$A$9</c:f>
              <c:strCache>
                <c:ptCount val="8"/>
                <c:pt idx="0">
                  <c:v>Vienkāršot procedūru, samazināt birokrātiju</c:v>
                </c:pt>
                <c:pt idx="1">
                  <c:v>Bezprocentu aizdevumi</c:v>
                </c:pt>
                <c:pt idx="2">
                  <c:v>Zemākus kā komercbankās kredītprocentus</c:v>
                </c:pt>
                <c:pt idx="3">
                  <c:v>Sniegt vairāk informācijas, skaidrot</c:v>
                </c:pt>
                <c:pt idx="4">
                  <c:v>Projektus izvērtēt pēc būtības, nevis formāli</c:v>
                </c:pt>
                <c:pt idx="5">
                  <c:v>Ilgtermiņa aizdevumi</c:v>
                </c:pt>
                <c:pt idx="6">
                  <c:v>Vairāk iespēju MVU</c:v>
                </c:pt>
                <c:pt idx="7">
                  <c:v>Kredītu brīvdienas</c:v>
                </c:pt>
              </c:strCache>
            </c:strRef>
          </c:cat>
          <c:val>
            <c:numRef>
              <c:f>Sheet1!$B$2:$B$9</c:f>
              <c:numCache>
                <c:formatCode>0</c:formatCode>
                <c:ptCount val="8"/>
                <c:pt idx="0">
                  <c:v>30</c:v>
                </c:pt>
                <c:pt idx="1">
                  <c:v>20</c:v>
                </c:pt>
                <c:pt idx="2">
                  <c:v>15</c:v>
                </c:pt>
                <c:pt idx="3">
                  <c:v>10</c:v>
                </c:pt>
                <c:pt idx="4">
                  <c:v>10</c:v>
                </c:pt>
                <c:pt idx="5">
                  <c:v>5</c:v>
                </c:pt>
                <c:pt idx="6">
                  <c:v>5</c:v>
                </c:pt>
                <c:pt idx="7">
                  <c:v>5</c:v>
                </c:pt>
              </c:numCache>
            </c:numRef>
          </c:val>
        </c:ser>
        <c:dLbls>
          <c:showLegendKey val="0"/>
          <c:showVal val="0"/>
          <c:showCatName val="0"/>
          <c:showSerName val="0"/>
          <c:showPercent val="0"/>
          <c:showBubbleSize val="0"/>
        </c:dLbls>
        <c:gapWidth val="50"/>
        <c:axId val="234627072"/>
        <c:axId val="234628608"/>
      </c:barChart>
      <c:catAx>
        <c:axId val="234627072"/>
        <c:scaling>
          <c:orientation val="maxMin"/>
        </c:scaling>
        <c:delete val="0"/>
        <c:axPos val="l"/>
        <c:majorTickMark val="out"/>
        <c:minorTickMark val="none"/>
        <c:tickLblPos val="nextTo"/>
        <c:txPr>
          <a:bodyPr/>
          <a:lstStyle/>
          <a:p>
            <a:pPr>
              <a:defRPr sz="1000"/>
            </a:pPr>
            <a:endParaRPr lang="lv-LV"/>
          </a:p>
        </c:txPr>
        <c:crossAx val="234628608"/>
        <c:crosses val="autoZero"/>
        <c:auto val="1"/>
        <c:lblAlgn val="ctr"/>
        <c:lblOffset val="100"/>
        <c:noMultiLvlLbl val="0"/>
      </c:catAx>
      <c:valAx>
        <c:axId val="234628608"/>
        <c:scaling>
          <c:orientation val="minMax"/>
          <c:max val="100"/>
          <c:min val="0"/>
        </c:scaling>
        <c:delete val="1"/>
        <c:axPos val="t"/>
        <c:numFmt formatCode="0" sourceLinked="1"/>
        <c:majorTickMark val="out"/>
        <c:minorTickMark val="none"/>
        <c:tickLblPos val="none"/>
        <c:crossAx val="234627072"/>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Kas ir būtiskākie šķēršļi jūsu uzņēmuma iespējām veikt ieguldījumus pētniecībā un attīstībā (izstrādē)? (%)</a:t>
            </a:r>
            <a:endParaRPr lang="en-US" sz="1050"/>
          </a:p>
        </c:rich>
      </c:tx>
      <c:layout>
        <c:manualLayout>
          <c:xMode val="edge"/>
          <c:yMode val="edge"/>
          <c:x val="0.11870281765018607"/>
          <c:y val="2.6069014100510192E-2"/>
        </c:manualLayout>
      </c:layout>
      <c:overlay val="0"/>
    </c:title>
    <c:autoTitleDeleted val="0"/>
    <c:plotArea>
      <c:layout>
        <c:manualLayout>
          <c:layoutTarget val="inner"/>
          <c:xMode val="edge"/>
          <c:yMode val="edge"/>
          <c:x val="0.51912527680451515"/>
          <c:y val="0.17629682653304699"/>
          <c:w val="0.35351408825093067"/>
          <c:h val="0.68719674026760569"/>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Sheet1!$A$2:$A$7</c:f>
              <c:strCache>
                <c:ptCount val="6"/>
                <c:pt idx="0">
                  <c:v>Pašu līdzekļu, iekšējā finansējuma nepietiekamība</c:v>
                </c:pt>
                <c:pt idx="1">
                  <c:v>Ārējā finansējuma nepieejamība</c:v>
                </c:pt>
                <c:pt idx="2">
                  <c:v>Ārējā finansējuma nepietiekamība (pārāk mazs finansējuma apjoms)</c:v>
                </c:pt>
                <c:pt idx="3">
                  <c:v>Cits iemesls</c:v>
                </c:pt>
                <c:pt idx="4">
                  <c:v>Nav nekādu šķēršļu</c:v>
                </c:pt>
                <c:pt idx="5">
                  <c:v>Nav nepieciešamības veikt ieguldījumus</c:v>
                </c:pt>
              </c:strCache>
            </c:strRef>
          </c:cat>
          <c:val>
            <c:numRef>
              <c:f>Sheet1!$B$2:$B$7</c:f>
              <c:numCache>
                <c:formatCode>0</c:formatCode>
                <c:ptCount val="6"/>
                <c:pt idx="0">
                  <c:v>56.591639871382583</c:v>
                </c:pt>
                <c:pt idx="1">
                  <c:v>16.720257234726667</c:v>
                </c:pt>
                <c:pt idx="2">
                  <c:v>8.3601286173633547</c:v>
                </c:pt>
                <c:pt idx="3">
                  <c:v>9.9678456591640074</c:v>
                </c:pt>
                <c:pt idx="4">
                  <c:v>6.4308681672025791</c:v>
                </c:pt>
                <c:pt idx="5">
                  <c:v>27.974276527331167</c:v>
                </c:pt>
              </c:numCache>
            </c:numRef>
          </c:val>
        </c:ser>
        <c:dLbls>
          <c:showLegendKey val="0"/>
          <c:showVal val="0"/>
          <c:showCatName val="0"/>
          <c:showSerName val="0"/>
          <c:showPercent val="0"/>
          <c:showBubbleSize val="0"/>
        </c:dLbls>
        <c:gapWidth val="50"/>
        <c:axId val="236545920"/>
        <c:axId val="236547456"/>
      </c:barChart>
      <c:catAx>
        <c:axId val="236545920"/>
        <c:scaling>
          <c:orientation val="maxMin"/>
        </c:scaling>
        <c:delete val="0"/>
        <c:axPos val="l"/>
        <c:majorTickMark val="out"/>
        <c:minorTickMark val="none"/>
        <c:tickLblPos val="nextTo"/>
        <c:txPr>
          <a:bodyPr/>
          <a:lstStyle/>
          <a:p>
            <a:pPr>
              <a:defRPr sz="1000"/>
            </a:pPr>
            <a:endParaRPr lang="lv-LV"/>
          </a:p>
        </c:txPr>
        <c:crossAx val="236547456"/>
        <c:crosses val="autoZero"/>
        <c:auto val="1"/>
        <c:lblAlgn val="ctr"/>
        <c:lblOffset val="100"/>
        <c:noMultiLvlLbl val="0"/>
      </c:catAx>
      <c:valAx>
        <c:axId val="236547456"/>
        <c:scaling>
          <c:orientation val="minMax"/>
          <c:max val="100"/>
          <c:min val="0"/>
        </c:scaling>
        <c:delete val="1"/>
        <c:axPos val="t"/>
        <c:numFmt formatCode="0" sourceLinked="1"/>
        <c:majorTickMark val="out"/>
        <c:minorTickMark val="none"/>
        <c:tickLblPos val="none"/>
        <c:crossAx val="236545920"/>
        <c:crosses val="autoZero"/>
        <c:crossBetween val="between"/>
      </c:valAx>
    </c:plotArea>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 Kas ir būtiskākie šķēršļi jūsu uzņēmuma iespējām veikt ieguldījumus pētniecībā un attīstībā (izstrādē)? (%)</a:t>
            </a:r>
            <a:endParaRPr lang="en-US" sz="1050"/>
          </a:p>
        </c:rich>
      </c:tx>
      <c:layout>
        <c:manualLayout>
          <c:xMode val="edge"/>
          <c:yMode val="edge"/>
          <c:x val="0.11065583309263367"/>
          <c:y val="1.2257849791248004E-2"/>
        </c:manualLayout>
      </c:layout>
      <c:overlay val="0"/>
    </c:title>
    <c:autoTitleDeleted val="0"/>
    <c:plotArea>
      <c:layout>
        <c:manualLayout>
          <c:layoutTarget val="inner"/>
          <c:xMode val="edge"/>
          <c:yMode val="edge"/>
          <c:x val="0.49390297504678005"/>
          <c:y val="0.22585230900191533"/>
          <c:w val="0.48961190855927733"/>
          <c:h val="0.67859245901516962"/>
        </c:manualLayout>
      </c:layout>
      <c:barChart>
        <c:barDir val="bar"/>
        <c:grouping val="stacked"/>
        <c:varyColors val="0"/>
        <c:ser>
          <c:idx val="1"/>
          <c:order val="1"/>
          <c:tx>
            <c:strRef>
              <c:f>Sheet1!$C$1</c:f>
              <c:strCache>
                <c:ptCount val="1"/>
                <c:pt idx="0">
                  <c:v>Pašu līdzekļu, iekšējā finansējuma nepietiekamība</c:v>
                </c:pt>
              </c:strCache>
            </c:strRef>
          </c:tx>
          <c:spPr>
            <a:solidFill>
              <a:srgbClr val="9BBB59">
                <a:lumMod val="75000"/>
              </a:srgbClr>
            </a:solidFill>
          </c:spPr>
          <c:invertIfNegative val="0"/>
          <c:dLbls>
            <c:dLblPos val="ctr"/>
            <c:showLegendKey val="0"/>
            <c:showVal val="1"/>
            <c:showCatName val="0"/>
            <c:showSerName val="0"/>
            <c:showPercent val="0"/>
            <c:showBubbleSize val="0"/>
            <c:showLeaderLines val="0"/>
          </c:dLbls>
          <c:cat>
            <c:strRef>
              <c:f>Sheet1!$A$2:$A$20</c:f>
              <c:strCache>
                <c:ptCount val="19"/>
                <c:pt idx="0">
                  <c:v>KOPĀ, n=311</c:v>
                </c:pt>
                <c:pt idx="1">
                  <c:v>DIBINĀŠANAS GADS*</c:v>
                </c:pt>
                <c:pt idx="2">
                  <c:v>Līdz 1991.gadam, n=31</c:v>
                </c:pt>
                <c:pt idx="3">
                  <c:v>1992.-2000.gads, n=119</c:v>
                </c:pt>
                <c:pt idx="4">
                  <c:v>2001.-2007.gads, n=85</c:v>
                </c:pt>
                <c:pt idx="5">
                  <c:v>2008.-2013.gads, n=76</c:v>
                </c:pt>
                <c:pt idx="6">
                  <c:v>DARBINIEKU SKAITS</c:v>
                </c:pt>
                <c:pt idx="7">
                  <c:v>1–9, n=206</c:v>
                </c:pt>
                <c:pt idx="8">
                  <c:v>10–19, n=40</c:v>
                </c:pt>
                <c:pt idx="9">
                  <c:v>20–49, n=27**</c:v>
                </c:pt>
                <c:pt idx="10">
                  <c:v>50 un vairāk, n=38</c:v>
                </c:pt>
                <c:pt idx="11">
                  <c:v>APGROZĪJUMS 2012.GADĀ*</c:v>
                </c:pt>
                <c:pt idx="12">
                  <c:v>Līdz 50 000 LVL, n=142</c:v>
                </c:pt>
                <c:pt idx="13">
                  <c:v>50 001 – 100 000 LVL, n=45</c:v>
                </c:pt>
                <c:pt idx="14">
                  <c:v>100 001 – 500 000 LVL, n=65</c:v>
                </c:pt>
                <c:pt idx="15">
                  <c:v>Vairāk par 500 000 LVL, n=52</c:v>
                </c:pt>
                <c:pt idx="16">
                  <c:v>IEGULDĪJUMI PĒTNIECĪBAS JOMĀ PĒDĒJO 3 g. LAIKĀ</c:v>
                </c:pt>
                <c:pt idx="17">
                  <c:v>Jā, n=100</c:v>
                </c:pt>
                <c:pt idx="18">
                  <c:v>Nē, n=211</c:v>
                </c:pt>
              </c:strCache>
            </c:strRef>
          </c:cat>
          <c:val>
            <c:numRef>
              <c:f>Sheet1!$C$2:$C$20</c:f>
              <c:numCache>
                <c:formatCode>General</c:formatCode>
                <c:ptCount val="19"/>
                <c:pt idx="0" formatCode="0">
                  <c:v>56.591639871382583</c:v>
                </c:pt>
                <c:pt idx="2" formatCode="0">
                  <c:v>61.29032258064516</c:v>
                </c:pt>
                <c:pt idx="3" formatCode="0">
                  <c:v>50.420168067226875</c:v>
                </c:pt>
                <c:pt idx="4" formatCode="0">
                  <c:v>51.764705882352963</c:v>
                </c:pt>
                <c:pt idx="5" formatCode="0">
                  <c:v>69.73684210526315</c:v>
                </c:pt>
                <c:pt idx="7" formatCode="0">
                  <c:v>55.825242718446596</c:v>
                </c:pt>
                <c:pt idx="8" formatCode="0">
                  <c:v>62.5</c:v>
                </c:pt>
                <c:pt idx="9" formatCode="0">
                  <c:v>55.555555555555557</c:v>
                </c:pt>
                <c:pt idx="10" formatCode="0">
                  <c:v>55.263157894736885</c:v>
                </c:pt>
                <c:pt idx="12" formatCode="0">
                  <c:v>58.450704225352055</c:v>
                </c:pt>
                <c:pt idx="13" formatCode="0">
                  <c:v>57.777777777777779</c:v>
                </c:pt>
                <c:pt idx="14" formatCode="0">
                  <c:v>56.923076923076962</c:v>
                </c:pt>
                <c:pt idx="15" formatCode="0">
                  <c:v>51.923076923076962</c:v>
                </c:pt>
                <c:pt idx="17" formatCode="0">
                  <c:v>73</c:v>
                </c:pt>
                <c:pt idx="18" formatCode="0">
                  <c:v>48.81516587677725</c:v>
                </c:pt>
              </c:numCache>
            </c:numRef>
          </c:val>
        </c:ser>
        <c:ser>
          <c:idx val="2"/>
          <c:order val="2"/>
          <c:tx>
            <c:strRef>
              <c:f>Sheet1!$D$1</c:f>
              <c:strCache>
                <c:ptCount val="1"/>
                <c:pt idx="0">
                  <c:v>Column2</c:v>
                </c:pt>
              </c:strCache>
            </c:strRef>
          </c:tx>
          <c:spPr>
            <a:noFill/>
          </c:spPr>
          <c:invertIfNegative val="0"/>
          <c:cat>
            <c:strRef>
              <c:f>Sheet1!$A$2:$A$20</c:f>
              <c:strCache>
                <c:ptCount val="19"/>
                <c:pt idx="0">
                  <c:v>KOPĀ, n=311</c:v>
                </c:pt>
                <c:pt idx="1">
                  <c:v>DIBINĀŠANAS GADS*</c:v>
                </c:pt>
                <c:pt idx="2">
                  <c:v>Līdz 1991.gadam, n=31</c:v>
                </c:pt>
                <c:pt idx="3">
                  <c:v>1992.-2000.gads, n=119</c:v>
                </c:pt>
                <c:pt idx="4">
                  <c:v>2001.-2007.gads, n=85</c:v>
                </c:pt>
                <c:pt idx="5">
                  <c:v>2008.-2013.gads, n=76</c:v>
                </c:pt>
                <c:pt idx="6">
                  <c:v>DARBINIEKU SKAITS</c:v>
                </c:pt>
                <c:pt idx="7">
                  <c:v>1–9, n=206</c:v>
                </c:pt>
                <c:pt idx="8">
                  <c:v>10–19, n=40</c:v>
                </c:pt>
                <c:pt idx="9">
                  <c:v>20–49, n=27**</c:v>
                </c:pt>
                <c:pt idx="10">
                  <c:v>50 un vairāk, n=38</c:v>
                </c:pt>
                <c:pt idx="11">
                  <c:v>APGROZĪJUMS 2012.GADĀ*</c:v>
                </c:pt>
                <c:pt idx="12">
                  <c:v>Līdz 50 000 LVL, n=142</c:v>
                </c:pt>
                <c:pt idx="13">
                  <c:v>50 001 – 100 000 LVL, n=45</c:v>
                </c:pt>
                <c:pt idx="14">
                  <c:v>100 001 – 500 000 LVL, n=65</c:v>
                </c:pt>
                <c:pt idx="15">
                  <c:v>Vairāk par 500 000 LVL, n=52</c:v>
                </c:pt>
                <c:pt idx="16">
                  <c:v>IEGULDĪJUMI PĒTNIECĪBAS JOMĀ PĒDĒJO 3 g. LAIKĀ</c:v>
                </c:pt>
                <c:pt idx="17">
                  <c:v>Jā, n=100</c:v>
                </c:pt>
                <c:pt idx="18">
                  <c:v>Nē, n=211</c:v>
                </c:pt>
              </c:strCache>
            </c:strRef>
          </c:cat>
          <c:val>
            <c:numRef>
              <c:f>Sheet1!$D$2:$D$20</c:f>
              <c:numCache>
                <c:formatCode>General</c:formatCode>
                <c:ptCount val="19"/>
                <c:pt idx="0" formatCode="0">
                  <c:v>26.40836012861736</c:v>
                </c:pt>
                <c:pt idx="2" formatCode="0">
                  <c:v>21.70967741935484</c:v>
                </c:pt>
                <c:pt idx="3" formatCode="0">
                  <c:v>32.579831932773111</c:v>
                </c:pt>
                <c:pt idx="4" formatCode="0">
                  <c:v>31.235294117647058</c:v>
                </c:pt>
                <c:pt idx="5" formatCode="0">
                  <c:v>13.263157894736835</c:v>
                </c:pt>
                <c:pt idx="7" formatCode="0">
                  <c:v>27.174757281553386</c:v>
                </c:pt>
                <c:pt idx="8" formatCode="0">
                  <c:v>20.5</c:v>
                </c:pt>
                <c:pt idx="9" formatCode="0">
                  <c:v>27.444444444444443</c:v>
                </c:pt>
                <c:pt idx="10" formatCode="0">
                  <c:v>27.736842105263136</c:v>
                </c:pt>
                <c:pt idx="12" formatCode="0">
                  <c:v>24.549295774647888</c:v>
                </c:pt>
                <c:pt idx="13" formatCode="0">
                  <c:v>25.222222222222182</c:v>
                </c:pt>
                <c:pt idx="14" formatCode="0">
                  <c:v>26.076923076923059</c:v>
                </c:pt>
                <c:pt idx="15" formatCode="0">
                  <c:v>31.076923076923059</c:v>
                </c:pt>
                <c:pt idx="17" formatCode="0">
                  <c:v>10</c:v>
                </c:pt>
                <c:pt idx="18" formatCode="0">
                  <c:v>34.184834123222707</c:v>
                </c:pt>
              </c:numCache>
            </c:numRef>
          </c:val>
        </c:ser>
        <c:ser>
          <c:idx val="3"/>
          <c:order val="3"/>
          <c:tx>
            <c:strRef>
              <c:f>Sheet1!$E$1</c:f>
              <c:strCache>
                <c:ptCount val="1"/>
                <c:pt idx="0">
                  <c:v>Ārējā finansējuma nepieejamība</c:v>
                </c:pt>
              </c:strCache>
            </c:strRef>
          </c:tx>
          <c:spPr>
            <a:solidFill>
              <a:srgbClr val="FFC000"/>
            </a:solidFill>
          </c:spPr>
          <c:invertIfNegative val="0"/>
          <c:dLbls>
            <c:showLegendKey val="0"/>
            <c:showVal val="1"/>
            <c:showCatName val="0"/>
            <c:showSerName val="0"/>
            <c:showPercent val="0"/>
            <c:showBubbleSize val="0"/>
            <c:showLeaderLines val="0"/>
          </c:dLbls>
          <c:cat>
            <c:strRef>
              <c:f>Sheet1!$A$2:$A$20</c:f>
              <c:strCache>
                <c:ptCount val="19"/>
                <c:pt idx="0">
                  <c:v>KOPĀ, n=311</c:v>
                </c:pt>
                <c:pt idx="1">
                  <c:v>DIBINĀŠANAS GADS*</c:v>
                </c:pt>
                <c:pt idx="2">
                  <c:v>Līdz 1991.gadam, n=31</c:v>
                </c:pt>
                <c:pt idx="3">
                  <c:v>1992.-2000.gads, n=119</c:v>
                </c:pt>
                <c:pt idx="4">
                  <c:v>2001.-2007.gads, n=85</c:v>
                </c:pt>
                <c:pt idx="5">
                  <c:v>2008.-2013.gads, n=76</c:v>
                </c:pt>
                <c:pt idx="6">
                  <c:v>DARBINIEKU SKAITS</c:v>
                </c:pt>
                <c:pt idx="7">
                  <c:v>1–9, n=206</c:v>
                </c:pt>
                <c:pt idx="8">
                  <c:v>10–19, n=40</c:v>
                </c:pt>
                <c:pt idx="9">
                  <c:v>20–49, n=27**</c:v>
                </c:pt>
                <c:pt idx="10">
                  <c:v>50 un vairāk, n=38</c:v>
                </c:pt>
                <c:pt idx="11">
                  <c:v>APGROZĪJUMS 2012.GADĀ*</c:v>
                </c:pt>
                <c:pt idx="12">
                  <c:v>Līdz 50 000 LVL, n=142</c:v>
                </c:pt>
                <c:pt idx="13">
                  <c:v>50 001 – 100 000 LVL, n=45</c:v>
                </c:pt>
                <c:pt idx="14">
                  <c:v>100 001 – 500 000 LVL, n=65</c:v>
                </c:pt>
                <c:pt idx="15">
                  <c:v>Vairāk par 500 000 LVL, n=52</c:v>
                </c:pt>
                <c:pt idx="16">
                  <c:v>IEGULDĪJUMI PĒTNIECĪBAS JOMĀ PĒDĒJO 3 g. LAIKĀ</c:v>
                </c:pt>
                <c:pt idx="17">
                  <c:v>Jā, n=100</c:v>
                </c:pt>
                <c:pt idx="18">
                  <c:v>Nē, n=211</c:v>
                </c:pt>
              </c:strCache>
            </c:strRef>
          </c:cat>
          <c:val>
            <c:numRef>
              <c:f>Sheet1!$E$2:$E$20</c:f>
              <c:numCache>
                <c:formatCode>General</c:formatCode>
                <c:ptCount val="19"/>
                <c:pt idx="0" formatCode="0">
                  <c:v>16.720257234726667</c:v>
                </c:pt>
                <c:pt idx="2" formatCode="0">
                  <c:v>16.129032258064516</c:v>
                </c:pt>
                <c:pt idx="3" formatCode="0">
                  <c:v>15.126050420168067</c:v>
                </c:pt>
                <c:pt idx="4" formatCode="0">
                  <c:v>14.117647058823529</c:v>
                </c:pt>
                <c:pt idx="5" formatCode="0">
                  <c:v>22.368421052631579</c:v>
                </c:pt>
                <c:pt idx="7" formatCode="0">
                  <c:v>19.902912621359203</c:v>
                </c:pt>
                <c:pt idx="8" formatCode="0">
                  <c:v>10</c:v>
                </c:pt>
                <c:pt idx="9" formatCode="0">
                  <c:v>7.4074074074074066</c:v>
                </c:pt>
                <c:pt idx="10" formatCode="0">
                  <c:v>13.157894736842104</c:v>
                </c:pt>
                <c:pt idx="12" formatCode="0">
                  <c:v>19.718309859154907</c:v>
                </c:pt>
                <c:pt idx="13" formatCode="0">
                  <c:v>17.777777777777779</c:v>
                </c:pt>
                <c:pt idx="14" formatCode="0">
                  <c:v>12.307692307692319</c:v>
                </c:pt>
                <c:pt idx="15" formatCode="0">
                  <c:v>13.461538461538462</c:v>
                </c:pt>
                <c:pt idx="17" formatCode="0">
                  <c:v>24</c:v>
                </c:pt>
                <c:pt idx="18" formatCode="0">
                  <c:v>13.270142180094776</c:v>
                </c:pt>
              </c:numCache>
            </c:numRef>
          </c:val>
        </c:ser>
        <c:ser>
          <c:idx val="0"/>
          <c:order val="0"/>
          <c:tx>
            <c:strRef>
              <c:f>Sheet1!$B$1</c:f>
              <c:strCache>
                <c:ptCount val="1"/>
                <c:pt idx="0">
                  <c:v>Column12</c:v>
                </c:pt>
              </c:strCache>
            </c:strRef>
          </c:tx>
          <c:spPr>
            <a:solidFill>
              <a:srgbClr val="9BBB59">
                <a:lumMod val="75000"/>
              </a:srgbClr>
            </a:solidFill>
            <a:ln>
              <a:noFill/>
            </a:ln>
          </c:spPr>
          <c:invertIfNegative val="0"/>
          <c:dPt>
            <c:idx val="1"/>
            <c:invertIfNegative val="0"/>
            <c:bubble3D val="0"/>
            <c:spPr>
              <a:solidFill>
                <a:srgbClr val="9BBB59"/>
              </a:solidFill>
              <a:ln>
                <a:noFill/>
              </a:ln>
            </c:spPr>
          </c:dPt>
          <c:dPt>
            <c:idx val="2"/>
            <c:invertIfNegative val="0"/>
            <c:bubble3D val="0"/>
            <c:spPr>
              <a:solidFill>
                <a:srgbClr val="FFC000"/>
              </a:solidFill>
              <a:ln>
                <a:noFill/>
              </a:ln>
            </c:spPr>
          </c:dPt>
          <c:dPt>
            <c:idx val="3"/>
            <c:invertIfNegative val="0"/>
            <c:bubble3D val="0"/>
            <c:spPr>
              <a:solidFill>
                <a:srgbClr val="F79646">
                  <a:lumMod val="75000"/>
                </a:srgbClr>
              </a:solidFill>
              <a:ln>
                <a:noFill/>
              </a:ln>
            </c:spPr>
          </c:dPt>
          <c:dPt>
            <c:idx val="4"/>
            <c:invertIfNegative val="0"/>
            <c:bubble3D val="0"/>
            <c:spPr>
              <a:solidFill>
                <a:sysClr val="window" lastClr="FFFFFF">
                  <a:lumMod val="75000"/>
                </a:sysClr>
              </a:solidFill>
              <a:ln>
                <a:noFill/>
              </a:ln>
            </c:spPr>
          </c:dPt>
          <c:dLbls>
            <c:showLegendKey val="0"/>
            <c:showVal val="1"/>
            <c:showCatName val="0"/>
            <c:showSerName val="0"/>
            <c:showPercent val="0"/>
            <c:showBubbleSize val="0"/>
            <c:showLeaderLines val="0"/>
          </c:dLbls>
          <c:cat>
            <c:strRef>
              <c:f>Sheet1!$A$2:$A$20</c:f>
              <c:strCache>
                <c:ptCount val="19"/>
                <c:pt idx="0">
                  <c:v>KOPĀ, n=311</c:v>
                </c:pt>
                <c:pt idx="1">
                  <c:v>DIBINĀŠANAS GADS*</c:v>
                </c:pt>
                <c:pt idx="2">
                  <c:v>Līdz 1991.gadam, n=31</c:v>
                </c:pt>
                <c:pt idx="3">
                  <c:v>1992.-2000.gads, n=119</c:v>
                </c:pt>
                <c:pt idx="4">
                  <c:v>2001.-2007.gads, n=85</c:v>
                </c:pt>
                <c:pt idx="5">
                  <c:v>2008.-2013.gads, n=76</c:v>
                </c:pt>
                <c:pt idx="6">
                  <c:v>DARBINIEKU SKAITS</c:v>
                </c:pt>
                <c:pt idx="7">
                  <c:v>1–9, n=206</c:v>
                </c:pt>
                <c:pt idx="8">
                  <c:v>10–19, n=40</c:v>
                </c:pt>
                <c:pt idx="9">
                  <c:v>20–49, n=27**</c:v>
                </c:pt>
                <c:pt idx="10">
                  <c:v>50 un vairāk, n=38</c:v>
                </c:pt>
                <c:pt idx="11">
                  <c:v>APGROZĪJUMS 2012.GADĀ*</c:v>
                </c:pt>
                <c:pt idx="12">
                  <c:v>Līdz 50 000 LVL, n=142</c:v>
                </c:pt>
                <c:pt idx="13">
                  <c:v>50 001 – 100 000 LVL, n=45</c:v>
                </c:pt>
                <c:pt idx="14">
                  <c:v>100 001 – 500 000 LVL, n=65</c:v>
                </c:pt>
                <c:pt idx="15">
                  <c:v>Vairāk par 500 000 LVL, n=52</c:v>
                </c:pt>
                <c:pt idx="16">
                  <c:v>IEGULDĪJUMI PĒTNIECĪBAS JOMĀ PĒDĒJO 3 g. LAIKĀ</c:v>
                </c:pt>
                <c:pt idx="17">
                  <c:v>Jā, n=100</c:v>
                </c:pt>
                <c:pt idx="18">
                  <c:v>Nē, n=211</c:v>
                </c:pt>
              </c:strCache>
            </c:strRef>
          </c:cat>
          <c:val>
            <c:numRef>
              <c:f>Sheet1!$B$2:$B$20</c:f>
              <c:numCache>
                <c:formatCode>General</c:formatCode>
                <c:ptCount val="19"/>
              </c:numCache>
            </c:numRef>
          </c:val>
        </c:ser>
        <c:ser>
          <c:idx val="4"/>
          <c:order val="4"/>
          <c:tx>
            <c:strRef>
              <c:f>Sheet1!$F$1</c:f>
              <c:strCache>
                <c:ptCount val="1"/>
                <c:pt idx="0">
                  <c:v>Column3</c:v>
                </c:pt>
              </c:strCache>
            </c:strRef>
          </c:tx>
          <c:spPr>
            <a:noFill/>
          </c:spPr>
          <c:invertIfNegative val="0"/>
          <c:cat>
            <c:strRef>
              <c:f>Sheet1!$A$2:$A$20</c:f>
              <c:strCache>
                <c:ptCount val="19"/>
                <c:pt idx="0">
                  <c:v>KOPĀ, n=311</c:v>
                </c:pt>
                <c:pt idx="1">
                  <c:v>DIBINĀŠANAS GADS*</c:v>
                </c:pt>
                <c:pt idx="2">
                  <c:v>Līdz 1991.gadam, n=31</c:v>
                </c:pt>
                <c:pt idx="3">
                  <c:v>1992.-2000.gads, n=119</c:v>
                </c:pt>
                <c:pt idx="4">
                  <c:v>2001.-2007.gads, n=85</c:v>
                </c:pt>
                <c:pt idx="5">
                  <c:v>2008.-2013.gads, n=76</c:v>
                </c:pt>
                <c:pt idx="6">
                  <c:v>DARBINIEKU SKAITS</c:v>
                </c:pt>
                <c:pt idx="7">
                  <c:v>1–9, n=206</c:v>
                </c:pt>
                <c:pt idx="8">
                  <c:v>10–19, n=40</c:v>
                </c:pt>
                <c:pt idx="9">
                  <c:v>20–49, n=27**</c:v>
                </c:pt>
                <c:pt idx="10">
                  <c:v>50 un vairāk, n=38</c:v>
                </c:pt>
                <c:pt idx="11">
                  <c:v>APGROZĪJUMS 2012.GADĀ*</c:v>
                </c:pt>
                <c:pt idx="12">
                  <c:v>Līdz 50 000 LVL, n=142</c:v>
                </c:pt>
                <c:pt idx="13">
                  <c:v>50 001 – 100 000 LVL, n=45</c:v>
                </c:pt>
                <c:pt idx="14">
                  <c:v>100 001 – 500 000 LVL, n=65</c:v>
                </c:pt>
                <c:pt idx="15">
                  <c:v>Vairāk par 500 000 LVL, n=52</c:v>
                </c:pt>
                <c:pt idx="16">
                  <c:v>IEGULDĪJUMI PĒTNIECĪBAS JOMĀ PĒDĒJO 3 g. LAIKĀ</c:v>
                </c:pt>
                <c:pt idx="17">
                  <c:v>Jā, n=100</c:v>
                </c:pt>
                <c:pt idx="18">
                  <c:v>Nē, n=211</c:v>
                </c:pt>
              </c:strCache>
            </c:strRef>
          </c:cat>
          <c:val>
            <c:numRef>
              <c:f>Sheet1!$F$2:$F$20</c:f>
              <c:numCache>
                <c:formatCode>General</c:formatCode>
                <c:ptCount val="19"/>
                <c:pt idx="0" formatCode="0">
                  <c:v>17.27974276527328</c:v>
                </c:pt>
                <c:pt idx="2" formatCode="0">
                  <c:v>17.870967741935491</c:v>
                </c:pt>
                <c:pt idx="3" formatCode="0">
                  <c:v>18.873949579831901</c:v>
                </c:pt>
                <c:pt idx="4" formatCode="0">
                  <c:v>19.88235294117645</c:v>
                </c:pt>
                <c:pt idx="5" formatCode="0">
                  <c:v>11.631578947368418</c:v>
                </c:pt>
                <c:pt idx="7" formatCode="0">
                  <c:v>14.097087378640776</c:v>
                </c:pt>
                <c:pt idx="8" formatCode="0">
                  <c:v>24</c:v>
                </c:pt>
                <c:pt idx="9" formatCode="0">
                  <c:v>26.59259259259257</c:v>
                </c:pt>
                <c:pt idx="10" formatCode="0">
                  <c:v>20.842105263157887</c:v>
                </c:pt>
                <c:pt idx="12" formatCode="0">
                  <c:v>14.281690140845068</c:v>
                </c:pt>
                <c:pt idx="13" formatCode="0">
                  <c:v>16.222222222222182</c:v>
                </c:pt>
                <c:pt idx="14" formatCode="0">
                  <c:v>21.692307692307686</c:v>
                </c:pt>
                <c:pt idx="15" formatCode="0">
                  <c:v>20.538461538461529</c:v>
                </c:pt>
                <c:pt idx="17" formatCode="0">
                  <c:v>10</c:v>
                </c:pt>
                <c:pt idx="18" formatCode="0">
                  <c:v>20.729857819905213</c:v>
                </c:pt>
              </c:numCache>
            </c:numRef>
          </c:val>
        </c:ser>
        <c:ser>
          <c:idx val="5"/>
          <c:order val="5"/>
          <c:tx>
            <c:strRef>
              <c:f>Sheet1!$G$1</c:f>
              <c:strCache>
                <c:ptCount val="1"/>
                <c:pt idx="0">
                  <c:v>Ārējā finansējuma nepietiekamība (pārāk mazs finansējuma apjoms)</c:v>
                </c:pt>
              </c:strCache>
            </c:strRef>
          </c:tx>
          <c:spPr>
            <a:solidFill>
              <a:srgbClr val="F79646">
                <a:lumMod val="75000"/>
              </a:srgbClr>
            </a:solidFill>
          </c:spPr>
          <c:invertIfNegative val="0"/>
          <c:dLbls>
            <c:showLegendKey val="0"/>
            <c:showVal val="1"/>
            <c:showCatName val="0"/>
            <c:showSerName val="0"/>
            <c:showPercent val="0"/>
            <c:showBubbleSize val="0"/>
            <c:showLeaderLines val="0"/>
          </c:dLbls>
          <c:cat>
            <c:strRef>
              <c:f>Sheet1!$A$2:$A$20</c:f>
              <c:strCache>
                <c:ptCount val="19"/>
                <c:pt idx="0">
                  <c:v>KOPĀ, n=311</c:v>
                </c:pt>
                <c:pt idx="1">
                  <c:v>DIBINĀŠANAS GADS*</c:v>
                </c:pt>
                <c:pt idx="2">
                  <c:v>Līdz 1991.gadam, n=31</c:v>
                </c:pt>
                <c:pt idx="3">
                  <c:v>1992.-2000.gads, n=119</c:v>
                </c:pt>
                <c:pt idx="4">
                  <c:v>2001.-2007.gads, n=85</c:v>
                </c:pt>
                <c:pt idx="5">
                  <c:v>2008.-2013.gads, n=76</c:v>
                </c:pt>
                <c:pt idx="6">
                  <c:v>DARBINIEKU SKAITS</c:v>
                </c:pt>
                <c:pt idx="7">
                  <c:v>1–9, n=206</c:v>
                </c:pt>
                <c:pt idx="8">
                  <c:v>10–19, n=40</c:v>
                </c:pt>
                <c:pt idx="9">
                  <c:v>20–49, n=27**</c:v>
                </c:pt>
                <c:pt idx="10">
                  <c:v>50 un vairāk, n=38</c:v>
                </c:pt>
                <c:pt idx="11">
                  <c:v>APGROZĪJUMS 2012.GADĀ*</c:v>
                </c:pt>
                <c:pt idx="12">
                  <c:v>Līdz 50 000 LVL, n=142</c:v>
                </c:pt>
                <c:pt idx="13">
                  <c:v>50 001 – 100 000 LVL, n=45</c:v>
                </c:pt>
                <c:pt idx="14">
                  <c:v>100 001 – 500 000 LVL, n=65</c:v>
                </c:pt>
                <c:pt idx="15">
                  <c:v>Vairāk par 500 000 LVL, n=52</c:v>
                </c:pt>
                <c:pt idx="16">
                  <c:v>IEGULDĪJUMI PĒTNIECĪBAS JOMĀ PĒDĒJO 3 g. LAIKĀ</c:v>
                </c:pt>
                <c:pt idx="17">
                  <c:v>Jā, n=100</c:v>
                </c:pt>
                <c:pt idx="18">
                  <c:v>Nē, n=211</c:v>
                </c:pt>
              </c:strCache>
            </c:strRef>
          </c:cat>
          <c:val>
            <c:numRef>
              <c:f>Sheet1!$G$2:$G$20</c:f>
              <c:numCache>
                <c:formatCode>General</c:formatCode>
                <c:ptCount val="19"/>
                <c:pt idx="0" formatCode="0">
                  <c:v>8.3601286173633547</c:v>
                </c:pt>
                <c:pt idx="2" formatCode="0">
                  <c:v>12.903225806451612</c:v>
                </c:pt>
                <c:pt idx="3" formatCode="0">
                  <c:v>7.5630252100840325</c:v>
                </c:pt>
                <c:pt idx="4" formatCode="0">
                  <c:v>8.2352941176470598</c:v>
                </c:pt>
                <c:pt idx="5" formatCode="0">
                  <c:v>7.8947368421052504</c:v>
                </c:pt>
                <c:pt idx="7" formatCode="0">
                  <c:v>5.3398058252427187</c:v>
                </c:pt>
                <c:pt idx="8" formatCode="0">
                  <c:v>12.5</c:v>
                </c:pt>
                <c:pt idx="9" formatCode="0">
                  <c:v>14.81481481481482</c:v>
                </c:pt>
                <c:pt idx="10" formatCode="0">
                  <c:v>15.789473684210511</c:v>
                </c:pt>
                <c:pt idx="12" formatCode="0">
                  <c:v>7.042253521126761</c:v>
                </c:pt>
                <c:pt idx="14" formatCode="0">
                  <c:v>9.2307692307692406</c:v>
                </c:pt>
                <c:pt idx="15" formatCode="0">
                  <c:v>17.307692307692307</c:v>
                </c:pt>
                <c:pt idx="17" formatCode="0">
                  <c:v>15</c:v>
                </c:pt>
                <c:pt idx="18" formatCode="0">
                  <c:v>5.2132701421800984</c:v>
                </c:pt>
              </c:numCache>
            </c:numRef>
          </c:val>
        </c:ser>
        <c:ser>
          <c:idx val="6"/>
          <c:order val="6"/>
          <c:tx>
            <c:strRef>
              <c:f>Sheet1!$H$1</c:f>
              <c:strCache>
                <c:ptCount val="1"/>
                <c:pt idx="0">
                  <c:v>Column4</c:v>
                </c:pt>
              </c:strCache>
            </c:strRef>
          </c:tx>
          <c:spPr>
            <a:noFill/>
          </c:spPr>
          <c:invertIfNegative val="0"/>
          <c:cat>
            <c:strRef>
              <c:f>Sheet1!$A$2:$A$20</c:f>
              <c:strCache>
                <c:ptCount val="19"/>
                <c:pt idx="0">
                  <c:v>KOPĀ, n=311</c:v>
                </c:pt>
                <c:pt idx="1">
                  <c:v>DIBINĀŠANAS GADS*</c:v>
                </c:pt>
                <c:pt idx="2">
                  <c:v>Līdz 1991.gadam, n=31</c:v>
                </c:pt>
                <c:pt idx="3">
                  <c:v>1992.-2000.gads, n=119</c:v>
                </c:pt>
                <c:pt idx="4">
                  <c:v>2001.-2007.gads, n=85</c:v>
                </c:pt>
                <c:pt idx="5">
                  <c:v>2008.-2013.gads, n=76</c:v>
                </c:pt>
                <c:pt idx="6">
                  <c:v>DARBINIEKU SKAITS</c:v>
                </c:pt>
                <c:pt idx="7">
                  <c:v>1–9, n=206</c:v>
                </c:pt>
                <c:pt idx="8">
                  <c:v>10–19, n=40</c:v>
                </c:pt>
                <c:pt idx="9">
                  <c:v>20–49, n=27**</c:v>
                </c:pt>
                <c:pt idx="10">
                  <c:v>50 un vairāk, n=38</c:v>
                </c:pt>
                <c:pt idx="11">
                  <c:v>APGROZĪJUMS 2012.GADĀ*</c:v>
                </c:pt>
                <c:pt idx="12">
                  <c:v>Līdz 50 000 LVL, n=142</c:v>
                </c:pt>
                <c:pt idx="13">
                  <c:v>50 001 – 100 000 LVL, n=45</c:v>
                </c:pt>
                <c:pt idx="14">
                  <c:v>100 001 – 500 000 LVL, n=65</c:v>
                </c:pt>
                <c:pt idx="15">
                  <c:v>Vairāk par 500 000 LVL, n=52</c:v>
                </c:pt>
                <c:pt idx="16">
                  <c:v>IEGULDĪJUMI PĒTNIECĪBAS JOMĀ PĒDĒJO 3 g. LAIKĀ</c:v>
                </c:pt>
                <c:pt idx="17">
                  <c:v>Jā, n=100</c:v>
                </c:pt>
                <c:pt idx="18">
                  <c:v>Nē, n=211</c:v>
                </c:pt>
              </c:strCache>
            </c:strRef>
          </c:cat>
          <c:val>
            <c:numRef>
              <c:f>Sheet1!$H$2:$H$20</c:f>
              <c:numCache>
                <c:formatCode>General</c:formatCode>
                <c:ptCount val="19"/>
                <c:pt idx="0" formatCode="0">
                  <c:v>18.947563690328927</c:v>
                </c:pt>
                <c:pt idx="2" formatCode="0">
                  <c:v>14.404466501240707</c:v>
                </c:pt>
                <c:pt idx="3" formatCode="0">
                  <c:v>19.744667097608271</c:v>
                </c:pt>
                <c:pt idx="4" formatCode="0">
                  <c:v>19.072398190045249</c:v>
                </c:pt>
                <c:pt idx="5" formatCode="0">
                  <c:v>19.412955465587064</c:v>
                </c:pt>
                <c:pt idx="7" formatCode="0">
                  <c:v>21.96788648244959</c:v>
                </c:pt>
                <c:pt idx="8" formatCode="0">
                  <c:v>14.807692307692317</c:v>
                </c:pt>
                <c:pt idx="9" formatCode="0">
                  <c:v>12.492877492877492</c:v>
                </c:pt>
                <c:pt idx="10" formatCode="0">
                  <c:v>11.518218623481765</c:v>
                </c:pt>
                <c:pt idx="12" formatCode="0">
                  <c:v>20.265438786565504</c:v>
                </c:pt>
                <c:pt idx="13" formatCode="0">
                  <c:v>27.307692307692307</c:v>
                </c:pt>
                <c:pt idx="14" formatCode="0">
                  <c:v>18.076923076923055</c:v>
                </c:pt>
                <c:pt idx="15" formatCode="0">
                  <c:v>10</c:v>
                </c:pt>
                <c:pt idx="17" formatCode="0">
                  <c:v>12.307692307692317</c:v>
                </c:pt>
                <c:pt idx="18" formatCode="0">
                  <c:v>22.094422165512213</c:v>
                </c:pt>
              </c:numCache>
            </c:numRef>
          </c:val>
        </c:ser>
        <c:ser>
          <c:idx val="7"/>
          <c:order val="7"/>
          <c:tx>
            <c:strRef>
              <c:f>Sheet1!$I$1</c:f>
              <c:strCache>
                <c:ptCount val="1"/>
                <c:pt idx="0">
                  <c:v>Cits iemesls</c:v>
                </c:pt>
              </c:strCache>
            </c:strRef>
          </c:tx>
          <c:spPr>
            <a:solidFill>
              <a:sysClr val="window" lastClr="FFFFFF">
                <a:lumMod val="75000"/>
              </a:sysClr>
            </a:solidFill>
          </c:spPr>
          <c:invertIfNegative val="0"/>
          <c:dLbls>
            <c:showLegendKey val="0"/>
            <c:showVal val="1"/>
            <c:showCatName val="0"/>
            <c:showSerName val="0"/>
            <c:showPercent val="0"/>
            <c:showBubbleSize val="0"/>
            <c:showLeaderLines val="0"/>
          </c:dLbls>
          <c:cat>
            <c:strRef>
              <c:f>Sheet1!$A$2:$A$20</c:f>
              <c:strCache>
                <c:ptCount val="19"/>
                <c:pt idx="0">
                  <c:v>KOPĀ, n=311</c:v>
                </c:pt>
                <c:pt idx="1">
                  <c:v>DIBINĀŠANAS GADS*</c:v>
                </c:pt>
                <c:pt idx="2">
                  <c:v>Līdz 1991.gadam, n=31</c:v>
                </c:pt>
                <c:pt idx="3">
                  <c:v>1992.-2000.gads, n=119</c:v>
                </c:pt>
                <c:pt idx="4">
                  <c:v>2001.-2007.gads, n=85</c:v>
                </c:pt>
                <c:pt idx="5">
                  <c:v>2008.-2013.gads, n=76</c:v>
                </c:pt>
                <c:pt idx="6">
                  <c:v>DARBINIEKU SKAITS</c:v>
                </c:pt>
                <c:pt idx="7">
                  <c:v>1–9, n=206</c:v>
                </c:pt>
                <c:pt idx="8">
                  <c:v>10–19, n=40</c:v>
                </c:pt>
                <c:pt idx="9">
                  <c:v>20–49, n=27**</c:v>
                </c:pt>
                <c:pt idx="10">
                  <c:v>50 un vairāk, n=38</c:v>
                </c:pt>
                <c:pt idx="11">
                  <c:v>APGROZĪJUMS 2012.GADĀ*</c:v>
                </c:pt>
                <c:pt idx="12">
                  <c:v>Līdz 50 000 LVL, n=142</c:v>
                </c:pt>
                <c:pt idx="13">
                  <c:v>50 001 – 100 000 LVL, n=45</c:v>
                </c:pt>
                <c:pt idx="14">
                  <c:v>100 001 – 500 000 LVL, n=65</c:v>
                </c:pt>
                <c:pt idx="15">
                  <c:v>Vairāk par 500 000 LVL, n=52</c:v>
                </c:pt>
                <c:pt idx="16">
                  <c:v>IEGULDĪJUMI PĒTNIECĪBAS JOMĀ PĒDĒJO 3 g. LAIKĀ</c:v>
                </c:pt>
                <c:pt idx="17">
                  <c:v>Jā, n=100</c:v>
                </c:pt>
                <c:pt idx="18">
                  <c:v>Nē, n=211</c:v>
                </c:pt>
              </c:strCache>
            </c:strRef>
          </c:cat>
          <c:val>
            <c:numRef>
              <c:f>Sheet1!$I$2:$I$20</c:f>
              <c:numCache>
                <c:formatCode>General</c:formatCode>
                <c:ptCount val="19"/>
                <c:pt idx="0" formatCode="0">
                  <c:v>9.9678456591640074</c:v>
                </c:pt>
                <c:pt idx="2" formatCode="0">
                  <c:v>16.129032258064516</c:v>
                </c:pt>
                <c:pt idx="3" formatCode="0">
                  <c:v>12.605042016806738</c:v>
                </c:pt>
                <c:pt idx="4" formatCode="0">
                  <c:v>9.4117647058823533</c:v>
                </c:pt>
                <c:pt idx="5" formatCode="0">
                  <c:v>3.9473684210526314</c:v>
                </c:pt>
                <c:pt idx="7" formatCode="0">
                  <c:v>8.7378640776699026</c:v>
                </c:pt>
                <c:pt idx="8" formatCode="0">
                  <c:v>12.5</c:v>
                </c:pt>
                <c:pt idx="9" formatCode="0">
                  <c:v>11.111111111111095</c:v>
                </c:pt>
                <c:pt idx="10" formatCode="0">
                  <c:v>13.157894736842104</c:v>
                </c:pt>
                <c:pt idx="12" formatCode="0">
                  <c:v>9.1549295774647987</c:v>
                </c:pt>
                <c:pt idx="13" formatCode="0">
                  <c:v>8.8888888888888893</c:v>
                </c:pt>
                <c:pt idx="14" formatCode="0">
                  <c:v>13.846153846153847</c:v>
                </c:pt>
                <c:pt idx="15" formatCode="0">
                  <c:v>9.615384615384631</c:v>
                </c:pt>
                <c:pt idx="17" formatCode="0">
                  <c:v>11</c:v>
                </c:pt>
                <c:pt idx="18" formatCode="0">
                  <c:v>9.4786729857819907</c:v>
                </c:pt>
              </c:numCache>
            </c:numRef>
          </c:val>
        </c:ser>
        <c:ser>
          <c:idx val="8"/>
          <c:order val="8"/>
          <c:tx>
            <c:strRef>
              <c:f>Sheet1!$J$1</c:f>
              <c:strCache>
                <c:ptCount val="1"/>
                <c:pt idx="0">
                  <c:v>Column5</c:v>
                </c:pt>
              </c:strCache>
            </c:strRef>
          </c:tx>
          <c:spPr>
            <a:noFill/>
          </c:spPr>
          <c:invertIfNegative val="0"/>
          <c:cat>
            <c:strRef>
              <c:f>Sheet1!$A$2:$A$20</c:f>
              <c:strCache>
                <c:ptCount val="19"/>
                <c:pt idx="0">
                  <c:v>KOPĀ, n=311</c:v>
                </c:pt>
                <c:pt idx="1">
                  <c:v>DIBINĀŠANAS GADS*</c:v>
                </c:pt>
                <c:pt idx="2">
                  <c:v>Līdz 1991.gadam, n=31</c:v>
                </c:pt>
                <c:pt idx="3">
                  <c:v>1992.-2000.gads, n=119</c:v>
                </c:pt>
                <c:pt idx="4">
                  <c:v>2001.-2007.gads, n=85</c:v>
                </c:pt>
                <c:pt idx="5">
                  <c:v>2008.-2013.gads, n=76</c:v>
                </c:pt>
                <c:pt idx="6">
                  <c:v>DARBINIEKU SKAITS</c:v>
                </c:pt>
                <c:pt idx="7">
                  <c:v>1–9, n=206</c:v>
                </c:pt>
                <c:pt idx="8">
                  <c:v>10–19, n=40</c:v>
                </c:pt>
                <c:pt idx="9">
                  <c:v>20–49, n=27**</c:v>
                </c:pt>
                <c:pt idx="10">
                  <c:v>50 un vairāk, n=38</c:v>
                </c:pt>
                <c:pt idx="11">
                  <c:v>APGROZĪJUMS 2012.GADĀ*</c:v>
                </c:pt>
                <c:pt idx="12">
                  <c:v>Līdz 50 000 LVL, n=142</c:v>
                </c:pt>
                <c:pt idx="13">
                  <c:v>50 001 – 100 000 LVL, n=45</c:v>
                </c:pt>
                <c:pt idx="14">
                  <c:v>100 001 – 500 000 LVL, n=65</c:v>
                </c:pt>
                <c:pt idx="15">
                  <c:v>Vairāk par 500 000 LVL, n=52</c:v>
                </c:pt>
                <c:pt idx="16">
                  <c:v>IEGULDĪJUMI PĒTNIECĪBAS JOMĀ PĒDĒJO 3 g. LAIKĀ</c:v>
                </c:pt>
                <c:pt idx="17">
                  <c:v>Jā, n=100</c:v>
                </c:pt>
                <c:pt idx="18">
                  <c:v>Nē, n=211</c:v>
                </c:pt>
              </c:strCache>
            </c:strRef>
          </c:cat>
          <c:val>
            <c:numRef>
              <c:f>Sheet1!$J$2:$J$20</c:f>
              <c:numCache>
                <c:formatCode>General</c:formatCode>
                <c:ptCount val="19"/>
                <c:pt idx="0" formatCode="0">
                  <c:v>16.161186598900528</c:v>
                </c:pt>
                <c:pt idx="2" formatCode="0">
                  <c:v>10</c:v>
                </c:pt>
                <c:pt idx="3" formatCode="0">
                  <c:v>13.523990241257794</c:v>
                </c:pt>
                <c:pt idx="4" formatCode="0">
                  <c:v>16.717267552182165</c:v>
                </c:pt>
                <c:pt idx="5" formatCode="0">
                  <c:v>22.181663837011882</c:v>
                </c:pt>
                <c:pt idx="7" formatCode="0">
                  <c:v>17.391168180394644</c:v>
                </c:pt>
                <c:pt idx="8" formatCode="0">
                  <c:v>13.629032258064528</c:v>
                </c:pt>
                <c:pt idx="9" formatCode="0">
                  <c:v>15.017921146953389</c:v>
                </c:pt>
                <c:pt idx="10" formatCode="0">
                  <c:v>12.97113752122242</c:v>
                </c:pt>
                <c:pt idx="12" formatCode="0">
                  <c:v>16.974102680599707</c:v>
                </c:pt>
                <c:pt idx="13" formatCode="0">
                  <c:v>17.240143369175605</c:v>
                </c:pt>
                <c:pt idx="14" formatCode="0">
                  <c:v>12.282878411910668</c:v>
                </c:pt>
                <c:pt idx="15" formatCode="0">
                  <c:v>16.513647642679889</c:v>
                </c:pt>
                <c:pt idx="17" formatCode="0">
                  <c:v>15.129032258064528</c:v>
                </c:pt>
                <c:pt idx="18" formatCode="0">
                  <c:v>16.650359272282525</c:v>
                </c:pt>
              </c:numCache>
            </c:numRef>
          </c:val>
        </c:ser>
        <c:ser>
          <c:idx val="9"/>
          <c:order val="9"/>
          <c:tx>
            <c:strRef>
              <c:f>Sheet1!$K$1</c:f>
              <c:strCache>
                <c:ptCount val="1"/>
                <c:pt idx="0">
                  <c:v>Nav nekādu šķēršļu</c:v>
                </c:pt>
              </c:strCache>
            </c:strRef>
          </c:tx>
          <c:spPr>
            <a:solidFill>
              <a:srgbClr val="EEECE1">
                <a:lumMod val="75000"/>
              </a:srgbClr>
            </a:solidFill>
          </c:spPr>
          <c:invertIfNegative val="0"/>
          <c:dLbls>
            <c:showLegendKey val="0"/>
            <c:showVal val="1"/>
            <c:showCatName val="0"/>
            <c:showSerName val="0"/>
            <c:showPercent val="0"/>
            <c:showBubbleSize val="0"/>
            <c:showLeaderLines val="0"/>
          </c:dLbls>
          <c:cat>
            <c:strRef>
              <c:f>Sheet1!$A$2:$A$20</c:f>
              <c:strCache>
                <c:ptCount val="19"/>
                <c:pt idx="0">
                  <c:v>KOPĀ, n=311</c:v>
                </c:pt>
                <c:pt idx="1">
                  <c:v>DIBINĀŠANAS GADS*</c:v>
                </c:pt>
                <c:pt idx="2">
                  <c:v>Līdz 1991.gadam, n=31</c:v>
                </c:pt>
                <c:pt idx="3">
                  <c:v>1992.-2000.gads, n=119</c:v>
                </c:pt>
                <c:pt idx="4">
                  <c:v>2001.-2007.gads, n=85</c:v>
                </c:pt>
                <c:pt idx="5">
                  <c:v>2008.-2013.gads, n=76</c:v>
                </c:pt>
                <c:pt idx="6">
                  <c:v>DARBINIEKU SKAITS</c:v>
                </c:pt>
                <c:pt idx="7">
                  <c:v>1–9, n=206</c:v>
                </c:pt>
                <c:pt idx="8">
                  <c:v>10–19, n=40</c:v>
                </c:pt>
                <c:pt idx="9">
                  <c:v>20–49, n=27**</c:v>
                </c:pt>
                <c:pt idx="10">
                  <c:v>50 un vairāk, n=38</c:v>
                </c:pt>
                <c:pt idx="11">
                  <c:v>APGROZĪJUMS 2012.GADĀ*</c:v>
                </c:pt>
                <c:pt idx="12">
                  <c:v>Līdz 50 000 LVL, n=142</c:v>
                </c:pt>
                <c:pt idx="13">
                  <c:v>50 001 – 100 000 LVL, n=45</c:v>
                </c:pt>
                <c:pt idx="14">
                  <c:v>100 001 – 500 000 LVL, n=65</c:v>
                </c:pt>
                <c:pt idx="15">
                  <c:v>Vairāk par 500 000 LVL, n=52</c:v>
                </c:pt>
                <c:pt idx="16">
                  <c:v>IEGULDĪJUMI PĒTNIECĪBAS JOMĀ PĒDĒJO 3 g. LAIKĀ</c:v>
                </c:pt>
                <c:pt idx="17">
                  <c:v>Jā, n=100</c:v>
                </c:pt>
                <c:pt idx="18">
                  <c:v>Nē, n=211</c:v>
                </c:pt>
              </c:strCache>
            </c:strRef>
          </c:cat>
          <c:val>
            <c:numRef>
              <c:f>Sheet1!$K$2:$K$20</c:f>
              <c:numCache>
                <c:formatCode>General</c:formatCode>
                <c:ptCount val="19"/>
                <c:pt idx="0" formatCode="0">
                  <c:v>6.4308681672025791</c:v>
                </c:pt>
                <c:pt idx="2" formatCode="0">
                  <c:v>9.6774193548387206</c:v>
                </c:pt>
                <c:pt idx="3" formatCode="0">
                  <c:v>5.8823529411764675</c:v>
                </c:pt>
                <c:pt idx="4" formatCode="0">
                  <c:v>10.58823529411765</c:v>
                </c:pt>
                <c:pt idx="5" formatCode="0">
                  <c:v>1.3157894736842106</c:v>
                </c:pt>
                <c:pt idx="7" formatCode="0">
                  <c:v>4.8543689320388363</c:v>
                </c:pt>
                <c:pt idx="8" formatCode="0">
                  <c:v>5</c:v>
                </c:pt>
                <c:pt idx="9" formatCode="0">
                  <c:v>7.4074074074074066</c:v>
                </c:pt>
                <c:pt idx="10" formatCode="0">
                  <c:v>15.789473684210511</c:v>
                </c:pt>
                <c:pt idx="12" formatCode="0">
                  <c:v>4.929577464788732</c:v>
                </c:pt>
                <c:pt idx="13" formatCode="0">
                  <c:v>4.4444444444444464</c:v>
                </c:pt>
                <c:pt idx="14" formatCode="0">
                  <c:v>4.615384615384615</c:v>
                </c:pt>
                <c:pt idx="15" formatCode="0">
                  <c:v>15.384615384615385</c:v>
                </c:pt>
                <c:pt idx="17" formatCode="0">
                  <c:v>9</c:v>
                </c:pt>
                <c:pt idx="18" formatCode="0">
                  <c:v>5.2132701421800984</c:v>
                </c:pt>
              </c:numCache>
            </c:numRef>
          </c:val>
        </c:ser>
        <c:ser>
          <c:idx val="10"/>
          <c:order val="10"/>
          <c:tx>
            <c:strRef>
              <c:f>Sheet1!$L$1</c:f>
              <c:strCache>
                <c:ptCount val="1"/>
                <c:pt idx="0">
                  <c:v>Column6</c:v>
                </c:pt>
              </c:strCache>
            </c:strRef>
          </c:tx>
          <c:spPr>
            <a:noFill/>
          </c:spPr>
          <c:invertIfNegative val="0"/>
          <c:cat>
            <c:strRef>
              <c:f>Sheet1!$A$2:$A$20</c:f>
              <c:strCache>
                <c:ptCount val="19"/>
                <c:pt idx="0">
                  <c:v>KOPĀ, n=311</c:v>
                </c:pt>
                <c:pt idx="1">
                  <c:v>DIBINĀŠANAS GADS*</c:v>
                </c:pt>
                <c:pt idx="2">
                  <c:v>Līdz 1991.gadam, n=31</c:v>
                </c:pt>
                <c:pt idx="3">
                  <c:v>1992.-2000.gads, n=119</c:v>
                </c:pt>
                <c:pt idx="4">
                  <c:v>2001.-2007.gads, n=85</c:v>
                </c:pt>
                <c:pt idx="5">
                  <c:v>2008.-2013.gads, n=76</c:v>
                </c:pt>
                <c:pt idx="6">
                  <c:v>DARBINIEKU SKAITS</c:v>
                </c:pt>
                <c:pt idx="7">
                  <c:v>1–9, n=206</c:v>
                </c:pt>
                <c:pt idx="8">
                  <c:v>10–19, n=40</c:v>
                </c:pt>
                <c:pt idx="9">
                  <c:v>20–49, n=27**</c:v>
                </c:pt>
                <c:pt idx="10">
                  <c:v>50 un vairāk, n=38</c:v>
                </c:pt>
                <c:pt idx="11">
                  <c:v>APGROZĪJUMS 2012.GADĀ*</c:v>
                </c:pt>
                <c:pt idx="12">
                  <c:v>Līdz 50 000 LVL, n=142</c:v>
                </c:pt>
                <c:pt idx="13">
                  <c:v>50 001 – 100 000 LVL, n=45</c:v>
                </c:pt>
                <c:pt idx="14">
                  <c:v>100 001 – 500 000 LVL, n=65</c:v>
                </c:pt>
                <c:pt idx="15">
                  <c:v>Vairāk par 500 000 LVL, n=52</c:v>
                </c:pt>
                <c:pt idx="16">
                  <c:v>IEGULDĪJUMI PĒTNIECĪBAS JOMĀ PĒDĒJO 3 g. LAIKĀ</c:v>
                </c:pt>
                <c:pt idx="17">
                  <c:v>Jā, n=100</c:v>
                </c:pt>
                <c:pt idx="18">
                  <c:v>Nē, n=211</c:v>
                </c:pt>
              </c:strCache>
            </c:strRef>
          </c:cat>
          <c:val>
            <c:numRef>
              <c:f>Sheet1!$L$2:$L$20</c:f>
              <c:numCache>
                <c:formatCode>General</c:formatCode>
                <c:ptCount val="19"/>
                <c:pt idx="0" formatCode="0">
                  <c:v>19.358605517007952</c:v>
                </c:pt>
                <c:pt idx="2" formatCode="0">
                  <c:v>16.11205432937183</c:v>
                </c:pt>
                <c:pt idx="3" formatCode="0">
                  <c:v>19.907120743034056</c:v>
                </c:pt>
                <c:pt idx="4" formatCode="0">
                  <c:v>15.201238390092861</c:v>
                </c:pt>
                <c:pt idx="5" formatCode="0">
                  <c:v>24.47368421052628</c:v>
                </c:pt>
                <c:pt idx="7" formatCode="0">
                  <c:v>20.935104752171689</c:v>
                </c:pt>
                <c:pt idx="8" formatCode="0">
                  <c:v>20.789473684210527</c:v>
                </c:pt>
                <c:pt idx="9" formatCode="0">
                  <c:v>18.382066276803087</c:v>
                </c:pt>
                <c:pt idx="10" formatCode="0">
                  <c:v>10</c:v>
                </c:pt>
                <c:pt idx="12" formatCode="0">
                  <c:v>20.859896219421792</c:v>
                </c:pt>
                <c:pt idx="13" formatCode="0">
                  <c:v>21.345029239766035</c:v>
                </c:pt>
                <c:pt idx="14" formatCode="0">
                  <c:v>21.174089068825911</c:v>
                </c:pt>
                <c:pt idx="15" formatCode="0">
                  <c:v>10.404858299595142</c:v>
                </c:pt>
                <c:pt idx="17" formatCode="0">
                  <c:v>16.789473684210527</c:v>
                </c:pt>
                <c:pt idx="18" formatCode="0">
                  <c:v>20.576203542030427</c:v>
                </c:pt>
              </c:numCache>
            </c:numRef>
          </c:val>
        </c:ser>
        <c:ser>
          <c:idx val="11"/>
          <c:order val="11"/>
          <c:tx>
            <c:strRef>
              <c:f>Sheet1!$M$1</c:f>
              <c:strCache>
                <c:ptCount val="1"/>
                <c:pt idx="0">
                  <c:v>Nav nepieciešamības veikt ieguldījumus</c:v>
                </c:pt>
              </c:strCache>
            </c:strRef>
          </c:tx>
          <c:spPr>
            <a:solidFill>
              <a:srgbClr val="EEECE1">
                <a:lumMod val="50000"/>
              </a:srgbClr>
            </a:solidFill>
          </c:spPr>
          <c:invertIfNegative val="0"/>
          <c:dLbls>
            <c:showLegendKey val="0"/>
            <c:showVal val="1"/>
            <c:showCatName val="0"/>
            <c:showSerName val="0"/>
            <c:showPercent val="0"/>
            <c:showBubbleSize val="0"/>
            <c:showLeaderLines val="0"/>
          </c:dLbls>
          <c:cat>
            <c:strRef>
              <c:f>Sheet1!$A$2:$A$20</c:f>
              <c:strCache>
                <c:ptCount val="19"/>
                <c:pt idx="0">
                  <c:v>KOPĀ, n=311</c:v>
                </c:pt>
                <c:pt idx="1">
                  <c:v>DIBINĀŠANAS GADS*</c:v>
                </c:pt>
                <c:pt idx="2">
                  <c:v>Līdz 1991.gadam, n=31</c:v>
                </c:pt>
                <c:pt idx="3">
                  <c:v>1992.-2000.gads, n=119</c:v>
                </c:pt>
                <c:pt idx="4">
                  <c:v>2001.-2007.gads, n=85</c:v>
                </c:pt>
                <c:pt idx="5">
                  <c:v>2008.-2013.gads, n=76</c:v>
                </c:pt>
                <c:pt idx="6">
                  <c:v>DARBINIEKU SKAITS</c:v>
                </c:pt>
                <c:pt idx="7">
                  <c:v>1–9, n=206</c:v>
                </c:pt>
                <c:pt idx="8">
                  <c:v>10–19, n=40</c:v>
                </c:pt>
                <c:pt idx="9">
                  <c:v>20–49, n=27**</c:v>
                </c:pt>
                <c:pt idx="10">
                  <c:v>50 un vairāk, n=38</c:v>
                </c:pt>
                <c:pt idx="11">
                  <c:v>APGROZĪJUMS 2012.GADĀ*</c:v>
                </c:pt>
                <c:pt idx="12">
                  <c:v>Līdz 50 000 LVL, n=142</c:v>
                </c:pt>
                <c:pt idx="13">
                  <c:v>50 001 – 100 000 LVL, n=45</c:v>
                </c:pt>
                <c:pt idx="14">
                  <c:v>100 001 – 500 000 LVL, n=65</c:v>
                </c:pt>
                <c:pt idx="15">
                  <c:v>Vairāk par 500 000 LVL, n=52</c:v>
                </c:pt>
                <c:pt idx="16">
                  <c:v>IEGULDĪJUMI PĒTNIECĪBAS JOMĀ PĒDĒJO 3 g. LAIKĀ</c:v>
                </c:pt>
                <c:pt idx="17">
                  <c:v>Jā, n=100</c:v>
                </c:pt>
                <c:pt idx="18">
                  <c:v>Nē, n=211</c:v>
                </c:pt>
              </c:strCache>
            </c:strRef>
          </c:cat>
          <c:val>
            <c:numRef>
              <c:f>Sheet1!$M$2:$M$20</c:f>
              <c:numCache>
                <c:formatCode>General</c:formatCode>
                <c:ptCount val="19"/>
                <c:pt idx="0" formatCode="0">
                  <c:v>27.974276527331167</c:v>
                </c:pt>
                <c:pt idx="2" formatCode="0">
                  <c:v>16.129032258064516</c:v>
                </c:pt>
                <c:pt idx="3" formatCode="0">
                  <c:v>32.773109243697476</c:v>
                </c:pt>
                <c:pt idx="4" formatCode="0">
                  <c:v>30.588235294117617</c:v>
                </c:pt>
                <c:pt idx="5" formatCode="0">
                  <c:v>22.368421052631579</c:v>
                </c:pt>
                <c:pt idx="7" formatCode="0">
                  <c:v>31.067961165048594</c:v>
                </c:pt>
                <c:pt idx="8" formatCode="0">
                  <c:v>20</c:v>
                </c:pt>
                <c:pt idx="9" formatCode="0">
                  <c:v>29.629629629629626</c:v>
                </c:pt>
                <c:pt idx="10" formatCode="0">
                  <c:v>18.421052631578917</c:v>
                </c:pt>
                <c:pt idx="12" formatCode="0">
                  <c:v>27.464788732394346</c:v>
                </c:pt>
                <c:pt idx="13" formatCode="0">
                  <c:v>37.777777777777779</c:v>
                </c:pt>
                <c:pt idx="14" formatCode="0">
                  <c:v>27.692307692307686</c:v>
                </c:pt>
                <c:pt idx="15" formatCode="0">
                  <c:v>21.153846153846175</c:v>
                </c:pt>
                <c:pt idx="17" formatCode="0">
                  <c:v>6</c:v>
                </c:pt>
                <c:pt idx="18" formatCode="0">
                  <c:v>38.388625592417021</c:v>
                </c:pt>
              </c:numCache>
            </c:numRef>
          </c:val>
        </c:ser>
        <c:dLbls>
          <c:showLegendKey val="0"/>
          <c:showVal val="0"/>
          <c:showCatName val="0"/>
          <c:showSerName val="0"/>
          <c:showPercent val="0"/>
          <c:showBubbleSize val="0"/>
        </c:dLbls>
        <c:gapWidth val="50"/>
        <c:overlap val="100"/>
        <c:axId val="236464384"/>
        <c:axId val="236462848"/>
      </c:barChart>
      <c:valAx>
        <c:axId val="236462848"/>
        <c:scaling>
          <c:orientation val="minMax"/>
        </c:scaling>
        <c:delete val="1"/>
        <c:axPos val="t"/>
        <c:numFmt formatCode="0" sourceLinked="1"/>
        <c:majorTickMark val="out"/>
        <c:minorTickMark val="none"/>
        <c:tickLblPos val="none"/>
        <c:crossAx val="236464384"/>
        <c:crosses val="autoZero"/>
        <c:crossBetween val="between"/>
      </c:valAx>
      <c:catAx>
        <c:axId val="236464384"/>
        <c:scaling>
          <c:orientation val="maxMin"/>
        </c:scaling>
        <c:delete val="0"/>
        <c:axPos val="l"/>
        <c:majorTickMark val="out"/>
        <c:minorTickMark val="none"/>
        <c:tickLblPos val="nextTo"/>
        <c:crossAx val="236462848"/>
        <c:crosses val="autoZero"/>
        <c:auto val="1"/>
        <c:lblAlgn val="ctr"/>
        <c:lblOffset val="100"/>
        <c:noMultiLvlLbl val="0"/>
      </c:catAx>
    </c:plotArea>
    <c:legend>
      <c:legendPos val="t"/>
      <c:legendEntry>
        <c:idx val="1"/>
        <c:delete val="1"/>
      </c:legendEntry>
      <c:legendEntry>
        <c:idx val="3"/>
        <c:delete val="1"/>
      </c:legendEntry>
      <c:legendEntry>
        <c:idx val="4"/>
        <c:delete val="1"/>
      </c:legendEntry>
      <c:legendEntry>
        <c:idx val="6"/>
        <c:delete val="1"/>
      </c:legendEntry>
      <c:legendEntry>
        <c:idx val="8"/>
        <c:delete val="1"/>
      </c:legendEntry>
      <c:legendEntry>
        <c:idx val="10"/>
        <c:delete val="1"/>
      </c:legendEntry>
      <c:layout>
        <c:manualLayout>
          <c:xMode val="edge"/>
          <c:yMode val="edge"/>
          <c:x val="0.36307074055934441"/>
          <c:y val="7.1541014698909416E-2"/>
          <c:w val="0.63692925944065693"/>
          <c:h val="0.14619325500386421"/>
        </c:manualLayout>
      </c:layout>
      <c:overlay val="0"/>
    </c:legend>
    <c:plotVisOnly val="1"/>
    <c:dispBlanksAs val="gap"/>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Lūdzu, sarindojiet nosauktos valsts atbalsta instrumentus prioritārā secībā, pirmo minot, jūsuprāt, visefektīvāko, tad – otro efektīvāko utt.</a:t>
            </a:r>
            <a:r>
              <a:rPr lang="lv-LV" sz="1050" baseline="0"/>
              <a:t> </a:t>
            </a:r>
            <a:r>
              <a:rPr lang="lv-LV" sz="1050"/>
              <a:t>(%)</a:t>
            </a:r>
            <a:endParaRPr lang="en-US" sz="1050"/>
          </a:p>
        </c:rich>
      </c:tx>
      <c:layout>
        <c:manualLayout>
          <c:xMode val="edge"/>
          <c:yMode val="edge"/>
          <c:x val="0.11870281765018607"/>
          <c:y val="2.6069014100510192E-2"/>
        </c:manualLayout>
      </c:layout>
      <c:overlay val="0"/>
    </c:title>
    <c:autoTitleDeleted val="0"/>
    <c:plotArea>
      <c:layout>
        <c:manualLayout>
          <c:layoutTarget val="inner"/>
          <c:xMode val="edge"/>
          <c:yMode val="edge"/>
          <c:x val="0.51912527680451515"/>
          <c:y val="0.24622689646311693"/>
          <c:w val="0.35351408825093067"/>
          <c:h val="0.61726667033753635"/>
        </c:manualLayout>
      </c:layout>
      <c:barChart>
        <c:barDir val="bar"/>
        <c:grouping val="percentStacked"/>
        <c:varyColors val="0"/>
        <c:ser>
          <c:idx val="0"/>
          <c:order val="0"/>
          <c:tx>
            <c:strRef>
              <c:f>Sheet1!$B$1</c:f>
              <c:strCache>
                <c:ptCount val="1"/>
                <c:pt idx="0">
                  <c:v>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Sheet1!$A$2:$A$6</c:f>
              <c:strCache>
                <c:ptCount val="5"/>
                <c:pt idx="0">
                  <c:v>Nodokļu atvieglojumi, n=292</c:v>
                </c:pt>
                <c:pt idx="1">
                  <c:v>Aizdevumi ar atvieglotiem nosacījumiem (Latvijas Hipotēku un zemes bankas piešķirtie), n=290</c:v>
                </c:pt>
                <c:pt idx="2">
                  <c:v>Valsts garantijas (Latvijas Garantiju aģentūras vai valsts budžetā piešķirtās), n=289</c:v>
                </c:pt>
                <c:pt idx="3">
                  <c:v>Granti valsts atbalsta programmu ietvaros, n=287</c:v>
                </c:pt>
                <c:pt idx="4">
                  <c:v>Riska kapitāla fondu investīcijas, n=287</c:v>
                </c:pt>
              </c:strCache>
            </c:strRef>
          </c:cat>
          <c:val>
            <c:numRef>
              <c:f>Sheet1!$B$2:$B$6</c:f>
              <c:numCache>
                <c:formatCode>General</c:formatCode>
                <c:ptCount val="5"/>
                <c:pt idx="0">
                  <c:v>67</c:v>
                </c:pt>
                <c:pt idx="1">
                  <c:v>12</c:v>
                </c:pt>
                <c:pt idx="2">
                  <c:v>6</c:v>
                </c:pt>
                <c:pt idx="3">
                  <c:v>13</c:v>
                </c:pt>
                <c:pt idx="4">
                  <c:v>3</c:v>
                </c:pt>
              </c:numCache>
            </c:numRef>
          </c:val>
        </c:ser>
        <c:ser>
          <c:idx val="1"/>
          <c:order val="1"/>
          <c:tx>
            <c:strRef>
              <c:f>Sheet1!$C$1</c:f>
              <c:strCache>
                <c:ptCount val="1"/>
                <c:pt idx="0">
                  <c:v>2</c:v>
                </c:pt>
              </c:strCache>
            </c:strRef>
          </c:tx>
          <c:spPr>
            <a:solidFill>
              <a:srgbClr val="9BBB59"/>
            </a:solidFill>
          </c:spPr>
          <c:invertIfNegative val="0"/>
          <c:dLbls>
            <c:showLegendKey val="0"/>
            <c:showVal val="1"/>
            <c:showCatName val="0"/>
            <c:showSerName val="0"/>
            <c:showPercent val="0"/>
            <c:showBubbleSize val="0"/>
            <c:showLeaderLines val="0"/>
          </c:dLbls>
          <c:cat>
            <c:strRef>
              <c:f>Sheet1!$A$2:$A$6</c:f>
              <c:strCache>
                <c:ptCount val="5"/>
                <c:pt idx="0">
                  <c:v>Nodokļu atvieglojumi, n=292</c:v>
                </c:pt>
                <c:pt idx="1">
                  <c:v>Aizdevumi ar atvieglotiem nosacījumiem (Latvijas Hipotēku un zemes bankas piešķirtie), n=290</c:v>
                </c:pt>
                <c:pt idx="2">
                  <c:v>Valsts garantijas (Latvijas Garantiju aģentūras vai valsts budžetā piešķirtās), n=289</c:v>
                </c:pt>
                <c:pt idx="3">
                  <c:v>Granti valsts atbalsta programmu ietvaros, n=287</c:v>
                </c:pt>
                <c:pt idx="4">
                  <c:v>Riska kapitāla fondu investīcijas, n=287</c:v>
                </c:pt>
              </c:strCache>
            </c:strRef>
          </c:cat>
          <c:val>
            <c:numRef>
              <c:f>Sheet1!$C$2:$C$6</c:f>
              <c:numCache>
                <c:formatCode>General</c:formatCode>
                <c:ptCount val="5"/>
                <c:pt idx="0">
                  <c:v>14</c:v>
                </c:pt>
                <c:pt idx="1">
                  <c:v>29</c:v>
                </c:pt>
                <c:pt idx="2">
                  <c:v>29</c:v>
                </c:pt>
                <c:pt idx="3">
                  <c:v>22</c:v>
                </c:pt>
                <c:pt idx="4">
                  <c:v>7</c:v>
                </c:pt>
              </c:numCache>
            </c:numRef>
          </c:val>
        </c:ser>
        <c:ser>
          <c:idx val="2"/>
          <c:order val="2"/>
          <c:tx>
            <c:strRef>
              <c:f>Sheet1!$D$1</c:f>
              <c:strCache>
                <c:ptCount val="1"/>
                <c:pt idx="0">
                  <c:v>3</c:v>
                </c:pt>
              </c:strCache>
            </c:strRef>
          </c:tx>
          <c:spPr>
            <a:solidFill>
              <a:srgbClr val="9BBB59">
                <a:lumMod val="60000"/>
                <a:lumOff val="40000"/>
              </a:srgbClr>
            </a:solidFill>
          </c:spPr>
          <c:invertIfNegative val="0"/>
          <c:dLbls>
            <c:showLegendKey val="0"/>
            <c:showVal val="1"/>
            <c:showCatName val="0"/>
            <c:showSerName val="0"/>
            <c:showPercent val="0"/>
            <c:showBubbleSize val="0"/>
            <c:showLeaderLines val="0"/>
          </c:dLbls>
          <c:cat>
            <c:strRef>
              <c:f>Sheet1!$A$2:$A$6</c:f>
              <c:strCache>
                <c:ptCount val="5"/>
                <c:pt idx="0">
                  <c:v>Nodokļu atvieglojumi, n=292</c:v>
                </c:pt>
                <c:pt idx="1">
                  <c:v>Aizdevumi ar atvieglotiem nosacījumiem (Latvijas Hipotēku un zemes bankas piešķirtie), n=290</c:v>
                </c:pt>
                <c:pt idx="2">
                  <c:v>Valsts garantijas (Latvijas Garantiju aģentūras vai valsts budžetā piešķirtās), n=289</c:v>
                </c:pt>
                <c:pt idx="3">
                  <c:v>Granti valsts atbalsta programmu ietvaros, n=287</c:v>
                </c:pt>
                <c:pt idx="4">
                  <c:v>Riska kapitāla fondu investīcijas, n=287</c:v>
                </c:pt>
              </c:strCache>
            </c:strRef>
          </c:cat>
          <c:val>
            <c:numRef>
              <c:f>Sheet1!$D$2:$D$6</c:f>
              <c:numCache>
                <c:formatCode>General</c:formatCode>
                <c:ptCount val="5"/>
                <c:pt idx="0">
                  <c:v>9</c:v>
                </c:pt>
                <c:pt idx="1">
                  <c:v>28</c:v>
                </c:pt>
                <c:pt idx="2">
                  <c:v>27</c:v>
                </c:pt>
                <c:pt idx="3">
                  <c:v>21</c:v>
                </c:pt>
                <c:pt idx="4">
                  <c:v>16</c:v>
                </c:pt>
              </c:numCache>
            </c:numRef>
          </c:val>
        </c:ser>
        <c:ser>
          <c:idx val="3"/>
          <c:order val="3"/>
          <c:tx>
            <c:strRef>
              <c:f>Sheet1!$E$1</c:f>
              <c:strCache>
                <c:ptCount val="1"/>
                <c:pt idx="0">
                  <c:v>4</c:v>
                </c:pt>
              </c:strCache>
            </c:strRef>
          </c:tx>
          <c:spPr>
            <a:solidFill>
              <a:srgbClr val="FFC000"/>
            </a:solidFill>
          </c:spPr>
          <c:invertIfNegative val="0"/>
          <c:dLbls>
            <c:showLegendKey val="0"/>
            <c:showVal val="1"/>
            <c:showCatName val="0"/>
            <c:showSerName val="0"/>
            <c:showPercent val="0"/>
            <c:showBubbleSize val="0"/>
            <c:showLeaderLines val="0"/>
          </c:dLbls>
          <c:cat>
            <c:strRef>
              <c:f>Sheet1!$A$2:$A$6</c:f>
              <c:strCache>
                <c:ptCount val="5"/>
                <c:pt idx="0">
                  <c:v>Nodokļu atvieglojumi, n=292</c:v>
                </c:pt>
                <c:pt idx="1">
                  <c:v>Aizdevumi ar atvieglotiem nosacījumiem (Latvijas Hipotēku un zemes bankas piešķirtie), n=290</c:v>
                </c:pt>
                <c:pt idx="2">
                  <c:v>Valsts garantijas (Latvijas Garantiju aģentūras vai valsts budžetā piešķirtās), n=289</c:v>
                </c:pt>
                <c:pt idx="3">
                  <c:v>Granti valsts atbalsta programmu ietvaros, n=287</c:v>
                </c:pt>
                <c:pt idx="4">
                  <c:v>Riska kapitāla fondu investīcijas, n=287</c:v>
                </c:pt>
              </c:strCache>
            </c:strRef>
          </c:cat>
          <c:val>
            <c:numRef>
              <c:f>Sheet1!$E$2:$E$6</c:f>
              <c:numCache>
                <c:formatCode>General</c:formatCode>
                <c:ptCount val="5"/>
                <c:pt idx="0">
                  <c:v>4</c:v>
                </c:pt>
                <c:pt idx="1">
                  <c:v>11</c:v>
                </c:pt>
                <c:pt idx="2">
                  <c:v>28</c:v>
                </c:pt>
                <c:pt idx="3">
                  <c:v>25</c:v>
                </c:pt>
                <c:pt idx="4">
                  <c:v>31</c:v>
                </c:pt>
              </c:numCache>
            </c:numRef>
          </c:val>
        </c:ser>
        <c:ser>
          <c:idx val="4"/>
          <c:order val="4"/>
          <c:tx>
            <c:strRef>
              <c:f>Sheet1!$F$1</c:f>
              <c:strCache>
                <c:ptCount val="1"/>
                <c:pt idx="0">
                  <c:v>5</c:v>
                </c:pt>
              </c:strCache>
            </c:strRef>
          </c:tx>
          <c:spPr>
            <a:solidFill>
              <a:srgbClr val="F79646">
                <a:lumMod val="75000"/>
              </a:srgbClr>
            </a:solidFill>
          </c:spPr>
          <c:invertIfNegative val="0"/>
          <c:dLbls>
            <c:showLegendKey val="0"/>
            <c:showVal val="1"/>
            <c:showCatName val="0"/>
            <c:showSerName val="0"/>
            <c:showPercent val="0"/>
            <c:showBubbleSize val="0"/>
            <c:showLeaderLines val="0"/>
          </c:dLbls>
          <c:cat>
            <c:strRef>
              <c:f>Sheet1!$A$2:$A$6</c:f>
              <c:strCache>
                <c:ptCount val="5"/>
                <c:pt idx="0">
                  <c:v>Nodokļu atvieglojumi, n=292</c:v>
                </c:pt>
                <c:pt idx="1">
                  <c:v>Aizdevumi ar atvieglotiem nosacījumiem (Latvijas Hipotēku un zemes bankas piešķirtie), n=290</c:v>
                </c:pt>
                <c:pt idx="2">
                  <c:v>Valsts garantijas (Latvijas Garantiju aģentūras vai valsts budžetā piešķirtās), n=289</c:v>
                </c:pt>
                <c:pt idx="3">
                  <c:v>Granti valsts atbalsta programmu ietvaros, n=287</c:v>
                </c:pt>
                <c:pt idx="4">
                  <c:v>Riska kapitāla fondu investīcijas, n=287</c:v>
                </c:pt>
              </c:strCache>
            </c:strRef>
          </c:cat>
          <c:val>
            <c:numRef>
              <c:f>Sheet1!$F$2:$F$6</c:f>
              <c:numCache>
                <c:formatCode>General</c:formatCode>
                <c:ptCount val="5"/>
                <c:pt idx="0">
                  <c:v>6</c:v>
                </c:pt>
                <c:pt idx="1">
                  <c:v>20</c:v>
                </c:pt>
                <c:pt idx="2">
                  <c:v>10</c:v>
                </c:pt>
                <c:pt idx="3">
                  <c:v>19</c:v>
                </c:pt>
                <c:pt idx="4">
                  <c:v>43</c:v>
                </c:pt>
              </c:numCache>
            </c:numRef>
          </c:val>
        </c:ser>
        <c:dLbls>
          <c:showLegendKey val="0"/>
          <c:showVal val="0"/>
          <c:showCatName val="0"/>
          <c:showSerName val="0"/>
          <c:showPercent val="0"/>
          <c:showBubbleSize val="0"/>
        </c:dLbls>
        <c:gapWidth val="80"/>
        <c:overlap val="100"/>
        <c:axId val="238864640"/>
        <c:axId val="239730688"/>
      </c:barChart>
      <c:catAx>
        <c:axId val="238864640"/>
        <c:scaling>
          <c:orientation val="maxMin"/>
        </c:scaling>
        <c:delete val="0"/>
        <c:axPos val="l"/>
        <c:majorTickMark val="out"/>
        <c:minorTickMark val="none"/>
        <c:tickLblPos val="nextTo"/>
        <c:txPr>
          <a:bodyPr/>
          <a:lstStyle/>
          <a:p>
            <a:pPr>
              <a:defRPr sz="1000"/>
            </a:pPr>
            <a:endParaRPr lang="lv-LV"/>
          </a:p>
        </c:txPr>
        <c:crossAx val="239730688"/>
        <c:crosses val="autoZero"/>
        <c:auto val="1"/>
        <c:lblAlgn val="ctr"/>
        <c:lblOffset val="100"/>
        <c:noMultiLvlLbl val="0"/>
      </c:catAx>
      <c:valAx>
        <c:axId val="239730688"/>
        <c:scaling>
          <c:orientation val="minMax"/>
          <c:max val="1"/>
          <c:min val="0"/>
        </c:scaling>
        <c:delete val="1"/>
        <c:axPos val="t"/>
        <c:numFmt formatCode="0%" sourceLinked="1"/>
        <c:majorTickMark val="out"/>
        <c:minorTickMark val="none"/>
        <c:tickLblPos val="none"/>
        <c:crossAx val="238864640"/>
        <c:crosses val="autoZero"/>
        <c:crossBetween val="between"/>
      </c:valAx>
    </c:plotArea>
    <c:legend>
      <c:legendPos val="t"/>
      <c:layout>
        <c:manualLayout>
          <c:xMode val="edge"/>
          <c:yMode val="edge"/>
          <c:x val="0.52226332952400056"/>
          <c:y val="0.16149184149184168"/>
          <c:w val="0.35100746377994696"/>
          <c:h val="7.3041132096250211E-2"/>
        </c:manualLayout>
      </c:layout>
      <c:overlay val="0"/>
    </c:legend>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valsts atbalsta instrumentu pieejamība mudinātu jūsu uzņēmumu palielināt ieguldījumus pētniecībā un attīstībā (izstrādē)? (%)</a:t>
            </a:r>
            <a:endParaRPr lang="en-US" sz="1050"/>
          </a:p>
        </c:rich>
      </c:tx>
      <c:layout>
        <c:manualLayout>
          <c:xMode val="edge"/>
          <c:yMode val="edge"/>
          <c:x val="0.13211049575740857"/>
          <c:y val="3.7444627721930052E-2"/>
        </c:manualLayout>
      </c:layout>
      <c:overlay val="0"/>
    </c:title>
    <c:autoTitleDeleted val="0"/>
    <c:plotArea>
      <c:layout>
        <c:manualLayout>
          <c:layoutTarget val="inner"/>
          <c:xMode val="edge"/>
          <c:yMode val="edge"/>
          <c:x val="0.37269085383465889"/>
          <c:y val="0.16726072607260728"/>
          <c:w val="0.2812121212121213"/>
          <c:h val="0.76995633187772927"/>
        </c:manualLayout>
      </c:layout>
      <c:pieChart>
        <c:varyColors val="1"/>
        <c:ser>
          <c:idx val="0"/>
          <c:order val="0"/>
          <c:tx>
            <c:strRef>
              <c:f>Sheet1!$B$1</c:f>
              <c:strCache>
                <c:ptCount val="1"/>
                <c:pt idx="0">
                  <c:v>Series 1</c:v>
                </c:pt>
              </c:strCache>
            </c:strRef>
          </c:tx>
          <c:spPr>
            <a:solidFill>
              <a:srgbClr val="9BBB59">
                <a:lumMod val="75000"/>
              </a:srgbClr>
            </a:solidFill>
            <a:ln>
              <a:noFill/>
            </a:ln>
          </c:spPr>
          <c:dPt>
            <c:idx val="1"/>
            <c:bubble3D val="0"/>
            <c:spPr>
              <a:solidFill>
                <a:srgbClr val="9BBB59"/>
              </a:solidFill>
              <a:ln>
                <a:noFill/>
              </a:ln>
            </c:spPr>
          </c:dPt>
          <c:dPt>
            <c:idx val="2"/>
            <c:bubble3D val="0"/>
            <c:spPr>
              <a:solidFill>
                <a:srgbClr val="FFC000"/>
              </a:solidFill>
              <a:ln>
                <a:noFill/>
              </a:ln>
            </c:spPr>
          </c:dPt>
          <c:dPt>
            <c:idx val="3"/>
            <c:bubble3D val="0"/>
            <c:spPr>
              <a:solidFill>
                <a:srgbClr val="F79646">
                  <a:lumMod val="75000"/>
                </a:srgbClr>
              </a:solidFill>
              <a:ln>
                <a:noFill/>
              </a:ln>
            </c:spPr>
          </c:dPt>
          <c:dPt>
            <c:idx val="4"/>
            <c:bubble3D val="0"/>
            <c:spPr>
              <a:solidFill>
                <a:sysClr val="window" lastClr="FFFFFF">
                  <a:lumMod val="75000"/>
                </a:sysClr>
              </a:solidFill>
              <a:ln>
                <a:noFill/>
              </a:ln>
            </c:spPr>
          </c:dPt>
          <c:dLbls>
            <c:dLbl>
              <c:idx val="0"/>
              <c:layout>
                <c:manualLayout>
                  <c:x val="-9.2893292644639525E-2"/>
                  <c:y val="0.14891400951118763"/>
                </c:manualLayout>
              </c:layout>
              <c:numFmt formatCode="0%" sourceLinked="0"/>
              <c:spPr/>
              <c:txPr>
                <a:bodyPr/>
                <a:lstStyle/>
                <a:p>
                  <a:pPr>
                    <a:defRPr/>
                  </a:pPr>
                  <a:endParaRPr lang="lv-LV"/>
                </a:p>
              </c:txPr>
              <c:dLblPos val="bestFit"/>
              <c:showLegendKey val="0"/>
              <c:showVal val="0"/>
              <c:showCatName val="1"/>
              <c:showSerName val="0"/>
              <c:showPercent val="1"/>
              <c:showBubbleSize val="0"/>
            </c:dLbl>
            <c:dLbl>
              <c:idx val="1"/>
              <c:layout>
                <c:manualLayout>
                  <c:x val="-7.8921498449057506E-2"/>
                  <c:y val="-0.18259608638029196"/>
                </c:manualLayout>
              </c:layout>
              <c:dLblPos val="bestFit"/>
              <c:showLegendKey val="0"/>
              <c:showVal val="0"/>
              <c:showCatName val="1"/>
              <c:showSerName val="0"/>
              <c:showPercent val="1"/>
              <c:showBubbleSize val="0"/>
            </c:dLbl>
            <c:dLbl>
              <c:idx val="2"/>
              <c:layout>
                <c:manualLayout>
                  <c:x val="8.5881441853261173E-2"/>
                  <c:y val="-0.12556701630008427"/>
                </c:manualLayout>
              </c:layout>
              <c:dLblPos val="bestFit"/>
              <c:showLegendKey val="0"/>
              <c:showVal val="0"/>
              <c:showCatName val="1"/>
              <c:showSerName val="0"/>
              <c:showPercent val="1"/>
              <c:showBubbleSize val="0"/>
            </c:dLbl>
            <c:dLbl>
              <c:idx val="3"/>
              <c:layout>
                <c:manualLayout>
                  <c:x val="0.10586076261998352"/>
                  <c:y val="1.2948639722617701E-2"/>
                </c:manualLayout>
              </c:layout>
              <c:dLblPos val="bestFit"/>
              <c:showLegendKey val="0"/>
              <c:showVal val="0"/>
              <c:showCatName val="1"/>
              <c:showSerName val="0"/>
              <c:showPercent val="1"/>
              <c:showBubbleSize val="0"/>
            </c:dLbl>
            <c:dLbl>
              <c:idx val="4"/>
              <c:layout>
                <c:manualLayout>
                  <c:x val="8.9120295369777502E-2"/>
                  <c:y val="0.19037026275774568"/>
                </c:manualLayout>
              </c:layout>
              <c:dLblPos val="bestFit"/>
              <c:showLegendKey val="0"/>
              <c:showVal val="0"/>
              <c:showCatName val="1"/>
              <c:showSerName val="0"/>
              <c:showPercent val="1"/>
              <c:showBubbleSize val="0"/>
            </c:dLbl>
            <c:dLblPos val="ctr"/>
            <c:showLegendKey val="0"/>
            <c:showVal val="0"/>
            <c:showCatName val="1"/>
            <c:showSerName val="0"/>
            <c:showPercent val="1"/>
            <c:showBubbleSize val="0"/>
            <c:showLeaderLines val="1"/>
          </c:dLbls>
          <c:cat>
            <c:strRef>
              <c:f>Sheet1!$A$2:$A$6</c:f>
              <c:strCache>
                <c:ptCount val="5"/>
                <c:pt idx="0">
                  <c:v>Noteikti jā</c:v>
                </c:pt>
                <c:pt idx="1">
                  <c:v>Drīzāk jā</c:v>
                </c:pt>
                <c:pt idx="2">
                  <c:v>Drīzāk nē</c:v>
                </c:pt>
                <c:pt idx="3">
                  <c:v>Noteikti nē</c:v>
                </c:pt>
                <c:pt idx="4">
                  <c:v>Grūti pateikt</c:v>
                </c:pt>
              </c:strCache>
            </c:strRef>
          </c:cat>
          <c:val>
            <c:numRef>
              <c:f>Sheet1!$B$2:$B$6</c:f>
              <c:numCache>
                <c:formatCode>0</c:formatCode>
                <c:ptCount val="5"/>
                <c:pt idx="0">
                  <c:v>20.666666666666668</c:v>
                </c:pt>
                <c:pt idx="1">
                  <c:v>34</c:v>
                </c:pt>
                <c:pt idx="2">
                  <c:v>15.333333333333334</c:v>
                </c:pt>
                <c:pt idx="3">
                  <c:v>8</c:v>
                </c:pt>
                <c:pt idx="4">
                  <c:v>22</c:v>
                </c:pt>
              </c:numCache>
            </c:numRef>
          </c:val>
        </c:ser>
        <c:dLbls>
          <c:showLegendKey val="0"/>
          <c:showVal val="0"/>
          <c:showCatName val="0"/>
          <c:showSerName val="0"/>
          <c:showPercent val="0"/>
          <c:showBubbleSize val="0"/>
          <c:showLeaderLines val="1"/>
        </c:dLbls>
        <c:firstSliceAng val="10"/>
      </c:pieChart>
    </c:plotArea>
    <c:plotVisOnly val="1"/>
    <c:dispBlanksAs val="zero"/>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 Vai valsts atbalsta instrumentu pieejamība mudinātu jūsu uzņēmumu palielināt ieguldījumus pētniecībā un attīstībā (izstrādē)? (%)</a:t>
            </a:r>
            <a:endParaRPr lang="en-US" sz="1050"/>
          </a:p>
        </c:rich>
      </c:tx>
      <c:layout>
        <c:manualLayout>
          <c:xMode val="edge"/>
          <c:yMode val="edge"/>
          <c:x val="0.11065583309263367"/>
          <c:y val="1.2257849791248004E-2"/>
        </c:manualLayout>
      </c:layout>
      <c:overlay val="0"/>
    </c:title>
    <c:autoTitleDeleted val="0"/>
    <c:plotArea>
      <c:layout>
        <c:manualLayout>
          <c:layoutTarget val="inner"/>
          <c:xMode val="edge"/>
          <c:yMode val="edge"/>
          <c:x val="0.49390297504678005"/>
          <c:y val="0.13232972384476036"/>
          <c:w val="0.43006911217437532"/>
          <c:h val="0.77211505188357599"/>
        </c:manualLayout>
      </c:layout>
      <c:barChart>
        <c:barDir val="bar"/>
        <c:grouping val="percentStacked"/>
        <c:varyColors val="0"/>
        <c:ser>
          <c:idx val="1"/>
          <c:order val="1"/>
          <c:tx>
            <c:strRef>
              <c:f>Sheet1!$C$1</c:f>
              <c:strCache>
                <c:ptCount val="1"/>
                <c:pt idx="0">
                  <c:v>Noteikti jā</c:v>
                </c:pt>
              </c:strCache>
            </c:strRef>
          </c:tx>
          <c:spPr>
            <a:solidFill>
              <a:srgbClr val="9BBB59">
                <a:lumMod val="75000"/>
              </a:srgbClr>
            </a:solidFill>
          </c:spPr>
          <c:invertIfNegative val="0"/>
          <c:dLbls>
            <c:dLblPos val="ctr"/>
            <c:showLegendKey val="0"/>
            <c:showVal val="1"/>
            <c:showCatName val="0"/>
            <c:showSerName val="0"/>
            <c:showPercent val="0"/>
            <c:showBubbleSize val="0"/>
            <c:showLeaderLines val="0"/>
          </c:dLbls>
          <c:cat>
            <c:strRef>
              <c:f>Sheet1!$A$2:$A$20</c:f>
              <c:strCache>
                <c:ptCount val="19"/>
                <c:pt idx="0">
                  <c:v>KOPĀ, n=300</c:v>
                </c:pt>
                <c:pt idx="1">
                  <c:v>DIBINĀŠANAS GADS*</c:v>
                </c:pt>
                <c:pt idx="2">
                  <c:v>Līdz 1991.gadam, n=29**</c:v>
                </c:pt>
                <c:pt idx="3">
                  <c:v>1992.-2000.gads, n=114</c:v>
                </c:pt>
                <c:pt idx="4">
                  <c:v>2001.-2007.gads, n=83</c:v>
                </c:pt>
                <c:pt idx="5">
                  <c:v>2008.-2013.gads, n=74</c:v>
                </c:pt>
                <c:pt idx="6">
                  <c:v>DARBINIEKU SKAITS</c:v>
                </c:pt>
                <c:pt idx="7">
                  <c:v>1–9, n=198</c:v>
                </c:pt>
                <c:pt idx="8">
                  <c:v>10–19, n=38</c:v>
                </c:pt>
                <c:pt idx="9">
                  <c:v>20–49, n=26**</c:v>
                </c:pt>
                <c:pt idx="10">
                  <c:v>50 un vairāk, n=38</c:v>
                </c:pt>
                <c:pt idx="11">
                  <c:v>APGROZĪJUMS 2012.GADĀ*</c:v>
                </c:pt>
                <c:pt idx="12">
                  <c:v>Līdz 50 000 LVL, n=136</c:v>
                </c:pt>
                <c:pt idx="13">
                  <c:v>50 001 – 100 000 LVL, n=44</c:v>
                </c:pt>
                <c:pt idx="14">
                  <c:v>100 001 – 500 000 LVL, n=64</c:v>
                </c:pt>
                <c:pt idx="15">
                  <c:v>Vairāk par 500 000 LVL, n=50</c:v>
                </c:pt>
                <c:pt idx="16">
                  <c:v>IEGULDĪJUMI PĒTNIECĪBAS JOMĀ PĒDĒJO 3 g. LAIKĀ</c:v>
                </c:pt>
                <c:pt idx="17">
                  <c:v>Jā, n=97</c:v>
                </c:pt>
                <c:pt idx="18">
                  <c:v>Nē, n=203</c:v>
                </c:pt>
              </c:strCache>
            </c:strRef>
          </c:cat>
          <c:val>
            <c:numRef>
              <c:f>Sheet1!$C$2:$C$20</c:f>
              <c:numCache>
                <c:formatCode>General</c:formatCode>
                <c:ptCount val="19"/>
                <c:pt idx="0" formatCode="0">
                  <c:v>20.666666666666668</c:v>
                </c:pt>
                <c:pt idx="2" formatCode="0">
                  <c:v>41.379310344827637</c:v>
                </c:pt>
                <c:pt idx="3" formatCode="0">
                  <c:v>14.035087719298259</c:v>
                </c:pt>
                <c:pt idx="4" formatCode="0">
                  <c:v>14.457831325301218</c:v>
                </c:pt>
                <c:pt idx="5" formatCode="0">
                  <c:v>29.729729729729705</c:v>
                </c:pt>
                <c:pt idx="7" formatCode="0">
                  <c:v>20.202020202020172</c:v>
                </c:pt>
                <c:pt idx="8" formatCode="0">
                  <c:v>18.421052631578917</c:v>
                </c:pt>
                <c:pt idx="9" formatCode="0">
                  <c:v>19.230769230769177</c:v>
                </c:pt>
                <c:pt idx="10" formatCode="0">
                  <c:v>26.315789473684209</c:v>
                </c:pt>
                <c:pt idx="12" formatCode="0">
                  <c:v>18.38235294117645</c:v>
                </c:pt>
                <c:pt idx="13" formatCode="0">
                  <c:v>20.454545454545453</c:v>
                </c:pt>
                <c:pt idx="14" formatCode="0">
                  <c:v>25</c:v>
                </c:pt>
                <c:pt idx="15" formatCode="0">
                  <c:v>22</c:v>
                </c:pt>
                <c:pt idx="17" formatCode="0">
                  <c:v>36.082474226804123</c:v>
                </c:pt>
                <c:pt idx="18" formatCode="0">
                  <c:v>13.300492610837455</c:v>
                </c:pt>
              </c:numCache>
            </c:numRef>
          </c:val>
        </c:ser>
        <c:ser>
          <c:idx val="2"/>
          <c:order val="2"/>
          <c:tx>
            <c:strRef>
              <c:f>Sheet1!$D$1</c:f>
              <c:strCache>
                <c:ptCount val="1"/>
                <c:pt idx="0">
                  <c:v>Drīzāk jā</c:v>
                </c:pt>
              </c:strCache>
            </c:strRef>
          </c:tx>
          <c:spPr>
            <a:solidFill>
              <a:srgbClr val="9BBB59"/>
            </a:solidFill>
          </c:spPr>
          <c:invertIfNegative val="0"/>
          <c:dLbls>
            <c:showLegendKey val="0"/>
            <c:showVal val="1"/>
            <c:showCatName val="0"/>
            <c:showSerName val="0"/>
            <c:showPercent val="0"/>
            <c:showBubbleSize val="0"/>
            <c:showLeaderLines val="0"/>
          </c:dLbls>
          <c:cat>
            <c:strRef>
              <c:f>Sheet1!$A$2:$A$20</c:f>
              <c:strCache>
                <c:ptCount val="19"/>
                <c:pt idx="0">
                  <c:v>KOPĀ, n=300</c:v>
                </c:pt>
                <c:pt idx="1">
                  <c:v>DIBINĀŠANAS GADS*</c:v>
                </c:pt>
                <c:pt idx="2">
                  <c:v>Līdz 1991.gadam, n=29**</c:v>
                </c:pt>
                <c:pt idx="3">
                  <c:v>1992.-2000.gads, n=114</c:v>
                </c:pt>
                <c:pt idx="4">
                  <c:v>2001.-2007.gads, n=83</c:v>
                </c:pt>
                <c:pt idx="5">
                  <c:v>2008.-2013.gads, n=74</c:v>
                </c:pt>
                <c:pt idx="6">
                  <c:v>DARBINIEKU SKAITS</c:v>
                </c:pt>
                <c:pt idx="7">
                  <c:v>1–9, n=198</c:v>
                </c:pt>
                <c:pt idx="8">
                  <c:v>10–19, n=38</c:v>
                </c:pt>
                <c:pt idx="9">
                  <c:v>20–49, n=26**</c:v>
                </c:pt>
                <c:pt idx="10">
                  <c:v>50 un vairāk, n=38</c:v>
                </c:pt>
                <c:pt idx="11">
                  <c:v>APGROZĪJUMS 2012.GADĀ*</c:v>
                </c:pt>
                <c:pt idx="12">
                  <c:v>Līdz 50 000 LVL, n=136</c:v>
                </c:pt>
                <c:pt idx="13">
                  <c:v>50 001 – 100 000 LVL, n=44</c:v>
                </c:pt>
                <c:pt idx="14">
                  <c:v>100 001 – 500 000 LVL, n=64</c:v>
                </c:pt>
                <c:pt idx="15">
                  <c:v>Vairāk par 500 000 LVL, n=50</c:v>
                </c:pt>
                <c:pt idx="16">
                  <c:v>IEGULDĪJUMI PĒTNIECĪBAS JOMĀ PĒDĒJO 3 g. LAIKĀ</c:v>
                </c:pt>
                <c:pt idx="17">
                  <c:v>Jā, n=97</c:v>
                </c:pt>
                <c:pt idx="18">
                  <c:v>Nē, n=203</c:v>
                </c:pt>
              </c:strCache>
            </c:strRef>
          </c:cat>
          <c:val>
            <c:numRef>
              <c:f>Sheet1!$D$2:$D$20</c:f>
              <c:numCache>
                <c:formatCode>General</c:formatCode>
                <c:ptCount val="19"/>
                <c:pt idx="0" formatCode="0">
                  <c:v>34</c:v>
                </c:pt>
                <c:pt idx="2" formatCode="0">
                  <c:v>31.03448275862069</c:v>
                </c:pt>
                <c:pt idx="3" formatCode="0">
                  <c:v>30.70175438596489</c:v>
                </c:pt>
                <c:pt idx="4" formatCode="0">
                  <c:v>37.349397590361399</c:v>
                </c:pt>
                <c:pt idx="5" formatCode="0">
                  <c:v>36.486486486486392</c:v>
                </c:pt>
                <c:pt idx="7" formatCode="0">
                  <c:v>31.31313131313129</c:v>
                </c:pt>
                <c:pt idx="8" formatCode="0">
                  <c:v>42.10526315789474</c:v>
                </c:pt>
                <c:pt idx="9" formatCode="0">
                  <c:v>38.461538461538446</c:v>
                </c:pt>
                <c:pt idx="10" formatCode="0">
                  <c:v>36.842105263157912</c:v>
                </c:pt>
                <c:pt idx="12" formatCode="0">
                  <c:v>32.352941176470544</c:v>
                </c:pt>
                <c:pt idx="13" formatCode="0">
                  <c:v>38.636363636363626</c:v>
                </c:pt>
                <c:pt idx="14" formatCode="0">
                  <c:v>29.6875</c:v>
                </c:pt>
                <c:pt idx="15" formatCode="0">
                  <c:v>36</c:v>
                </c:pt>
                <c:pt idx="17" formatCode="0">
                  <c:v>42.268041237113401</c:v>
                </c:pt>
                <c:pt idx="18" formatCode="0">
                  <c:v>30.049261083743829</c:v>
                </c:pt>
              </c:numCache>
            </c:numRef>
          </c:val>
        </c:ser>
        <c:ser>
          <c:idx val="3"/>
          <c:order val="3"/>
          <c:tx>
            <c:strRef>
              <c:f>Sheet1!$E$1</c:f>
              <c:strCache>
                <c:ptCount val="1"/>
                <c:pt idx="0">
                  <c:v>Drīzāk nē</c:v>
                </c:pt>
              </c:strCache>
            </c:strRef>
          </c:tx>
          <c:spPr>
            <a:solidFill>
              <a:srgbClr val="FFC000"/>
            </a:solidFill>
          </c:spPr>
          <c:invertIfNegative val="0"/>
          <c:dLbls>
            <c:showLegendKey val="0"/>
            <c:showVal val="1"/>
            <c:showCatName val="0"/>
            <c:showSerName val="0"/>
            <c:showPercent val="0"/>
            <c:showBubbleSize val="0"/>
            <c:showLeaderLines val="0"/>
          </c:dLbls>
          <c:cat>
            <c:strRef>
              <c:f>Sheet1!$A$2:$A$20</c:f>
              <c:strCache>
                <c:ptCount val="19"/>
                <c:pt idx="0">
                  <c:v>KOPĀ, n=300</c:v>
                </c:pt>
                <c:pt idx="1">
                  <c:v>DIBINĀŠANAS GADS*</c:v>
                </c:pt>
                <c:pt idx="2">
                  <c:v>Līdz 1991.gadam, n=29**</c:v>
                </c:pt>
                <c:pt idx="3">
                  <c:v>1992.-2000.gads, n=114</c:v>
                </c:pt>
                <c:pt idx="4">
                  <c:v>2001.-2007.gads, n=83</c:v>
                </c:pt>
                <c:pt idx="5">
                  <c:v>2008.-2013.gads, n=74</c:v>
                </c:pt>
                <c:pt idx="6">
                  <c:v>DARBINIEKU SKAITS</c:v>
                </c:pt>
                <c:pt idx="7">
                  <c:v>1–9, n=198</c:v>
                </c:pt>
                <c:pt idx="8">
                  <c:v>10–19, n=38</c:v>
                </c:pt>
                <c:pt idx="9">
                  <c:v>20–49, n=26**</c:v>
                </c:pt>
                <c:pt idx="10">
                  <c:v>50 un vairāk, n=38</c:v>
                </c:pt>
                <c:pt idx="11">
                  <c:v>APGROZĪJUMS 2012.GADĀ*</c:v>
                </c:pt>
                <c:pt idx="12">
                  <c:v>Līdz 50 000 LVL, n=136</c:v>
                </c:pt>
                <c:pt idx="13">
                  <c:v>50 001 – 100 000 LVL, n=44</c:v>
                </c:pt>
                <c:pt idx="14">
                  <c:v>100 001 – 500 000 LVL, n=64</c:v>
                </c:pt>
                <c:pt idx="15">
                  <c:v>Vairāk par 500 000 LVL, n=50</c:v>
                </c:pt>
                <c:pt idx="16">
                  <c:v>IEGULDĪJUMI PĒTNIECĪBAS JOMĀ PĒDĒJO 3 g. LAIKĀ</c:v>
                </c:pt>
                <c:pt idx="17">
                  <c:v>Jā, n=97</c:v>
                </c:pt>
                <c:pt idx="18">
                  <c:v>Nē, n=203</c:v>
                </c:pt>
              </c:strCache>
            </c:strRef>
          </c:cat>
          <c:val>
            <c:numRef>
              <c:f>Sheet1!$E$2:$E$20</c:f>
              <c:numCache>
                <c:formatCode>General</c:formatCode>
                <c:ptCount val="19"/>
                <c:pt idx="0" formatCode="0">
                  <c:v>15.333333333333334</c:v>
                </c:pt>
                <c:pt idx="2" formatCode="0">
                  <c:v>3.4482758620689653</c:v>
                </c:pt>
                <c:pt idx="3" formatCode="0">
                  <c:v>15.789473684210511</c:v>
                </c:pt>
                <c:pt idx="4" formatCode="0">
                  <c:v>19.277108433734927</c:v>
                </c:pt>
                <c:pt idx="5" formatCode="0">
                  <c:v>14.86486486486487</c:v>
                </c:pt>
                <c:pt idx="7" formatCode="0">
                  <c:v>17.171717171717173</c:v>
                </c:pt>
                <c:pt idx="8" formatCode="0">
                  <c:v>13.157894736842104</c:v>
                </c:pt>
                <c:pt idx="9" formatCode="0">
                  <c:v>15.384615384615385</c:v>
                </c:pt>
                <c:pt idx="10" formatCode="0">
                  <c:v>7.8947368421052504</c:v>
                </c:pt>
                <c:pt idx="12" formatCode="0">
                  <c:v>17.647058823529431</c:v>
                </c:pt>
                <c:pt idx="13" formatCode="0">
                  <c:v>20.454545454545453</c:v>
                </c:pt>
                <c:pt idx="14" formatCode="0">
                  <c:v>12.5</c:v>
                </c:pt>
                <c:pt idx="15" formatCode="0">
                  <c:v>10</c:v>
                </c:pt>
                <c:pt idx="17" formatCode="0">
                  <c:v>7.2164948453608284</c:v>
                </c:pt>
                <c:pt idx="18" formatCode="0">
                  <c:v>19.211822660098548</c:v>
                </c:pt>
              </c:numCache>
            </c:numRef>
          </c:val>
        </c:ser>
        <c:ser>
          <c:idx val="0"/>
          <c:order val="0"/>
          <c:tx>
            <c:strRef>
              <c:f>Sheet1!$B$1</c:f>
              <c:strCache>
                <c:ptCount val="1"/>
                <c:pt idx="0">
                  <c:v>Column2</c:v>
                </c:pt>
              </c:strCache>
            </c:strRef>
          </c:tx>
          <c:spPr>
            <a:solidFill>
              <a:srgbClr val="9BBB59">
                <a:lumMod val="75000"/>
              </a:srgbClr>
            </a:solidFill>
            <a:ln>
              <a:noFill/>
            </a:ln>
          </c:spPr>
          <c:invertIfNegative val="0"/>
          <c:dPt>
            <c:idx val="1"/>
            <c:invertIfNegative val="0"/>
            <c:bubble3D val="0"/>
            <c:spPr>
              <a:solidFill>
                <a:srgbClr val="9BBB59"/>
              </a:solidFill>
              <a:ln>
                <a:noFill/>
              </a:ln>
            </c:spPr>
          </c:dPt>
          <c:dPt>
            <c:idx val="2"/>
            <c:invertIfNegative val="0"/>
            <c:bubble3D val="0"/>
            <c:spPr>
              <a:solidFill>
                <a:srgbClr val="FFC000"/>
              </a:solidFill>
              <a:ln>
                <a:noFill/>
              </a:ln>
            </c:spPr>
          </c:dPt>
          <c:dPt>
            <c:idx val="3"/>
            <c:invertIfNegative val="0"/>
            <c:bubble3D val="0"/>
            <c:spPr>
              <a:solidFill>
                <a:srgbClr val="F79646">
                  <a:lumMod val="75000"/>
                </a:srgbClr>
              </a:solidFill>
              <a:ln>
                <a:noFill/>
              </a:ln>
            </c:spPr>
          </c:dPt>
          <c:dPt>
            <c:idx val="4"/>
            <c:invertIfNegative val="0"/>
            <c:bubble3D val="0"/>
            <c:spPr>
              <a:solidFill>
                <a:sysClr val="window" lastClr="FFFFFF">
                  <a:lumMod val="75000"/>
                </a:sysClr>
              </a:solidFill>
              <a:ln>
                <a:noFill/>
              </a:ln>
            </c:spPr>
          </c:dPt>
          <c:dLbls>
            <c:showLegendKey val="0"/>
            <c:showVal val="1"/>
            <c:showCatName val="0"/>
            <c:showSerName val="0"/>
            <c:showPercent val="0"/>
            <c:showBubbleSize val="0"/>
            <c:showLeaderLines val="0"/>
          </c:dLbls>
          <c:cat>
            <c:strRef>
              <c:f>Sheet1!$A$2:$A$20</c:f>
              <c:strCache>
                <c:ptCount val="19"/>
                <c:pt idx="0">
                  <c:v>KOPĀ, n=300</c:v>
                </c:pt>
                <c:pt idx="1">
                  <c:v>DIBINĀŠANAS GADS*</c:v>
                </c:pt>
                <c:pt idx="2">
                  <c:v>Līdz 1991.gadam, n=29**</c:v>
                </c:pt>
                <c:pt idx="3">
                  <c:v>1992.-2000.gads, n=114</c:v>
                </c:pt>
                <c:pt idx="4">
                  <c:v>2001.-2007.gads, n=83</c:v>
                </c:pt>
                <c:pt idx="5">
                  <c:v>2008.-2013.gads, n=74</c:v>
                </c:pt>
                <c:pt idx="6">
                  <c:v>DARBINIEKU SKAITS</c:v>
                </c:pt>
                <c:pt idx="7">
                  <c:v>1–9, n=198</c:v>
                </c:pt>
                <c:pt idx="8">
                  <c:v>10–19, n=38</c:v>
                </c:pt>
                <c:pt idx="9">
                  <c:v>20–49, n=26**</c:v>
                </c:pt>
                <c:pt idx="10">
                  <c:v>50 un vairāk, n=38</c:v>
                </c:pt>
                <c:pt idx="11">
                  <c:v>APGROZĪJUMS 2012.GADĀ*</c:v>
                </c:pt>
                <c:pt idx="12">
                  <c:v>Līdz 50 000 LVL, n=136</c:v>
                </c:pt>
                <c:pt idx="13">
                  <c:v>50 001 – 100 000 LVL, n=44</c:v>
                </c:pt>
                <c:pt idx="14">
                  <c:v>100 001 – 500 000 LVL, n=64</c:v>
                </c:pt>
                <c:pt idx="15">
                  <c:v>Vairāk par 500 000 LVL, n=50</c:v>
                </c:pt>
                <c:pt idx="16">
                  <c:v>IEGULDĪJUMI PĒTNIECĪBAS JOMĀ PĒDĒJO 3 g. LAIKĀ</c:v>
                </c:pt>
                <c:pt idx="17">
                  <c:v>Jā, n=97</c:v>
                </c:pt>
                <c:pt idx="18">
                  <c:v>Nē, n=203</c:v>
                </c:pt>
              </c:strCache>
            </c:strRef>
          </c:cat>
          <c:val>
            <c:numRef>
              <c:f>Sheet1!$B$2:$B$20</c:f>
              <c:numCache>
                <c:formatCode>General</c:formatCode>
                <c:ptCount val="19"/>
              </c:numCache>
            </c:numRef>
          </c:val>
        </c:ser>
        <c:ser>
          <c:idx val="4"/>
          <c:order val="4"/>
          <c:tx>
            <c:strRef>
              <c:f>Sheet1!$F$1</c:f>
              <c:strCache>
                <c:ptCount val="1"/>
                <c:pt idx="0">
                  <c:v>Noteikti nē</c:v>
                </c:pt>
              </c:strCache>
            </c:strRef>
          </c:tx>
          <c:spPr>
            <a:solidFill>
              <a:srgbClr val="F79646">
                <a:lumMod val="75000"/>
              </a:srgbClr>
            </a:solidFill>
          </c:spPr>
          <c:invertIfNegative val="0"/>
          <c:dLbls>
            <c:showLegendKey val="0"/>
            <c:showVal val="1"/>
            <c:showCatName val="0"/>
            <c:showSerName val="0"/>
            <c:showPercent val="0"/>
            <c:showBubbleSize val="0"/>
            <c:showLeaderLines val="0"/>
          </c:dLbls>
          <c:cat>
            <c:strRef>
              <c:f>Sheet1!$A$2:$A$20</c:f>
              <c:strCache>
                <c:ptCount val="19"/>
                <c:pt idx="0">
                  <c:v>KOPĀ, n=300</c:v>
                </c:pt>
                <c:pt idx="1">
                  <c:v>DIBINĀŠANAS GADS*</c:v>
                </c:pt>
                <c:pt idx="2">
                  <c:v>Līdz 1991.gadam, n=29**</c:v>
                </c:pt>
                <c:pt idx="3">
                  <c:v>1992.-2000.gads, n=114</c:v>
                </c:pt>
                <c:pt idx="4">
                  <c:v>2001.-2007.gads, n=83</c:v>
                </c:pt>
                <c:pt idx="5">
                  <c:v>2008.-2013.gads, n=74</c:v>
                </c:pt>
                <c:pt idx="6">
                  <c:v>DARBINIEKU SKAITS</c:v>
                </c:pt>
                <c:pt idx="7">
                  <c:v>1–9, n=198</c:v>
                </c:pt>
                <c:pt idx="8">
                  <c:v>10–19, n=38</c:v>
                </c:pt>
                <c:pt idx="9">
                  <c:v>20–49, n=26**</c:v>
                </c:pt>
                <c:pt idx="10">
                  <c:v>50 un vairāk, n=38</c:v>
                </c:pt>
                <c:pt idx="11">
                  <c:v>APGROZĪJUMS 2012.GADĀ*</c:v>
                </c:pt>
                <c:pt idx="12">
                  <c:v>Līdz 50 000 LVL, n=136</c:v>
                </c:pt>
                <c:pt idx="13">
                  <c:v>50 001 – 100 000 LVL, n=44</c:v>
                </c:pt>
                <c:pt idx="14">
                  <c:v>100 001 – 500 000 LVL, n=64</c:v>
                </c:pt>
                <c:pt idx="15">
                  <c:v>Vairāk par 500 000 LVL, n=50</c:v>
                </c:pt>
                <c:pt idx="16">
                  <c:v>IEGULDĪJUMI PĒTNIECĪBAS JOMĀ PĒDĒJO 3 g. LAIKĀ</c:v>
                </c:pt>
                <c:pt idx="17">
                  <c:v>Jā, n=97</c:v>
                </c:pt>
                <c:pt idx="18">
                  <c:v>Nē, n=203</c:v>
                </c:pt>
              </c:strCache>
            </c:strRef>
          </c:cat>
          <c:val>
            <c:numRef>
              <c:f>Sheet1!$F$2:$F$20</c:f>
              <c:numCache>
                <c:formatCode>General</c:formatCode>
                <c:ptCount val="19"/>
                <c:pt idx="0" formatCode="0">
                  <c:v>8</c:v>
                </c:pt>
                <c:pt idx="2" formatCode="0">
                  <c:v>10.344827586206897</c:v>
                </c:pt>
                <c:pt idx="3" formatCode="0">
                  <c:v>9.649122807017541</c:v>
                </c:pt>
                <c:pt idx="4" formatCode="0">
                  <c:v>7.2289156626505946</c:v>
                </c:pt>
                <c:pt idx="5" formatCode="0">
                  <c:v>5.4054054054054053</c:v>
                </c:pt>
                <c:pt idx="7" formatCode="0">
                  <c:v>9.0909090909091006</c:v>
                </c:pt>
                <c:pt idx="8" formatCode="0">
                  <c:v>2.6315789473684208</c:v>
                </c:pt>
                <c:pt idx="9" formatCode="0">
                  <c:v>7.6923076923076925</c:v>
                </c:pt>
                <c:pt idx="10" formatCode="0">
                  <c:v>7.8947368421052504</c:v>
                </c:pt>
                <c:pt idx="12" formatCode="0">
                  <c:v>7.3529411764705817</c:v>
                </c:pt>
                <c:pt idx="13" formatCode="0">
                  <c:v>6.8181818181818103</c:v>
                </c:pt>
                <c:pt idx="14" formatCode="0">
                  <c:v>9.3750000000000124</c:v>
                </c:pt>
                <c:pt idx="15" formatCode="0">
                  <c:v>10</c:v>
                </c:pt>
                <c:pt idx="17" formatCode="0">
                  <c:v>5.1546391752577305</c:v>
                </c:pt>
                <c:pt idx="18" formatCode="0">
                  <c:v>9.3596059113300605</c:v>
                </c:pt>
              </c:numCache>
            </c:numRef>
          </c:val>
        </c:ser>
        <c:ser>
          <c:idx val="5"/>
          <c:order val="5"/>
          <c:tx>
            <c:strRef>
              <c:f>Sheet1!$G$1</c:f>
              <c:strCache>
                <c:ptCount val="1"/>
                <c:pt idx="0">
                  <c:v>Grūti pateikt</c:v>
                </c:pt>
              </c:strCache>
            </c:strRef>
          </c:tx>
          <c:spPr>
            <a:solidFill>
              <a:sysClr val="window" lastClr="FFFFFF">
                <a:lumMod val="75000"/>
              </a:sysClr>
            </a:solidFill>
          </c:spPr>
          <c:invertIfNegative val="0"/>
          <c:dLbls>
            <c:showLegendKey val="0"/>
            <c:showVal val="1"/>
            <c:showCatName val="0"/>
            <c:showSerName val="0"/>
            <c:showPercent val="0"/>
            <c:showBubbleSize val="0"/>
            <c:showLeaderLines val="0"/>
          </c:dLbls>
          <c:cat>
            <c:strRef>
              <c:f>Sheet1!$A$2:$A$20</c:f>
              <c:strCache>
                <c:ptCount val="19"/>
                <c:pt idx="0">
                  <c:v>KOPĀ, n=300</c:v>
                </c:pt>
                <c:pt idx="1">
                  <c:v>DIBINĀŠANAS GADS*</c:v>
                </c:pt>
                <c:pt idx="2">
                  <c:v>Līdz 1991.gadam, n=29**</c:v>
                </c:pt>
                <c:pt idx="3">
                  <c:v>1992.-2000.gads, n=114</c:v>
                </c:pt>
                <c:pt idx="4">
                  <c:v>2001.-2007.gads, n=83</c:v>
                </c:pt>
                <c:pt idx="5">
                  <c:v>2008.-2013.gads, n=74</c:v>
                </c:pt>
                <c:pt idx="6">
                  <c:v>DARBINIEKU SKAITS</c:v>
                </c:pt>
                <c:pt idx="7">
                  <c:v>1–9, n=198</c:v>
                </c:pt>
                <c:pt idx="8">
                  <c:v>10–19, n=38</c:v>
                </c:pt>
                <c:pt idx="9">
                  <c:v>20–49, n=26**</c:v>
                </c:pt>
                <c:pt idx="10">
                  <c:v>50 un vairāk, n=38</c:v>
                </c:pt>
                <c:pt idx="11">
                  <c:v>APGROZĪJUMS 2012.GADĀ*</c:v>
                </c:pt>
                <c:pt idx="12">
                  <c:v>Līdz 50 000 LVL, n=136</c:v>
                </c:pt>
                <c:pt idx="13">
                  <c:v>50 001 – 100 000 LVL, n=44</c:v>
                </c:pt>
                <c:pt idx="14">
                  <c:v>100 001 – 500 000 LVL, n=64</c:v>
                </c:pt>
                <c:pt idx="15">
                  <c:v>Vairāk par 500 000 LVL, n=50</c:v>
                </c:pt>
                <c:pt idx="16">
                  <c:v>IEGULDĪJUMI PĒTNIECĪBAS JOMĀ PĒDĒJO 3 g. LAIKĀ</c:v>
                </c:pt>
                <c:pt idx="17">
                  <c:v>Jā, n=97</c:v>
                </c:pt>
                <c:pt idx="18">
                  <c:v>Nē, n=203</c:v>
                </c:pt>
              </c:strCache>
            </c:strRef>
          </c:cat>
          <c:val>
            <c:numRef>
              <c:f>Sheet1!$G$2:$G$20</c:f>
              <c:numCache>
                <c:formatCode>General</c:formatCode>
                <c:ptCount val="19"/>
                <c:pt idx="0" formatCode="0">
                  <c:v>22</c:v>
                </c:pt>
                <c:pt idx="2" formatCode="0">
                  <c:v>13.793103448275845</c:v>
                </c:pt>
                <c:pt idx="3" formatCode="0">
                  <c:v>29.824561403508792</c:v>
                </c:pt>
                <c:pt idx="4" formatCode="0">
                  <c:v>21.686746987951771</c:v>
                </c:pt>
                <c:pt idx="5" formatCode="0">
                  <c:v>13.513513513513514</c:v>
                </c:pt>
                <c:pt idx="7" formatCode="0">
                  <c:v>22.222222222222182</c:v>
                </c:pt>
                <c:pt idx="8" formatCode="0">
                  <c:v>23.684210526315788</c:v>
                </c:pt>
                <c:pt idx="9" formatCode="0">
                  <c:v>19.230769230769177</c:v>
                </c:pt>
                <c:pt idx="10" formatCode="0">
                  <c:v>21.05263157894732</c:v>
                </c:pt>
                <c:pt idx="12" formatCode="0">
                  <c:v>24.264705882352914</c:v>
                </c:pt>
                <c:pt idx="13" formatCode="0">
                  <c:v>13.636363636363637</c:v>
                </c:pt>
                <c:pt idx="14" formatCode="0">
                  <c:v>23.4375</c:v>
                </c:pt>
                <c:pt idx="15" formatCode="0">
                  <c:v>22</c:v>
                </c:pt>
                <c:pt idx="17" formatCode="0">
                  <c:v>9.2783505154639201</c:v>
                </c:pt>
                <c:pt idx="18" formatCode="0">
                  <c:v>28.078817733990149</c:v>
                </c:pt>
              </c:numCache>
            </c:numRef>
          </c:val>
        </c:ser>
        <c:dLbls>
          <c:showLegendKey val="0"/>
          <c:showVal val="0"/>
          <c:showCatName val="0"/>
          <c:showSerName val="0"/>
          <c:showPercent val="0"/>
          <c:showBubbleSize val="0"/>
        </c:dLbls>
        <c:gapWidth val="50"/>
        <c:overlap val="100"/>
        <c:axId val="239868544"/>
        <c:axId val="239867008"/>
      </c:barChart>
      <c:valAx>
        <c:axId val="239867008"/>
        <c:scaling>
          <c:orientation val="minMax"/>
        </c:scaling>
        <c:delete val="1"/>
        <c:axPos val="t"/>
        <c:numFmt formatCode="0%" sourceLinked="1"/>
        <c:majorTickMark val="out"/>
        <c:minorTickMark val="none"/>
        <c:tickLblPos val="none"/>
        <c:crossAx val="239868544"/>
        <c:crosses val="autoZero"/>
        <c:crossBetween val="between"/>
      </c:valAx>
      <c:catAx>
        <c:axId val="239868544"/>
        <c:scaling>
          <c:orientation val="maxMin"/>
        </c:scaling>
        <c:delete val="0"/>
        <c:axPos val="l"/>
        <c:majorTickMark val="out"/>
        <c:minorTickMark val="none"/>
        <c:tickLblPos val="nextTo"/>
        <c:crossAx val="239867008"/>
        <c:crosses val="autoZero"/>
        <c:auto val="1"/>
        <c:lblAlgn val="ctr"/>
        <c:lblOffset val="100"/>
        <c:noMultiLvlLbl val="0"/>
      </c:catAx>
    </c:plotArea>
    <c:legend>
      <c:legendPos val="t"/>
      <c:legendEntry>
        <c:idx val="3"/>
        <c:delete val="1"/>
      </c:legendEntry>
      <c:layout>
        <c:manualLayout>
          <c:xMode val="edge"/>
          <c:yMode val="edge"/>
          <c:x val="0.28013613130894532"/>
          <c:y val="8.8819677629449367E-2"/>
          <c:w val="0.68583941361396905"/>
          <c:h val="3.582548466731407E-2"/>
        </c:manualLayout>
      </c:layout>
      <c:overlay val="0"/>
    </c:legend>
    <c:plotVisOnly val="1"/>
    <c:dispBlanksAs val="gap"/>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Kādi nodokļu atvieglojumi veicinātu jūsu uzņēmuma vēlmi ieguldīt pētniecībā un attīstībā (izstrādē)? Sarindojiet nosauktos atvieglojumus prioritārā secībā, pirmo minot, jūsuprāt, visefektīvāko, tad - otro efektīvāko utt.</a:t>
            </a:r>
            <a:r>
              <a:rPr lang="lv-LV" sz="1050" baseline="0"/>
              <a:t> </a:t>
            </a:r>
            <a:r>
              <a:rPr lang="lv-LV" sz="1050"/>
              <a:t>(%)</a:t>
            </a:r>
            <a:endParaRPr lang="en-US" sz="1050"/>
          </a:p>
        </c:rich>
      </c:tx>
      <c:layout>
        <c:manualLayout>
          <c:xMode val="edge"/>
          <c:yMode val="edge"/>
          <c:x val="0.11870281765018607"/>
          <c:y val="2.6069014100510192E-2"/>
        </c:manualLayout>
      </c:layout>
      <c:overlay val="0"/>
    </c:title>
    <c:autoTitleDeleted val="0"/>
    <c:plotArea>
      <c:layout>
        <c:manualLayout>
          <c:layoutTarget val="inner"/>
          <c:xMode val="edge"/>
          <c:yMode val="edge"/>
          <c:x val="0.51912527680451515"/>
          <c:y val="0.32548097571719703"/>
          <c:w val="0.35351408825093067"/>
          <c:h val="0.53801259108345656"/>
        </c:manualLayout>
      </c:layout>
      <c:barChart>
        <c:barDir val="bar"/>
        <c:grouping val="percentStacked"/>
        <c:varyColors val="0"/>
        <c:ser>
          <c:idx val="0"/>
          <c:order val="0"/>
          <c:tx>
            <c:strRef>
              <c:f>Sheet1!$B$1</c:f>
              <c:strCache>
                <c:ptCount val="1"/>
                <c:pt idx="0">
                  <c:v>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Sheet1!$A$2:$A$4</c:f>
              <c:strCache>
                <c:ptCount val="3"/>
                <c:pt idx="0">
                  <c:v>Lielāki uzņēmumu ienākuma nodokļa atvieglojumi pētniecībā un attīstībā (izstrādē), n=274</c:v>
                </c:pt>
                <c:pt idx="1">
                  <c:v>Mazāks pētniecībā un attīstībā (izstrādē) iesaistītā darbaspēka nodokļu slogs, n=274</c:v>
                </c:pt>
                <c:pt idx="2">
                  <c:v>Cits, n=269</c:v>
                </c:pt>
              </c:strCache>
            </c:strRef>
          </c:cat>
          <c:val>
            <c:numRef>
              <c:f>Sheet1!$B$2:$B$4</c:f>
              <c:numCache>
                <c:formatCode>0</c:formatCode>
                <c:ptCount val="3"/>
                <c:pt idx="0">
                  <c:v>55.474452554744452</c:v>
                </c:pt>
                <c:pt idx="1">
                  <c:v>42.335766423357597</c:v>
                </c:pt>
                <c:pt idx="2">
                  <c:v>2.6022304832713754</c:v>
                </c:pt>
              </c:numCache>
            </c:numRef>
          </c:val>
        </c:ser>
        <c:ser>
          <c:idx val="1"/>
          <c:order val="1"/>
          <c:tx>
            <c:strRef>
              <c:f>Sheet1!$C$1</c:f>
              <c:strCache>
                <c:ptCount val="1"/>
                <c:pt idx="0">
                  <c:v>2</c:v>
                </c:pt>
              </c:strCache>
            </c:strRef>
          </c:tx>
          <c:spPr>
            <a:solidFill>
              <a:srgbClr val="9BBB59"/>
            </a:solidFill>
          </c:spPr>
          <c:invertIfNegative val="0"/>
          <c:dLbls>
            <c:showLegendKey val="0"/>
            <c:showVal val="1"/>
            <c:showCatName val="0"/>
            <c:showSerName val="0"/>
            <c:showPercent val="0"/>
            <c:showBubbleSize val="0"/>
            <c:showLeaderLines val="0"/>
          </c:dLbls>
          <c:cat>
            <c:strRef>
              <c:f>Sheet1!$A$2:$A$4</c:f>
              <c:strCache>
                <c:ptCount val="3"/>
                <c:pt idx="0">
                  <c:v>Lielāki uzņēmumu ienākuma nodokļa atvieglojumi pētniecībā un attīstībā (izstrādē), n=274</c:v>
                </c:pt>
                <c:pt idx="1">
                  <c:v>Mazāks pētniecībā un attīstībā (izstrādē) iesaistītā darbaspēka nodokļu slogs, n=274</c:v>
                </c:pt>
                <c:pt idx="2">
                  <c:v>Cits, n=269</c:v>
                </c:pt>
              </c:strCache>
            </c:strRef>
          </c:cat>
          <c:val>
            <c:numRef>
              <c:f>Sheet1!$C$2:$C$4</c:f>
              <c:numCache>
                <c:formatCode>0</c:formatCode>
                <c:ptCount val="3"/>
                <c:pt idx="0">
                  <c:v>41.240875912408818</c:v>
                </c:pt>
                <c:pt idx="1">
                  <c:v>53.649635036496349</c:v>
                </c:pt>
                <c:pt idx="2">
                  <c:v>5.5762081784386703</c:v>
                </c:pt>
              </c:numCache>
            </c:numRef>
          </c:val>
        </c:ser>
        <c:ser>
          <c:idx val="2"/>
          <c:order val="2"/>
          <c:tx>
            <c:strRef>
              <c:f>Sheet1!$D$1</c:f>
              <c:strCache>
                <c:ptCount val="1"/>
                <c:pt idx="0">
                  <c:v>3</c:v>
                </c:pt>
              </c:strCache>
            </c:strRef>
          </c:tx>
          <c:spPr>
            <a:solidFill>
              <a:srgbClr val="FFC000"/>
            </a:solidFill>
          </c:spPr>
          <c:invertIfNegative val="0"/>
          <c:dLbls>
            <c:showLegendKey val="0"/>
            <c:showVal val="1"/>
            <c:showCatName val="0"/>
            <c:showSerName val="0"/>
            <c:showPercent val="0"/>
            <c:showBubbleSize val="0"/>
            <c:showLeaderLines val="0"/>
          </c:dLbls>
          <c:cat>
            <c:strRef>
              <c:f>Sheet1!$A$2:$A$4</c:f>
              <c:strCache>
                <c:ptCount val="3"/>
                <c:pt idx="0">
                  <c:v>Lielāki uzņēmumu ienākuma nodokļa atvieglojumi pētniecībā un attīstībā (izstrādē), n=274</c:v>
                </c:pt>
                <c:pt idx="1">
                  <c:v>Mazāks pētniecībā un attīstībā (izstrādē) iesaistītā darbaspēka nodokļu slogs, n=274</c:v>
                </c:pt>
                <c:pt idx="2">
                  <c:v>Cits, n=269</c:v>
                </c:pt>
              </c:strCache>
            </c:strRef>
          </c:cat>
          <c:val>
            <c:numRef>
              <c:f>Sheet1!$D$2:$D$4</c:f>
              <c:numCache>
                <c:formatCode>0</c:formatCode>
                <c:ptCount val="3"/>
                <c:pt idx="0">
                  <c:v>3.2846715328467195</c:v>
                </c:pt>
                <c:pt idx="1">
                  <c:v>4.0145985401459736</c:v>
                </c:pt>
                <c:pt idx="2">
                  <c:v>91.821561338289854</c:v>
                </c:pt>
              </c:numCache>
            </c:numRef>
          </c:val>
        </c:ser>
        <c:dLbls>
          <c:showLegendKey val="0"/>
          <c:showVal val="0"/>
          <c:showCatName val="0"/>
          <c:showSerName val="0"/>
          <c:showPercent val="0"/>
          <c:showBubbleSize val="0"/>
        </c:dLbls>
        <c:gapWidth val="80"/>
        <c:overlap val="100"/>
        <c:axId val="239556864"/>
        <c:axId val="239566848"/>
      </c:barChart>
      <c:catAx>
        <c:axId val="239556864"/>
        <c:scaling>
          <c:orientation val="maxMin"/>
        </c:scaling>
        <c:delete val="0"/>
        <c:axPos val="l"/>
        <c:majorTickMark val="out"/>
        <c:minorTickMark val="none"/>
        <c:tickLblPos val="nextTo"/>
        <c:txPr>
          <a:bodyPr/>
          <a:lstStyle/>
          <a:p>
            <a:pPr>
              <a:defRPr sz="1000"/>
            </a:pPr>
            <a:endParaRPr lang="lv-LV"/>
          </a:p>
        </c:txPr>
        <c:crossAx val="239566848"/>
        <c:crosses val="autoZero"/>
        <c:auto val="1"/>
        <c:lblAlgn val="ctr"/>
        <c:lblOffset val="100"/>
        <c:noMultiLvlLbl val="0"/>
      </c:catAx>
      <c:valAx>
        <c:axId val="239566848"/>
        <c:scaling>
          <c:orientation val="minMax"/>
          <c:max val="1"/>
          <c:min val="0"/>
        </c:scaling>
        <c:delete val="1"/>
        <c:axPos val="t"/>
        <c:numFmt formatCode="0%" sourceLinked="1"/>
        <c:majorTickMark val="out"/>
        <c:minorTickMark val="none"/>
        <c:tickLblPos val="none"/>
        <c:crossAx val="239556864"/>
        <c:crosses val="autoZero"/>
        <c:crossBetween val="between"/>
      </c:valAx>
    </c:plotArea>
    <c:legend>
      <c:legendPos val="t"/>
      <c:layout>
        <c:manualLayout>
          <c:xMode val="edge"/>
          <c:yMode val="edge"/>
          <c:x val="0.50737763042777562"/>
          <c:y val="0.23142191142191143"/>
          <c:w val="0.35100746377994696"/>
          <c:h val="7.3041132096250211E-2"/>
        </c:manualLayout>
      </c:layout>
      <c:overlay val="0"/>
    </c:legend>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Kāda nodokļu atvieglojumu administrēšana veicinātu jūsu uzņēmuma vēlmi ieguldīt pētniecībā un attīstībā (izstrādē)? Sarindojiet nosauktos administrēšanas veidus prioritārā secībā, pirmo minot, jūsuprāt, visefektīvāko, tad - otro efektīvāko utt.</a:t>
            </a:r>
            <a:r>
              <a:rPr lang="lv-LV" sz="1050" baseline="0"/>
              <a:t> </a:t>
            </a:r>
            <a:r>
              <a:rPr lang="lv-LV" sz="1050"/>
              <a:t>(%)</a:t>
            </a:r>
            <a:endParaRPr lang="en-US" sz="1050"/>
          </a:p>
        </c:rich>
      </c:tx>
      <c:layout>
        <c:manualLayout>
          <c:xMode val="edge"/>
          <c:yMode val="edge"/>
          <c:x val="0.11870281765018607"/>
          <c:y val="2.6069014100510192E-2"/>
        </c:manualLayout>
      </c:layout>
      <c:overlay val="0"/>
    </c:title>
    <c:autoTitleDeleted val="0"/>
    <c:plotArea>
      <c:layout>
        <c:manualLayout>
          <c:layoutTarget val="inner"/>
          <c:xMode val="edge"/>
          <c:yMode val="edge"/>
          <c:x val="0.51912527680451515"/>
          <c:y val="0.32548097571719703"/>
          <c:w val="0.35351408825093067"/>
          <c:h val="0.53801259108345656"/>
        </c:manualLayout>
      </c:layout>
      <c:barChart>
        <c:barDir val="bar"/>
        <c:grouping val="percentStacked"/>
        <c:varyColors val="0"/>
        <c:ser>
          <c:idx val="0"/>
          <c:order val="0"/>
          <c:tx>
            <c:strRef>
              <c:f>Sheet1!$B$1</c:f>
              <c:strCache>
                <c:ptCount val="1"/>
                <c:pt idx="0">
                  <c:v>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Sheet1!$A$2:$A$4</c:f>
              <c:strCache>
                <c:ptCount val="3"/>
                <c:pt idx="0">
                  <c:v>Vienkāršota uz pašdeklarēšanās principa (uzņēmums veic izmaksu uzskaiti un iekļauj tās UIN  aprēķinā), n=262</c:v>
                </c:pt>
                <c:pt idx="1">
                  <c:v>Piesakot projektu pirms realizācijas un saskaņojot ar valsts institūciju plānotās izmaksas, n=262</c:v>
                </c:pt>
                <c:pt idx="2">
                  <c:v>Cits, n=255</c:v>
                </c:pt>
              </c:strCache>
            </c:strRef>
          </c:cat>
          <c:val>
            <c:numRef>
              <c:f>Sheet1!$B$2:$B$4</c:f>
              <c:numCache>
                <c:formatCode>0</c:formatCode>
                <c:ptCount val="3"/>
                <c:pt idx="0">
                  <c:v>72.519083969465697</c:v>
                </c:pt>
                <c:pt idx="1">
                  <c:v>25.190839694656514</c:v>
                </c:pt>
                <c:pt idx="2">
                  <c:v>2.7450980392156863</c:v>
                </c:pt>
              </c:numCache>
            </c:numRef>
          </c:val>
        </c:ser>
        <c:ser>
          <c:idx val="1"/>
          <c:order val="1"/>
          <c:tx>
            <c:strRef>
              <c:f>Sheet1!$C$1</c:f>
              <c:strCache>
                <c:ptCount val="1"/>
                <c:pt idx="0">
                  <c:v>2</c:v>
                </c:pt>
              </c:strCache>
            </c:strRef>
          </c:tx>
          <c:spPr>
            <a:solidFill>
              <a:srgbClr val="9BBB59"/>
            </a:solidFill>
          </c:spPr>
          <c:invertIfNegative val="0"/>
          <c:dLbls>
            <c:showLegendKey val="0"/>
            <c:showVal val="1"/>
            <c:showCatName val="0"/>
            <c:showSerName val="0"/>
            <c:showPercent val="0"/>
            <c:showBubbleSize val="0"/>
            <c:showLeaderLines val="0"/>
          </c:dLbls>
          <c:cat>
            <c:strRef>
              <c:f>Sheet1!$A$2:$A$4</c:f>
              <c:strCache>
                <c:ptCount val="3"/>
                <c:pt idx="0">
                  <c:v>Vienkāršota uz pašdeklarēšanās principa (uzņēmums veic izmaksu uzskaiti un iekļauj tās UIN  aprēķinā), n=262</c:v>
                </c:pt>
                <c:pt idx="1">
                  <c:v>Piesakot projektu pirms realizācijas un saskaņojot ar valsts institūciju plānotās izmaksas, n=262</c:v>
                </c:pt>
                <c:pt idx="2">
                  <c:v>Cits, n=255</c:v>
                </c:pt>
              </c:strCache>
            </c:strRef>
          </c:cat>
          <c:val>
            <c:numRef>
              <c:f>Sheet1!$C$2:$C$4</c:f>
              <c:numCache>
                <c:formatCode>0</c:formatCode>
                <c:ptCount val="3"/>
                <c:pt idx="0">
                  <c:v>25.572519083969425</c:v>
                </c:pt>
                <c:pt idx="1">
                  <c:v>66.793893129770993</c:v>
                </c:pt>
                <c:pt idx="2">
                  <c:v>7.8431372549019605</c:v>
                </c:pt>
              </c:numCache>
            </c:numRef>
          </c:val>
        </c:ser>
        <c:ser>
          <c:idx val="2"/>
          <c:order val="2"/>
          <c:tx>
            <c:strRef>
              <c:f>Sheet1!$D$1</c:f>
              <c:strCache>
                <c:ptCount val="1"/>
                <c:pt idx="0">
                  <c:v>3</c:v>
                </c:pt>
              </c:strCache>
            </c:strRef>
          </c:tx>
          <c:spPr>
            <a:solidFill>
              <a:srgbClr val="FFC000"/>
            </a:solidFill>
          </c:spPr>
          <c:invertIfNegative val="0"/>
          <c:dLbls>
            <c:showLegendKey val="0"/>
            <c:showVal val="1"/>
            <c:showCatName val="0"/>
            <c:showSerName val="0"/>
            <c:showPercent val="0"/>
            <c:showBubbleSize val="0"/>
            <c:showLeaderLines val="0"/>
          </c:dLbls>
          <c:cat>
            <c:strRef>
              <c:f>Sheet1!$A$2:$A$4</c:f>
              <c:strCache>
                <c:ptCount val="3"/>
                <c:pt idx="0">
                  <c:v>Vienkāršota uz pašdeklarēšanās principa (uzņēmums veic izmaksu uzskaiti un iekļauj tās UIN  aprēķinā), n=262</c:v>
                </c:pt>
                <c:pt idx="1">
                  <c:v>Piesakot projektu pirms realizācijas un saskaņojot ar valsts institūciju plānotās izmaksas, n=262</c:v>
                </c:pt>
                <c:pt idx="2">
                  <c:v>Cits, n=255</c:v>
                </c:pt>
              </c:strCache>
            </c:strRef>
          </c:cat>
          <c:val>
            <c:numRef>
              <c:f>Sheet1!$D$2:$D$4</c:f>
              <c:numCache>
                <c:formatCode>0</c:formatCode>
                <c:ptCount val="3"/>
                <c:pt idx="0">
                  <c:v>1.908396946564886</c:v>
                </c:pt>
                <c:pt idx="1">
                  <c:v>8.015267175572518</c:v>
                </c:pt>
                <c:pt idx="2">
                  <c:v>89.411764705882462</c:v>
                </c:pt>
              </c:numCache>
            </c:numRef>
          </c:val>
        </c:ser>
        <c:dLbls>
          <c:showLegendKey val="0"/>
          <c:showVal val="0"/>
          <c:showCatName val="0"/>
          <c:showSerName val="0"/>
          <c:showPercent val="0"/>
          <c:showBubbleSize val="0"/>
        </c:dLbls>
        <c:gapWidth val="80"/>
        <c:overlap val="100"/>
        <c:axId val="239479808"/>
        <c:axId val="239489792"/>
      </c:barChart>
      <c:catAx>
        <c:axId val="239479808"/>
        <c:scaling>
          <c:orientation val="maxMin"/>
        </c:scaling>
        <c:delete val="0"/>
        <c:axPos val="l"/>
        <c:majorTickMark val="out"/>
        <c:minorTickMark val="none"/>
        <c:tickLblPos val="nextTo"/>
        <c:txPr>
          <a:bodyPr/>
          <a:lstStyle/>
          <a:p>
            <a:pPr>
              <a:defRPr sz="1000"/>
            </a:pPr>
            <a:endParaRPr lang="lv-LV"/>
          </a:p>
        </c:txPr>
        <c:crossAx val="239489792"/>
        <c:crosses val="autoZero"/>
        <c:auto val="1"/>
        <c:lblAlgn val="ctr"/>
        <c:lblOffset val="100"/>
        <c:noMultiLvlLbl val="0"/>
      </c:catAx>
      <c:valAx>
        <c:axId val="239489792"/>
        <c:scaling>
          <c:orientation val="minMax"/>
          <c:max val="1"/>
          <c:min val="0"/>
        </c:scaling>
        <c:delete val="1"/>
        <c:axPos val="t"/>
        <c:numFmt formatCode="0%" sourceLinked="1"/>
        <c:majorTickMark val="out"/>
        <c:minorTickMark val="none"/>
        <c:tickLblPos val="none"/>
        <c:crossAx val="239479808"/>
        <c:crosses val="autoZero"/>
        <c:crossBetween val="between"/>
      </c:valAx>
    </c:plotArea>
    <c:legend>
      <c:legendPos val="t"/>
      <c:layout>
        <c:manualLayout>
          <c:xMode val="edge"/>
          <c:yMode val="edge"/>
          <c:x val="0.50737763042777562"/>
          <c:y val="0.23142191142191143"/>
          <c:w val="0.35100746377994696"/>
          <c:h val="7.3041132096250211E-2"/>
        </c:manualLayout>
      </c:layout>
      <c:overlay val="0"/>
    </c:legend>
    <c:plotVisOnly val="1"/>
    <c:dispBlanksAs val="gap"/>
    <c:showDLblsOverMax val="0"/>
  </c:chart>
  <c:spPr>
    <a:ln w="12676">
      <a:solidFill>
        <a:schemeClr val="bg1">
          <a:lumMod val="50000"/>
        </a:schemeClr>
      </a:solidFill>
    </a:ln>
  </c:spPr>
  <c:txPr>
    <a:bodyPr/>
    <a:lstStyle/>
    <a:p>
      <a:pPr>
        <a:defRPr sz="800">
          <a:latin typeface="+mn-lt"/>
          <a:cs typeface="Arial" pitchFamily="34" charset="0"/>
        </a:defRPr>
      </a:pPr>
      <a:endParaRPr lang="lv-LV"/>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pēdējo trīs gadu laikā (2010. - 2012.) esat veikuši ieguldījumus pētniecībā un attīstībā (izstrādē) ... ?(%)</a:t>
            </a:r>
            <a:endParaRPr lang="en-US" sz="1050"/>
          </a:p>
        </c:rich>
      </c:tx>
      <c:layout>
        <c:manualLayout>
          <c:xMode val="edge"/>
          <c:yMode val="edge"/>
          <c:x val="0.15743945882362825"/>
          <c:y val="2.4089215922245583E-2"/>
        </c:manualLayout>
      </c:layout>
      <c:overlay val="0"/>
    </c:title>
    <c:autoTitleDeleted val="0"/>
    <c:plotArea>
      <c:layout>
        <c:manualLayout>
          <c:layoutTarget val="inner"/>
          <c:xMode val="edge"/>
          <c:yMode val="edge"/>
          <c:x val="0.35780515473843283"/>
          <c:y val="0.20515031690907617"/>
          <c:w val="0.2812121212121213"/>
          <c:h val="0.76995633187772927"/>
        </c:manualLayout>
      </c:layout>
      <c:pieChart>
        <c:varyColors val="1"/>
        <c:ser>
          <c:idx val="0"/>
          <c:order val="0"/>
          <c:tx>
            <c:strRef>
              <c:f>Sheet1!$B$1</c:f>
              <c:strCache>
                <c:ptCount val="1"/>
                <c:pt idx="0">
                  <c:v>Series 1</c:v>
                </c:pt>
              </c:strCache>
            </c:strRef>
          </c:tx>
          <c:spPr>
            <a:solidFill>
              <a:srgbClr val="9BBB59">
                <a:lumMod val="75000"/>
              </a:srgbClr>
            </a:solidFill>
            <a:ln>
              <a:noFill/>
            </a:ln>
          </c:spPr>
          <c:dPt>
            <c:idx val="1"/>
            <c:bubble3D val="0"/>
            <c:spPr>
              <a:solidFill>
                <a:srgbClr val="9BBB59"/>
              </a:solidFill>
              <a:ln>
                <a:noFill/>
              </a:ln>
            </c:spPr>
          </c:dPt>
          <c:dPt>
            <c:idx val="2"/>
            <c:bubble3D val="0"/>
            <c:spPr>
              <a:solidFill>
                <a:srgbClr val="FFC000"/>
              </a:solidFill>
              <a:ln>
                <a:noFill/>
              </a:ln>
            </c:spPr>
          </c:dPt>
          <c:dPt>
            <c:idx val="3"/>
            <c:bubble3D val="0"/>
            <c:spPr>
              <a:solidFill>
                <a:srgbClr val="F79646">
                  <a:lumMod val="75000"/>
                </a:srgbClr>
              </a:solidFill>
              <a:ln>
                <a:noFill/>
              </a:ln>
            </c:spPr>
          </c:dPt>
          <c:dPt>
            <c:idx val="4"/>
            <c:bubble3D val="0"/>
            <c:spPr>
              <a:solidFill>
                <a:sysClr val="window" lastClr="FFFFFF">
                  <a:lumMod val="75000"/>
                </a:sysClr>
              </a:solidFill>
              <a:ln>
                <a:noFill/>
              </a:ln>
            </c:spPr>
          </c:dPt>
          <c:dLbls>
            <c:dLbl>
              <c:idx val="0"/>
              <c:layout>
                <c:manualLayout>
                  <c:x val="-6.0373482022881175E-2"/>
                  <c:y val="0.17740489862347991"/>
                </c:manualLayout>
              </c:layout>
              <c:showLegendKey val="0"/>
              <c:showVal val="0"/>
              <c:showCatName val="1"/>
              <c:showSerName val="0"/>
              <c:showPercent val="1"/>
              <c:showBubbleSize val="0"/>
            </c:dLbl>
            <c:dLbl>
              <c:idx val="2"/>
              <c:layout>
                <c:manualLayout>
                  <c:x val="-9.1531979555187298E-2"/>
                  <c:y val="-0.119862462607021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Sheet1!$A$2:$A$5</c:f>
              <c:strCache>
                <c:ptCount val="4"/>
                <c:pt idx="0">
                  <c:v>Jā, regulāri</c:v>
                </c:pt>
                <c:pt idx="1">
                  <c:v>Jā, dažkārt</c:v>
                </c:pt>
                <c:pt idx="2">
                  <c:v>Jā, vienreiz</c:v>
                </c:pt>
                <c:pt idx="3">
                  <c:v>Nē</c:v>
                </c:pt>
              </c:strCache>
            </c:strRef>
          </c:cat>
          <c:val>
            <c:numRef>
              <c:f>Sheet1!$B$2:$B$5</c:f>
              <c:numCache>
                <c:formatCode>0</c:formatCode>
                <c:ptCount val="4"/>
                <c:pt idx="0">
                  <c:v>10.386473429951694</c:v>
                </c:pt>
                <c:pt idx="1">
                  <c:v>20.289855072463769</c:v>
                </c:pt>
                <c:pt idx="2">
                  <c:v>7.4879227053140163</c:v>
                </c:pt>
                <c:pt idx="3">
                  <c:v>61.835748792270529</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pēdējo trīs gadu laikā (2010. - 2012.) esat veikuši ieguldījumus pētniecībā un attīstībā (izstrādē) ... ? (%)</a:t>
            </a:r>
            <a:endParaRPr lang="en-US" sz="1050"/>
          </a:p>
        </c:rich>
      </c:tx>
      <c:layout>
        <c:manualLayout>
          <c:xMode val="edge"/>
          <c:yMode val="edge"/>
          <c:x val="0.16381904415058171"/>
          <c:y val="1.0946599711565764E-2"/>
        </c:manualLayout>
      </c:layout>
      <c:overlay val="0"/>
    </c:title>
    <c:autoTitleDeleted val="0"/>
    <c:plotArea>
      <c:layout>
        <c:manualLayout>
          <c:layoutTarget val="inner"/>
          <c:xMode val="edge"/>
          <c:yMode val="edge"/>
          <c:x val="0.49390297504678005"/>
          <c:y val="9.9946547777418265E-2"/>
          <c:w val="0.43006911217437532"/>
          <c:h val="0.82858087944486392"/>
        </c:manualLayout>
      </c:layout>
      <c:barChart>
        <c:barDir val="bar"/>
        <c:grouping val="percentStacked"/>
        <c:varyColors val="0"/>
        <c:ser>
          <c:idx val="1"/>
          <c:order val="1"/>
          <c:tx>
            <c:strRef>
              <c:f>Sheet1!$C$1</c:f>
              <c:strCache>
                <c:ptCount val="1"/>
                <c:pt idx="0">
                  <c:v>Jā, regulāri</c:v>
                </c:pt>
              </c:strCache>
            </c:strRef>
          </c:tx>
          <c:spPr>
            <a:solidFill>
              <a:srgbClr val="9BBB59">
                <a:lumMod val="75000"/>
              </a:srgbClr>
            </a:solidFill>
          </c:spPr>
          <c:invertIfNegative val="0"/>
          <c:dLbls>
            <c:showLegendKey val="0"/>
            <c:showVal val="1"/>
            <c:showCatName val="0"/>
            <c:showSerName val="0"/>
            <c:showPercent val="0"/>
            <c:showBubbleSize val="0"/>
            <c:showLeaderLines val="0"/>
          </c:dLbls>
          <c:cat>
            <c:strRef>
              <c:f>Sheet1!$A$2:$A$30</c:f>
              <c:strCache>
                <c:ptCount val="29"/>
                <c:pt idx="0">
                  <c:v>VISI RESPONDENTI, n=414</c:v>
                </c:pt>
                <c:pt idx="1">
                  <c:v>DIBINĀŠANAS GADS*</c:v>
                </c:pt>
                <c:pt idx="2">
                  <c:v>Līdz 1991.gadam, n=41</c:v>
                </c:pt>
                <c:pt idx="3">
                  <c:v>1992.-2000.gads, n=148</c:v>
                </c:pt>
                <c:pt idx="4">
                  <c:v>2001.-2007.gads, n=123</c:v>
                </c:pt>
                <c:pt idx="5">
                  <c:v>2008.-2013.gads, n=101</c:v>
                </c:pt>
                <c:pt idx="6">
                  <c:v>DARBINIEKU SKAITS</c:v>
                </c:pt>
                <c:pt idx="7">
                  <c:v>1–9, n=278</c:v>
                </c:pt>
                <c:pt idx="8">
                  <c:v>10–19, n=51</c:v>
                </c:pt>
                <c:pt idx="9">
                  <c:v>20–49, n=39</c:v>
                </c:pt>
                <c:pt idx="10">
                  <c:v>50 un vairāk, n=46</c:v>
                </c:pt>
                <c:pt idx="11">
                  <c:v>NOZARE</c:v>
                </c:pt>
                <c:pt idx="12">
                  <c:v>Ražošanas un rūpniecības, n=31</c:v>
                </c:pt>
                <c:pt idx="13">
                  <c:v>Tirdzniecības, n=69</c:v>
                </c:pt>
                <c:pt idx="14">
                  <c:v>Pakalpojumu, n=143</c:v>
                </c:pt>
                <c:pt idx="15">
                  <c:v>Būvniecības, n=37</c:v>
                </c:pt>
                <c:pt idx="16">
                  <c:v>Cits, n=134</c:v>
                </c:pt>
                <c:pt idx="17">
                  <c:v>STATISTISKAIS REĢIONS</c:v>
                </c:pt>
                <c:pt idx="18">
                  <c:v>Rīgas, n=172</c:v>
                </c:pt>
                <c:pt idx="19">
                  <c:v>Pierīgas, n=31</c:v>
                </c:pt>
                <c:pt idx="20">
                  <c:v>Vidzemes, n=72</c:v>
                </c:pt>
                <c:pt idx="21">
                  <c:v>Kurzemes, n=59</c:v>
                </c:pt>
                <c:pt idx="22">
                  <c:v>Zemgales, n=42</c:v>
                </c:pt>
                <c:pt idx="23">
                  <c:v>Latgales, n=38</c:v>
                </c:pt>
                <c:pt idx="24">
                  <c:v>APGROZĪJUMS 2012.GADĀ*</c:v>
                </c:pt>
                <c:pt idx="25">
                  <c:v>Līdz 50 000 LVL, n=181</c:v>
                </c:pt>
                <c:pt idx="26">
                  <c:v>50 001 – 100 000 LVL, n=58</c:v>
                </c:pt>
                <c:pt idx="27">
                  <c:v>100 001 – 500 000 LVL, n=87</c:v>
                </c:pt>
                <c:pt idx="28">
                  <c:v>Vairāk par 500 000 LVL, n=70</c:v>
                </c:pt>
              </c:strCache>
            </c:strRef>
          </c:cat>
          <c:val>
            <c:numRef>
              <c:f>Sheet1!$C$2:$C$30</c:f>
              <c:numCache>
                <c:formatCode>General</c:formatCode>
                <c:ptCount val="29"/>
                <c:pt idx="0" formatCode="0">
                  <c:v>10.386473429951694</c:v>
                </c:pt>
                <c:pt idx="2" formatCode="0">
                  <c:v>29.268292682926788</c:v>
                </c:pt>
                <c:pt idx="3" formatCode="0">
                  <c:v>6.7567567567567526</c:v>
                </c:pt>
                <c:pt idx="4" formatCode="0">
                  <c:v>5.691056910569106</c:v>
                </c:pt>
                <c:pt idx="5" formatCode="0">
                  <c:v>13.86138613861387</c:v>
                </c:pt>
                <c:pt idx="7" formatCode="0">
                  <c:v>9.7122302158273541</c:v>
                </c:pt>
                <c:pt idx="8" formatCode="0">
                  <c:v>3.9215686274509798</c:v>
                </c:pt>
                <c:pt idx="9" formatCode="0">
                  <c:v>10.256410256410268</c:v>
                </c:pt>
                <c:pt idx="10" formatCode="0">
                  <c:v>21.739130434782609</c:v>
                </c:pt>
                <c:pt idx="12" formatCode="0">
                  <c:v>22.580645161290324</c:v>
                </c:pt>
                <c:pt idx="13" formatCode="0">
                  <c:v>1.4492753623188406</c:v>
                </c:pt>
                <c:pt idx="14" formatCode="0">
                  <c:v>16.083916083916083</c:v>
                </c:pt>
                <c:pt idx="15" formatCode="0">
                  <c:v>2.7027027027027049</c:v>
                </c:pt>
                <c:pt idx="16" formatCode="0">
                  <c:v>8.2089552238805883</c:v>
                </c:pt>
                <c:pt idx="18" formatCode="0">
                  <c:v>14.534883720930221</c:v>
                </c:pt>
                <c:pt idx="19" formatCode="0">
                  <c:v>9.6774193548387188</c:v>
                </c:pt>
                <c:pt idx="20" formatCode="0">
                  <c:v>4.166666666666667</c:v>
                </c:pt>
                <c:pt idx="21" formatCode="0">
                  <c:v>5.0847457627118686</c:v>
                </c:pt>
                <c:pt idx="22" formatCode="0">
                  <c:v>11.904761904761905</c:v>
                </c:pt>
                <c:pt idx="23" formatCode="0">
                  <c:v>10.526315789473676</c:v>
                </c:pt>
                <c:pt idx="25" formatCode="0">
                  <c:v>7.7348066298342495</c:v>
                </c:pt>
                <c:pt idx="26" formatCode="0">
                  <c:v>13.793103448275847</c:v>
                </c:pt>
                <c:pt idx="27" formatCode="0">
                  <c:v>9.1954022988505741</c:v>
                </c:pt>
                <c:pt idx="28" formatCode="0">
                  <c:v>15.714285714285714</c:v>
                </c:pt>
              </c:numCache>
            </c:numRef>
          </c:val>
        </c:ser>
        <c:ser>
          <c:idx val="2"/>
          <c:order val="2"/>
          <c:tx>
            <c:strRef>
              <c:f>Sheet1!$D$1</c:f>
              <c:strCache>
                <c:ptCount val="1"/>
                <c:pt idx="0">
                  <c:v>Jā, dažkārt</c:v>
                </c:pt>
              </c:strCache>
            </c:strRef>
          </c:tx>
          <c:spPr>
            <a:solidFill>
              <a:srgbClr val="9BBB59"/>
            </a:solidFill>
          </c:spPr>
          <c:invertIfNegative val="0"/>
          <c:dLbls>
            <c:showLegendKey val="0"/>
            <c:showVal val="1"/>
            <c:showCatName val="0"/>
            <c:showSerName val="0"/>
            <c:showPercent val="0"/>
            <c:showBubbleSize val="0"/>
            <c:showLeaderLines val="0"/>
          </c:dLbls>
          <c:cat>
            <c:strRef>
              <c:f>Sheet1!$A$2:$A$30</c:f>
              <c:strCache>
                <c:ptCount val="29"/>
                <c:pt idx="0">
                  <c:v>VISI RESPONDENTI, n=414</c:v>
                </c:pt>
                <c:pt idx="1">
                  <c:v>DIBINĀŠANAS GADS*</c:v>
                </c:pt>
                <c:pt idx="2">
                  <c:v>Līdz 1991.gadam, n=41</c:v>
                </c:pt>
                <c:pt idx="3">
                  <c:v>1992.-2000.gads, n=148</c:v>
                </c:pt>
                <c:pt idx="4">
                  <c:v>2001.-2007.gads, n=123</c:v>
                </c:pt>
                <c:pt idx="5">
                  <c:v>2008.-2013.gads, n=101</c:v>
                </c:pt>
                <c:pt idx="6">
                  <c:v>DARBINIEKU SKAITS</c:v>
                </c:pt>
                <c:pt idx="7">
                  <c:v>1–9, n=278</c:v>
                </c:pt>
                <c:pt idx="8">
                  <c:v>10–19, n=51</c:v>
                </c:pt>
                <c:pt idx="9">
                  <c:v>20–49, n=39</c:v>
                </c:pt>
                <c:pt idx="10">
                  <c:v>50 un vairāk, n=46</c:v>
                </c:pt>
                <c:pt idx="11">
                  <c:v>NOZARE</c:v>
                </c:pt>
                <c:pt idx="12">
                  <c:v>Ražošanas un rūpniecības, n=31</c:v>
                </c:pt>
                <c:pt idx="13">
                  <c:v>Tirdzniecības, n=69</c:v>
                </c:pt>
                <c:pt idx="14">
                  <c:v>Pakalpojumu, n=143</c:v>
                </c:pt>
                <c:pt idx="15">
                  <c:v>Būvniecības, n=37</c:v>
                </c:pt>
                <c:pt idx="16">
                  <c:v>Cits, n=134</c:v>
                </c:pt>
                <c:pt idx="17">
                  <c:v>STATISTISKAIS REĢIONS</c:v>
                </c:pt>
                <c:pt idx="18">
                  <c:v>Rīgas, n=172</c:v>
                </c:pt>
                <c:pt idx="19">
                  <c:v>Pierīgas, n=31</c:v>
                </c:pt>
                <c:pt idx="20">
                  <c:v>Vidzemes, n=72</c:v>
                </c:pt>
                <c:pt idx="21">
                  <c:v>Kurzemes, n=59</c:v>
                </c:pt>
                <c:pt idx="22">
                  <c:v>Zemgales, n=42</c:v>
                </c:pt>
                <c:pt idx="23">
                  <c:v>Latgales, n=38</c:v>
                </c:pt>
                <c:pt idx="24">
                  <c:v>APGROZĪJUMS 2012.GADĀ*</c:v>
                </c:pt>
                <c:pt idx="25">
                  <c:v>Līdz 50 000 LVL, n=181</c:v>
                </c:pt>
                <c:pt idx="26">
                  <c:v>50 001 – 100 000 LVL, n=58</c:v>
                </c:pt>
                <c:pt idx="27">
                  <c:v>100 001 – 500 000 LVL, n=87</c:v>
                </c:pt>
                <c:pt idx="28">
                  <c:v>Vairāk par 500 000 LVL, n=70</c:v>
                </c:pt>
              </c:strCache>
            </c:strRef>
          </c:cat>
          <c:val>
            <c:numRef>
              <c:f>Sheet1!$D$2:$D$30</c:f>
              <c:numCache>
                <c:formatCode>General</c:formatCode>
                <c:ptCount val="29"/>
                <c:pt idx="0" formatCode="0">
                  <c:v>20.289855072463769</c:v>
                </c:pt>
                <c:pt idx="2" formatCode="0">
                  <c:v>29.268292682926788</c:v>
                </c:pt>
                <c:pt idx="3" formatCode="0">
                  <c:v>24.324324324324323</c:v>
                </c:pt>
                <c:pt idx="4" formatCode="0">
                  <c:v>17.0731707317073</c:v>
                </c:pt>
                <c:pt idx="5" formatCode="0">
                  <c:v>13.86138613861387</c:v>
                </c:pt>
                <c:pt idx="7" formatCode="0">
                  <c:v>14.748201438848918</c:v>
                </c:pt>
                <c:pt idx="8" formatCode="0">
                  <c:v>33.333333333333336</c:v>
                </c:pt>
                <c:pt idx="9" formatCode="0">
                  <c:v>30.76923076923077</c:v>
                </c:pt>
                <c:pt idx="10" formatCode="0">
                  <c:v>30.434782608695652</c:v>
                </c:pt>
                <c:pt idx="12" formatCode="0">
                  <c:v>32.258064516129032</c:v>
                </c:pt>
                <c:pt idx="13" formatCode="0">
                  <c:v>17.39130434782609</c:v>
                </c:pt>
                <c:pt idx="14" formatCode="0">
                  <c:v>15.384615384615385</c:v>
                </c:pt>
                <c:pt idx="15" formatCode="0">
                  <c:v>13.513513513513514</c:v>
                </c:pt>
                <c:pt idx="16" formatCode="0">
                  <c:v>26.119402985074625</c:v>
                </c:pt>
                <c:pt idx="18" formatCode="0">
                  <c:v>23.255813953488371</c:v>
                </c:pt>
                <c:pt idx="19" formatCode="0">
                  <c:v>19.354838709677445</c:v>
                </c:pt>
                <c:pt idx="20" formatCode="0">
                  <c:v>23.611111111111128</c:v>
                </c:pt>
                <c:pt idx="21" formatCode="0">
                  <c:v>8.4745762711864536</c:v>
                </c:pt>
                <c:pt idx="22" formatCode="0">
                  <c:v>23.809523809523778</c:v>
                </c:pt>
                <c:pt idx="23" formatCode="0">
                  <c:v>15.789473684210513</c:v>
                </c:pt>
                <c:pt idx="25" formatCode="0">
                  <c:v>14.917127071823204</c:v>
                </c:pt>
                <c:pt idx="26" formatCode="0">
                  <c:v>5.1724137931034484</c:v>
                </c:pt>
                <c:pt idx="27" formatCode="0">
                  <c:v>28.735632183908017</c:v>
                </c:pt>
                <c:pt idx="28" formatCode="0">
                  <c:v>34.285714285714285</c:v>
                </c:pt>
              </c:numCache>
            </c:numRef>
          </c:val>
        </c:ser>
        <c:ser>
          <c:idx val="3"/>
          <c:order val="3"/>
          <c:tx>
            <c:strRef>
              <c:f>Sheet1!$E$1</c:f>
              <c:strCache>
                <c:ptCount val="1"/>
                <c:pt idx="0">
                  <c:v>Jā, vienreiz</c:v>
                </c:pt>
              </c:strCache>
            </c:strRef>
          </c:tx>
          <c:spPr>
            <a:solidFill>
              <a:srgbClr val="FFC000"/>
            </a:solidFill>
          </c:spPr>
          <c:invertIfNegative val="0"/>
          <c:dLbls>
            <c:showLegendKey val="0"/>
            <c:showVal val="1"/>
            <c:showCatName val="0"/>
            <c:showSerName val="0"/>
            <c:showPercent val="0"/>
            <c:showBubbleSize val="0"/>
            <c:showLeaderLines val="0"/>
          </c:dLbls>
          <c:cat>
            <c:strRef>
              <c:f>Sheet1!$A$2:$A$30</c:f>
              <c:strCache>
                <c:ptCount val="29"/>
                <c:pt idx="0">
                  <c:v>VISI RESPONDENTI, n=414</c:v>
                </c:pt>
                <c:pt idx="1">
                  <c:v>DIBINĀŠANAS GADS*</c:v>
                </c:pt>
                <c:pt idx="2">
                  <c:v>Līdz 1991.gadam, n=41</c:v>
                </c:pt>
                <c:pt idx="3">
                  <c:v>1992.-2000.gads, n=148</c:v>
                </c:pt>
                <c:pt idx="4">
                  <c:v>2001.-2007.gads, n=123</c:v>
                </c:pt>
                <c:pt idx="5">
                  <c:v>2008.-2013.gads, n=101</c:v>
                </c:pt>
                <c:pt idx="6">
                  <c:v>DARBINIEKU SKAITS</c:v>
                </c:pt>
                <c:pt idx="7">
                  <c:v>1–9, n=278</c:v>
                </c:pt>
                <c:pt idx="8">
                  <c:v>10–19, n=51</c:v>
                </c:pt>
                <c:pt idx="9">
                  <c:v>20–49, n=39</c:v>
                </c:pt>
                <c:pt idx="10">
                  <c:v>50 un vairāk, n=46</c:v>
                </c:pt>
                <c:pt idx="11">
                  <c:v>NOZARE</c:v>
                </c:pt>
                <c:pt idx="12">
                  <c:v>Ražošanas un rūpniecības, n=31</c:v>
                </c:pt>
                <c:pt idx="13">
                  <c:v>Tirdzniecības, n=69</c:v>
                </c:pt>
                <c:pt idx="14">
                  <c:v>Pakalpojumu, n=143</c:v>
                </c:pt>
                <c:pt idx="15">
                  <c:v>Būvniecības, n=37</c:v>
                </c:pt>
                <c:pt idx="16">
                  <c:v>Cits, n=134</c:v>
                </c:pt>
                <c:pt idx="17">
                  <c:v>STATISTISKAIS REĢIONS</c:v>
                </c:pt>
                <c:pt idx="18">
                  <c:v>Rīgas, n=172</c:v>
                </c:pt>
                <c:pt idx="19">
                  <c:v>Pierīgas, n=31</c:v>
                </c:pt>
                <c:pt idx="20">
                  <c:v>Vidzemes, n=72</c:v>
                </c:pt>
                <c:pt idx="21">
                  <c:v>Kurzemes, n=59</c:v>
                </c:pt>
                <c:pt idx="22">
                  <c:v>Zemgales, n=42</c:v>
                </c:pt>
                <c:pt idx="23">
                  <c:v>Latgales, n=38</c:v>
                </c:pt>
                <c:pt idx="24">
                  <c:v>APGROZĪJUMS 2012.GADĀ*</c:v>
                </c:pt>
                <c:pt idx="25">
                  <c:v>Līdz 50 000 LVL, n=181</c:v>
                </c:pt>
                <c:pt idx="26">
                  <c:v>50 001 – 100 000 LVL, n=58</c:v>
                </c:pt>
                <c:pt idx="27">
                  <c:v>100 001 – 500 000 LVL, n=87</c:v>
                </c:pt>
                <c:pt idx="28">
                  <c:v>Vairāk par 500 000 LVL, n=70</c:v>
                </c:pt>
              </c:strCache>
            </c:strRef>
          </c:cat>
          <c:val>
            <c:numRef>
              <c:f>Sheet1!$E$2:$E$30</c:f>
              <c:numCache>
                <c:formatCode>General</c:formatCode>
                <c:ptCount val="29"/>
                <c:pt idx="0" formatCode="0">
                  <c:v>8</c:v>
                </c:pt>
                <c:pt idx="3" formatCode="0">
                  <c:v>7.4324324324324333</c:v>
                </c:pt>
                <c:pt idx="4" formatCode="0">
                  <c:v>9.7560975609756095</c:v>
                </c:pt>
                <c:pt idx="5" formatCode="0">
                  <c:v>7.9207920792079207</c:v>
                </c:pt>
                <c:pt idx="7" formatCode="0">
                  <c:v>8.9928057553956826</c:v>
                </c:pt>
                <c:pt idx="8" formatCode="0">
                  <c:v>5.8823529411764675</c:v>
                </c:pt>
                <c:pt idx="9" formatCode="0">
                  <c:v>5.1282051282051286</c:v>
                </c:pt>
                <c:pt idx="10" formatCode="0">
                  <c:v>2.1739130434782608</c:v>
                </c:pt>
                <c:pt idx="12" formatCode="0">
                  <c:v>9.6774193548387188</c:v>
                </c:pt>
                <c:pt idx="13" formatCode="0">
                  <c:v>5.7971014492753605</c:v>
                </c:pt>
                <c:pt idx="14" formatCode="0">
                  <c:v>9.0909090909091006</c:v>
                </c:pt>
                <c:pt idx="15" formatCode="0">
                  <c:v>8.1081081081080999</c:v>
                </c:pt>
                <c:pt idx="16" formatCode="0">
                  <c:v>5.970149253731349</c:v>
                </c:pt>
                <c:pt idx="18" formatCode="0">
                  <c:v>8.1395348837209394</c:v>
                </c:pt>
                <c:pt idx="19" formatCode="0">
                  <c:v>9.6774193548387188</c:v>
                </c:pt>
                <c:pt idx="20" formatCode="0">
                  <c:v>2.7777777777777826</c:v>
                </c:pt>
                <c:pt idx="21" formatCode="0">
                  <c:v>10.169491525423737</c:v>
                </c:pt>
                <c:pt idx="22" formatCode="0">
                  <c:v>7.1428571428571415</c:v>
                </c:pt>
                <c:pt idx="23" formatCode="0">
                  <c:v>7.8947368421052531</c:v>
                </c:pt>
                <c:pt idx="25" formatCode="0">
                  <c:v>9.3922651933701609</c:v>
                </c:pt>
                <c:pt idx="26" formatCode="0">
                  <c:v>8.6206896551724146</c:v>
                </c:pt>
                <c:pt idx="27" formatCode="0">
                  <c:v>5.7471264367816088</c:v>
                </c:pt>
                <c:pt idx="28" formatCode="0">
                  <c:v>4.2857142857142874</c:v>
                </c:pt>
              </c:numCache>
            </c:numRef>
          </c:val>
        </c:ser>
        <c:ser>
          <c:idx val="0"/>
          <c:order val="0"/>
          <c:tx>
            <c:strRef>
              <c:f>Sheet1!$B$1</c:f>
              <c:strCache>
                <c:ptCount val="1"/>
                <c:pt idx="0">
                  <c:v>Column2</c:v>
                </c:pt>
              </c:strCache>
            </c:strRef>
          </c:tx>
          <c:spPr>
            <a:solidFill>
              <a:srgbClr val="9BBB59">
                <a:lumMod val="75000"/>
              </a:srgbClr>
            </a:solidFill>
            <a:ln>
              <a:noFill/>
            </a:ln>
          </c:spPr>
          <c:invertIfNegative val="0"/>
          <c:dPt>
            <c:idx val="1"/>
            <c:invertIfNegative val="0"/>
            <c:bubble3D val="0"/>
            <c:spPr>
              <a:solidFill>
                <a:srgbClr val="9BBB59"/>
              </a:solidFill>
              <a:ln>
                <a:noFill/>
              </a:ln>
            </c:spPr>
          </c:dPt>
          <c:dPt>
            <c:idx val="2"/>
            <c:invertIfNegative val="0"/>
            <c:bubble3D val="0"/>
            <c:spPr>
              <a:solidFill>
                <a:srgbClr val="FFC000"/>
              </a:solidFill>
              <a:ln>
                <a:noFill/>
              </a:ln>
            </c:spPr>
          </c:dPt>
          <c:dPt>
            <c:idx val="3"/>
            <c:invertIfNegative val="0"/>
            <c:bubble3D val="0"/>
            <c:spPr>
              <a:solidFill>
                <a:srgbClr val="F79646">
                  <a:lumMod val="75000"/>
                </a:srgbClr>
              </a:solidFill>
              <a:ln>
                <a:noFill/>
              </a:ln>
            </c:spPr>
          </c:dPt>
          <c:dPt>
            <c:idx val="4"/>
            <c:invertIfNegative val="0"/>
            <c:bubble3D val="0"/>
            <c:spPr>
              <a:solidFill>
                <a:sysClr val="window" lastClr="FFFFFF">
                  <a:lumMod val="75000"/>
                </a:sysClr>
              </a:solidFill>
              <a:ln>
                <a:noFill/>
              </a:ln>
            </c:spPr>
          </c:dPt>
          <c:dLbls>
            <c:showLegendKey val="0"/>
            <c:showVal val="1"/>
            <c:showCatName val="0"/>
            <c:showSerName val="0"/>
            <c:showPercent val="0"/>
            <c:showBubbleSize val="0"/>
            <c:showLeaderLines val="0"/>
          </c:dLbls>
          <c:cat>
            <c:strRef>
              <c:f>Sheet1!$A$2:$A$30</c:f>
              <c:strCache>
                <c:ptCount val="29"/>
                <c:pt idx="0">
                  <c:v>VISI RESPONDENTI, n=414</c:v>
                </c:pt>
                <c:pt idx="1">
                  <c:v>DIBINĀŠANAS GADS*</c:v>
                </c:pt>
                <c:pt idx="2">
                  <c:v>Līdz 1991.gadam, n=41</c:v>
                </c:pt>
                <c:pt idx="3">
                  <c:v>1992.-2000.gads, n=148</c:v>
                </c:pt>
                <c:pt idx="4">
                  <c:v>2001.-2007.gads, n=123</c:v>
                </c:pt>
                <c:pt idx="5">
                  <c:v>2008.-2013.gads, n=101</c:v>
                </c:pt>
                <c:pt idx="6">
                  <c:v>DARBINIEKU SKAITS</c:v>
                </c:pt>
                <c:pt idx="7">
                  <c:v>1–9, n=278</c:v>
                </c:pt>
                <c:pt idx="8">
                  <c:v>10–19, n=51</c:v>
                </c:pt>
                <c:pt idx="9">
                  <c:v>20–49, n=39</c:v>
                </c:pt>
                <c:pt idx="10">
                  <c:v>50 un vairāk, n=46</c:v>
                </c:pt>
                <c:pt idx="11">
                  <c:v>NOZARE</c:v>
                </c:pt>
                <c:pt idx="12">
                  <c:v>Ražošanas un rūpniecības, n=31</c:v>
                </c:pt>
                <c:pt idx="13">
                  <c:v>Tirdzniecības, n=69</c:v>
                </c:pt>
                <c:pt idx="14">
                  <c:v>Pakalpojumu, n=143</c:v>
                </c:pt>
                <c:pt idx="15">
                  <c:v>Būvniecības, n=37</c:v>
                </c:pt>
                <c:pt idx="16">
                  <c:v>Cits, n=134</c:v>
                </c:pt>
                <c:pt idx="17">
                  <c:v>STATISTISKAIS REĢIONS</c:v>
                </c:pt>
                <c:pt idx="18">
                  <c:v>Rīgas, n=172</c:v>
                </c:pt>
                <c:pt idx="19">
                  <c:v>Pierīgas, n=31</c:v>
                </c:pt>
                <c:pt idx="20">
                  <c:v>Vidzemes, n=72</c:v>
                </c:pt>
                <c:pt idx="21">
                  <c:v>Kurzemes, n=59</c:v>
                </c:pt>
                <c:pt idx="22">
                  <c:v>Zemgales, n=42</c:v>
                </c:pt>
                <c:pt idx="23">
                  <c:v>Latgales, n=38</c:v>
                </c:pt>
                <c:pt idx="24">
                  <c:v>APGROZĪJUMS 2012.GADĀ*</c:v>
                </c:pt>
                <c:pt idx="25">
                  <c:v>Līdz 50 000 LVL, n=181</c:v>
                </c:pt>
                <c:pt idx="26">
                  <c:v>50 001 – 100 000 LVL, n=58</c:v>
                </c:pt>
                <c:pt idx="27">
                  <c:v>100 001 – 500 000 LVL, n=87</c:v>
                </c:pt>
                <c:pt idx="28">
                  <c:v>Vairāk par 500 000 LVL, n=70</c:v>
                </c:pt>
              </c:strCache>
            </c:strRef>
          </c:cat>
          <c:val>
            <c:numRef>
              <c:f>Sheet1!$B$2:$B$30</c:f>
              <c:numCache>
                <c:formatCode>General</c:formatCode>
                <c:ptCount val="29"/>
              </c:numCache>
            </c:numRef>
          </c:val>
        </c:ser>
        <c:ser>
          <c:idx val="4"/>
          <c:order val="4"/>
          <c:tx>
            <c:strRef>
              <c:f>Sheet1!$F$1</c:f>
              <c:strCache>
                <c:ptCount val="1"/>
                <c:pt idx="0">
                  <c:v>Nē</c:v>
                </c:pt>
              </c:strCache>
            </c:strRef>
          </c:tx>
          <c:spPr>
            <a:solidFill>
              <a:srgbClr val="F79646">
                <a:lumMod val="75000"/>
              </a:srgbClr>
            </a:solidFill>
          </c:spPr>
          <c:invertIfNegative val="0"/>
          <c:dLbls>
            <c:showLegendKey val="0"/>
            <c:showVal val="1"/>
            <c:showCatName val="0"/>
            <c:showSerName val="0"/>
            <c:showPercent val="0"/>
            <c:showBubbleSize val="0"/>
            <c:showLeaderLines val="0"/>
          </c:dLbls>
          <c:cat>
            <c:strRef>
              <c:f>Sheet1!$A$2:$A$30</c:f>
              <c:strCache>
                <c:ptCount val="29"/>
                <c:pt idx="0">
                  <c:v>VISI RESPONDENTI, n=414</c:v>
                </c:pt>
                <c:pt idx="1">
                  <c:v>DIBINĀŠANAS GADS*</c:v>
                </c:pt>
                <c:pt idx="2">
                  <c:v>Līdz 1991.gadam, n=41</c:v>
                </c:pt>
                <c:pt idx="3">
                  <c:v>1992.-2000.gads, n=148</c:v>
                </c:pt>
                <c:pt idx="4">
                  <c:v>2001.-2007.gads, n=123</c:v>
                </c:pt>
                <c:pt idx="5">
                  <c:v>2008.-2013.gads, n=101</c:v>
                </c:pt>
                <c:pt idx="6">
                  <c:v>DARBINIEKU SKAITS</c:v>
                </c:pt>
                <c:pt idx="7">
                  <c:v>1–9, n=278</c:v>
                </c:pt>
                <c:pt idx="8">
                  <c:v>10–19, n=51</c:v>
                </c:pt>
                <c:pt idx="9">
                  <c:v>20–49, n=39</c:v>
                </c:pt>
                <c:pt idx="10">
                  <c:v>50 un vairāk, n=46</c:v>
                </c:pt>
                <c:pt idx="11">
                  <c:v>NOZARE</c:v>
                </c:pt>
                <c:pt idx="12">
                  <c:v>Ražošanas un rūpniecības, n=31</c:v>
                </c:pt>
                <c:pt idx="13">
                  <c:v>Tirdzniecības, n=69</c:v>
                </c:pt>
                <c:pt idx="14">
                  <c:v>Pakalpojumu, n=143</c:v>
                </c:pt>
                <c:pt idx="15">
                  <c:v>Būvniecības, n=37</c:v>
                </c:pt>
                <c:pt idx="16">
                  <c:v>Cits, n=134</c:v>
                </c:pt>
                <c:pt idx="17">
                  <c:v>STATISTISKAIS REĢIONS</c:v>
                </c:pt>
                <c:pt idx="18">
                  <c:v>Rīgas, n=172</c:v>
                </c:pt>
                <c:pt idx="19">
                  <c:v>Pierīgas, n=31</c:v>
                </c:pt>
                <c:pt idx="20">
                  <c:v>Vidzemes, n=72</c:v>
                </c:pt>
                <c:pt idx="21">
                  <c:v>Kurzemes, n=59</c:v>
                </c:pt>
                <c:pt idx="22">
                  <c:v>Zemgales, n=42</c:v>
                </c:pt>
                <c:pt idx="23">
                  <c:v>Latgales, n=38</c:v>
                </c:pt>
                <c:pt idx="24">
                  <c:v>APGROZĪJUMS 2012.GADĀ*</c:v>
                </c:pt>
                <c:pt idx="25">
                  <c:v>Līdz 50 000 LVL, n=181</c:v>
                </c:pt>
                <c:pt idx="26">
                  <c:v>50 001 – 100 000 LVL, n=58</c:v>
                </c:pt>
                <c:pt idx="27">
                  <c:v>100 001 – 500 000 LVL, n=87</c:v>
                </c:pt>
                <c:pt idx="28">
                  <c:v>Vairāk par 500 000 LVL, n=70</c:v>
                </c:pt>
              </c:strCache>
            </c:strRef>
          </c:cat>
          <c:val>
            <c:numRef>
              <c:f>Sheet1!$F$2:$F$30</c:f>
              <c:numCache>
                <c:formatCode>General</c:formatCode>
                <c:ptCount val="29"/>
                <c:pt idx="0" formatCode="0">
                  <c:v>61.835748792270529</c:v>
                </c:pt>
                <c:pt idx="2" formatCode="0">
                  <c:v>41.463414634146325</c:v>
                </c:pt>
                <c:pt idx="3" formatCode="0">
                  <c:v>61.486486486486413</c:v>
                </c:pt>
                <c:pt idx="4" formatCode="0">
                  <c:v>67.479674796747972</c:v>
                </c:pt>
                <c:pt idx="5" formatCode="0">
                  <c:v>64.356435643564254</c:v>
                </c:pt>
                <c:pt idx="7" formatCode="0">
                  <c:v>66.546762589928065</c:v>
                </c:pt>
                <c:pt idx="8" formatCode="0">
                  <c:v>56.862745098039213</c:v>
                </c:pt>
                <c:pt idx="9" formatCode="0">
                  <c:v>53.846153846153896</c:v>
                </c:pt>
                <c:pt idx="10" formatCode="0">
                  <c:v>45.652173913043477</c:v>
                </c:pt>
                <c:pt idx="12" formatCode="0">
                  <c:v>35.4838709677419</c:v>
                </c:pt>
                <c:pt idx="13" formatCode="0">
                  <c:v>75.362318840579576</c:v>
                </c:pt>
                <c:pt idx="14" formatCode="0">
                  <c:v>59.440559440559461</c:v>
                </c:pt>
                <c:pt idx="15" formatCode="0">
                  <c:v>75.675675675675649</c:v>
                </c:pt>
                <c:pt idx="16" formatCode="0">
                  <c:v>59.701492537313392</c:v>
                </c:pt>
                <c:pt idx="18" formatCode="0">
                  <c:v>54.069767441860421</c:v>
                </c:pt>
                <c:pt idx="19" formatCode="0">
                  <c:v>61.29032258064516</c:v>
                </c:pt>
                <c:pt idx="20" formatCode="0">
                  <c:v>69.444444444444514</c:v>
                </c:pt>
                <c:pt idx="21" formatCode="0">
                  <c:v>76.271186440677965</c:v>
                </c:pt>
                <c:pt idx="22" formatCode="0">
                  <c:v>57.142857142857153</c:v>
                </c:pt>
                <c:pt idx="23" formatCode="0">
                  <c:v>65.789473684210606</c:v>
                </c:pt>
                <c:pt idx="25" formatCode="0">
                  <c:v>67.95580110497238</c:v>
                </c:pt>
                <c:pt idx="26" formatCode="0">
                  <c:v>72.41379310344827</c:v>
                </c:pt>
                <c:pt idx="27" formatCode="0">
                  <c:v>56.321839080459768</c:v>
                </c:pt>
                <c:pt idx="28" formatCode="0">
                  <c:v>45.714285714285715</c:v>
                </c:pt>
              </c:numCache>
            </c:numRef>
          </c:val>
        </c:ser>
        <c:dLbls>
          <c:showLegendKey val="0"/>
          <c:showVal val="0"/>
          <c:showCatName val="0"/>
          <c:showSerName val="0"/>
          <c:showPercent val="0"/>
          <c:showBubbleSize val="0"/>
        </c:dLbls>
        <c:gapWidth val="50"/>
        <c:overlap val="100"/>
        <c:axId val="187071488"/>
        <c:axId val="187069952"/>
      </c:barChart>
      <c:valAx>
        <c:axId val="187069952"/>
        <c:scaling>
          <c:orientation val="minMax"/>
        </c:scaling>
        <c:delete val="1"/>
        <c:axPos val="t"/>
        <c:numFmt formatCode="0%" sourceLinked="1"/>
        <c:majorTickMark val="out"/>
        <c:minorTickMark val="none"/>
        <c:tickLblPos val="none"/>
        <c:crossAx val="187071488"/>
        <c:crosses val="autoZero"/>
        <c:crossBetween val="between"/>
      </c:valAx>
      <c:catAx>
        <c:axId val="187071488"/>
        <c:scaling>
          <c:orientation val="maxMin"/>
        </c:scaling>
        <c:delete val="0"/>
        <c:axPos val="l"/>
        <c:majorTickMark val="out"/>
        <c:minorTickMark val="none"/>
        <c:tickLblPos val="nextTo"/>
        <c:crossAx val="187069952"/>
        <c:crosses val="autoZero"/>
        <c:auto val="1"/>
        <c:lblAlgn val="ctr"/>
        <c:lblOffset val="100"/>
        <c:noMultiLvlLbl val="0"/>
      </c:catAx>
    </c:plotArea>
    <c:legend>
      <c:legendPos val="t"/>
      <c:legendEntry>
        <c:idx val="3"/>
        <c:delete val="1"/>
      </c:legendEntry>
      <c:layout>
        <c:manualLayout>
          <c:xMode val="edge"/>
          <c:yMode val="edge"/>
          <c:x val="0.48002980488682967"/>
          <c:y val="6.1583032714517989E-2"/>
          <c:w val="0.4766029126741933"/>
          <c:h val="3.6697947003200018E-2"/>
        </c:manualLayout>
      </c:layout>
      <c:overlay val="0"/>
    </c:legend>
    <c:plotVisOnly val="1"/>
    <c:dispBlanksAs val="gap"/>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pēdējo trīs gadu laikā (2010. - 2012.) esat veikuši...? (%)</a:t>
            </a:r>
            <a:endParaRPr lang="en-US" sz="1050"/>
          </a:p>
        </c:rich>
      </c:tx>
      <c:layout>
        <c:manualLayout>
          <c:xMode val="edge"/>
          <c:yMode val="edge"/>
          <c:x val="0.19571697078535041"/>
          <c:y val="3.5734048527776882E-2"/>
        </c:manualLayout>
      </c:layout>
      <c:overlay val="0"/>
    </c:title>
    <c:autoTitleDeleted val="0"/>
    <c:plotArea>
      <c:layout>
        <c:manualLayout>
          <c:layoutTarget val="inner"/>
          <c:xMode val="edge"/>
          <c:yMode val="edge"/>
          <c:x val="0.16216453804518455"/>
          <c:y val="0.28560877488567266"/>
          <c:w val="0.64484848484848634"/>
          <c:h val="0.36238719068413422"/>
        </c:manualLayout>
      </c:layout>
      <c:barChart>
        <c:barDir val="col"/>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showLegendKey val="0"/>
            <c:showVal val="1"/>
            <c:showCatName val="0"/>
            <c:showSerName val="0"/>
            <c:showPercent val="0"/>
            <c:showBubbleSize val="0"/>
            <c:showLeaderLines val="0"/>
          </c:dLbls>
          <c:cat>
            <c:strRef>
              <c:f>Sheet1!$A$2:$A$4</c:f>
              <c:strCache>
                <c:ptCount val="3"/>
                <c:pt idx="0">
                  <c:v>Fundamentālos pētījumus</c:v>
                </c:pt>
                <c:pt idx="1">
                  <c:v>Lietišķos pētījumus</c:v>
                </c:pt>
                <c:pt idx="2">
                  <c:v>Eksperimentālās izstrādes</c:v>
                </c:pt>
              </c:strCache>
            </c:strRef>
          </c:cat>
          <c:val>
            <c:numRef>
              <c:f>Sheet1!$B$2:$B$4</c:f>
              <c:numCache>
                <c:formatCode>0</c:formatCode>
                <c:ptCount val="3"/>
                <c:pt idx="0">
                  <c:v>10.884353741496586</c:v>
                </c:pt>
                <c:pt idx="1">
                  <c:v>51.020408163265294</c:v>
                </c:pt>
                <c:pt idx="2">
                  <c:v>56.462585034013607</c:v>
                </c:pt>
              </c:numCache>
            </c:numRef>
          </c:val>
        </c:ser>
        <c:dLbls>
          <c:showLegendKey val="0"/>
          <c:showVal val="0"/>
          <c:showCatName val="0"/>
          <c:showSerName val="0"/>
          <c:showPercent val="0"/>
          <c:showBubbleSize val="0"/>
        </c:dLbls>
        <c:gapWidth val="200"/>
        <c:axId val="187116160"/>
        <c:axId val="187122048"/>
      </c:barChart>
      <c:catAx>
        <c:axId val="187116160"/>
        <c:scaling>
          <c:orientation val="minMax"/>
        </c:scaling>
        <c:delete val="0"/>
        <c:axPos val="b"/>
        <c:majorTickMark val="out"/>
        <c:minorTickMark val="none"/>
        <c:tickLblPos val="nextTo"/>
        <c:crossAx val="187122048"/>
        <c:crosses val="autoZero"/>
        <c:auto val="1"/>
        <c:lblAlgn val="ctr"/>
        <c:lblOffset val="100"/>
        <c:noMultiLvlLbl val="0"/>
      </c:catAx>
      <c:valAx>
        <c:axId val="187122048"/>
        <c:scaling>
          <c:orientation val="minMax"/>
        </c:scaling>
        <c:delete val="1"/>
        <c:axPos val="l"/>
        <c:numFmt formatCode="0" sourceLinked="1"/>
        <c:majorTickMark val="out"/>
        <c:minorTickMark val="none"/>
        <c:tickLblPos val="none"/>
        <c:crossAx val="187116160"/>
        <c:crosses val="autoZero"/>
        <c:crossBetween val="between"/>
      </c:valAx>
    </c:plotArea>
    <c:plotVisOnly val="1"/>
    <c:dispBlanksAs val="gap"/>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050"/>
            </a:pPr>
            <a:r>
              <a:rPr lang="lv-LV" sz="1050"/>
              <a:t>Vai pēdējo trīs gadu laikā (2010. - 2012.) esat veikuši...? (%)</a:t>
            </a:r>
            <a:endParaRPr lang="en-US" sz="1050"/>
          </a:p>
        </c:rich>
      </c:tx>
      <c:layout>
        <c:manualLayout>
          <c:xMode val="edge"/>
          <c:yMode val="edge"/>
          <c:x val="0.20847614143925791"/>
          <c:y val="1.0946498986204924E-2"/>
        </c:manualLayout>
      </c:layout>
      <c:overlay val="0"/>
    </c:title>
    <c:autoTitleDeleted val="0"/>
    <c:plotArea>
      <c:layout>
        <c:manualLayout>
          <c:layoutTarget val="inner"/>
          <c:xMode val="edge"/>
          <c:yMode val="edge"/>
          <c:x val="0.4003357235847913"/>
          <c:y val="0.14102076103046371"/>
          <c:w val="0.59966427641520892"/>
          <c:h val="0.67692204351233365"/>
        </c:manualLayout>
      </c:layout>
      <c:barChart>
        <c:barDir val="bar"/>
        <c:grouping val="stacked"/>
        <c:varyColors val="0"/>
        <c:ser>
          <c:idx val="1"/>
          <c:order val="1"/>
          <c:tx>
            <c:strRef>
              <c:f>Sheet1!$C$1</c:f>
              <c:strCache>
                <c:ptCount val="1"/>
                <c:pt idx="0">
                  <c:v>Fundamentālos pētījumus</c:v>
                </c:pt>
              </c:strCache>
            </c:strRef>
          </c:tx>
          <c:spPr>
            <a:solidFill>
              <a:srgbClr val="9BBB59">
                <a:lumMod val="75000"/>
              </a:srgbClr>
            </a:solidFill>
          </c:spPr>
          <c:invertIfNegative val="0"/>
          <c:dLbls>
            <c:showLegendKey val="0"/>
            <c:showVal val="1"/>
            <c:showCatName val="0"/>
            <c:showSerName val="0"/>
            <c:showPercent val="0"/>
            <c:showBubbleSize val="0"/>
            <c:showLeaderLines val="0"/>
          </c:dLbls>
          <c:cat>
            <c:strRef>
              <c:f>Sheet1!$A$2:$A$12</c:f>
              <c:strCache>
                <c:ptCount val="11"/>
                <c:pt idx="0">
                  <c:v>KOPĀ, n=147</c:v>
                </c:pt>
                <c:pt idx="1">
                  <c:v>DIBINĀŠANAS GADS*</c:v>
                </c:pt>
                <c:pt idx="2">
                  <c:v>Līdz 1991.gadam, n=22**</c:v>
                </c:pt>
                <c:pt idx="3">
                  <c:v>1992.-2000.gads, n=56</c:v>
                </c:pt>
                <c:pt idx="4">
                  <c:v>2001.-2007.gads, n=36</c:v>
                </c:pt>
                <c:pt idx="5">
                  <c:v>2008.-2013.gads, n=32</c:v>
                </c:pt>
                <c:pt idx="6">
                  <c:v>APGROZĪJUMS 2012.GADĀ*</c:v>
                </c:pt>
                <c:pt idx="7">
                  <c:v>Līdz 50 000 LVL, n=53</c:v>
                </c:pt>
                <c:pt idx="8">
                  <c:v>50 001 – 100 000 LVL, n=16**</c:v>
                </c:pt>
                <c:pt idx="9">
                  <c:v>100 001 – 500 000 LVL, n=37</c:v>
                </c:pt>
                <c:pt idx="10">
                  <c:v>Vairāk par 500 000 LVL, n=34</c:v>
                </c:pt>
              </c:strCache>
            </c:strRef>
          </c:cat>
          <c:val>
            <c:numRef>
              <c:f>Sheet1!$C$2:$C$12</c:f>
              <c:numCache>
                <c:formatCode>General</c:formatCode>
                <c:ptCount val="11"/>
                <c:pt idx="0" formatCode="0">
                  <c:v>10.884353741496589</c:v>
                </c:pt>
                <c:pt idx="2" formatCode="0">
                  <c:v>13.636363636363637</c:v>
                </c:pt>
                <c:pt idx="3" formatCode="0">
                  <c:v>5.3571428571428514</c:v>
                </c:pt>
                <c:pt idx="4" formatCode="0">
                  <c:v>8.3333333333333357</c:v>
                </c:pt>
                <c:pt idx="5" formatCode="0">
                  <c:v>21.875</c:v>
                </c:pt>
                <c:pt idx="7" formatCode="0">
                  <c:v>7.5471698113207548</c:v>
                </c:pt>
                <c:pt idx="9" formatCode="0">
                  <c:v>8.1081081081080999</c:v>
                </c:pt>
                <c:pt idx="10" formatCode="0">
                  <c:v>17.647058823529431</c:v>
                </c:pt>
              </c:numCache>
            </c:numRef>
          </c:val>
        </c:ser>
        <c:ser>
          <c:idx val="2"/>
          <c:order val="2"/>
          <c:tx>
            <c:strRef>
              <c:f>Sheet1!$D$1</c:f>
              <c:strCache>
                <c:ptCount val="1"/>
                <c:pt idx="0">
                  <c:v>Column2</c:v>
                </c:pt>
              </c:strCache>
            </c:strRef>
          </c:tx>
          <c:spPr>
            <a:noFill/>
          </c:spPr>
          <c:invertIfNegative val="0"/>
          <c:cat>
            <c:strRef>
              <c:f>Sheet1!$A$2:$A$12</c:f>
              <c:strCache>
                <c:ptCount val="11"/>
                <c:pt idx="0">
                  <c:v>KOPĀ, n=147</c:v>
                </c:pt>
                <c:pt idx="1">
                  <c:v>DIBINĀŠANAS GADS*</c:v>
                </c:pt>
                <c:pt idx="2">
                  <c:v>Līdz 1991.gadam, n=22**</c:v>
                </c:pt>
                <c:pt idx="3">
                  <c:v>1992.-2000.gads, n=56</c:v>
                </c:pt>
                <c:pt idx="4">
                  <c:v>2001.-2007.gads, n=36</c:v>
                </c:pt>
                <c:pt idx="5">
                  <c:v>2008.-2013.gads, n=32</c:v>
                </c:pt>
                <c:pt idx="6">
                  <c:v>APGROZĪJUMS 2012.GADĀ*</c:v>
                </c:pt>
                <c:pt idx="7">
                  <c:v>Līdz 50 000 LVL, n=53</c:v>
                </c:pt>
                <c:pt idx="8">
                  <c:v>50 001 – 100 000 LVL, n=16**</c:v>
                </c:pt>
                <c:pt idx="9">
                  <c:v>100 001 – 500 000 LVL, n=37</c:v>
                </c:pt>
                <c:pt idx="10">
                  <c:v>Vairāk par 500 000 LVL, n=34</c:v>
                </c:pt>
              </c:strCache>
            </c:strRef>
          </c:cat>
          <c:val>
            <c:numRef>
              <c:f>Sheet1!$D$2:$D$12</c:f>
              <c:numCache>
                <c:formatCode>General</c:formatCode>
                <c:ptCount val="11"/>
                <c:pt idx="0" formatCode="0">
                  <c:v>20.990646258503364</c:v>
                </c:pt>
                <c:pt idx="2" formatCode="0">
                  <c:v>18.238636363636346</c:v>
                </c:pt>
                <c:pt idx="3" formatCode="0">
                  <c:v>26.517857142857178</c:v>
                </c:pt>
                <c:pt idx="4" formatCode="0">
                  <c:v>23.541666666666664</c:v>
                </c:pt>
                <c:pt idx="5" formatCode="0">
                  <c:v>10</c:v>
                </c:pt>
                <c:pt idx="7" formatCode="0">
                  <c:v>24.327830188679243</c:v>
                </c:pt>
                <c:pt idx="8" formatCode="0">
                  <c:v>31.875</c:v>
                </c:pt>
                <c:pt idx="9" formatCode="0">
                  <c:v>23.766891891891888</c:v>
                </c:pt>
                <c:pt idx="10" formatCode="0">
                  <c:v>14.227941176470567</c:v>
                </c:pt>
              </c:numCache>
            </c:numRef>
          </c:val>
        </c:ser>
        <c:ser>
          <c:idx val="3"/>
          <c:order val="3"/>
          <c:tx>
            <c:strRef>
              <c:f>Sheet1!$E$1</c:f>
              <c:strCache>
                <c:ptCount val="1"/>
                <c:pt idx="0">
                  <c:v>Lietišķos pētījumus</c:v>
                </c:pt>
              </c:strCache>
            </c:strRef>
          </c:tx>
          <c:spPr>
            <a:solidFill>
              <a:srgbClr val="FFC000"/>
            </a:solidFill>
          </c:spPr>
          <c:invertIfNegative val="0"/>
          <c:dLbls>
            <c:showLegendKey val="0"/>
            <c:showVal val="1"/>
            <c:showCatName val="0"/>
            <c:showSerName val="0"/>
            <c:showPercent val="0"/>
            <c:showBubbleSize val="0"/>
            <c:showLeaderLines val="0"/>
          </c:dLbls>
          <c:cat>
            <c:strRef>
              <c:f>Sheet1!$A$2:$A$12</c:f>
              <c:strCache>
                <c:ptCount val="11"/>
                <c:pt idx="0">
                  <c:v>KOPĀ, n=147</c:v>
                </c:pt>
                <c:pt idx="1">
                  <c:v>DIBINĀŠANAS GADS*</c:v>
                </c:pt>
                <c:pt idx="2">
                  <c:v>Līdz 1991.gadam, n=22**</c:v>
                </c:pt>
                <c:pt idx="3">
                  <c:v>1992.-2000.gads, n=56</c:v>
                </c:pt>
                <c:pt idx="4">
                  <c:v>2001.-2007.gads, n=36</c:v>
                </c:pt>
                <c:pt idx="5">
                  <c:v>2008.-2013.gads, n=32</c:v>
                </c:pt>
                <c:pt idx="6">
                  <c:v>APGROZĪJUMS 2012.GADĀ*</c:v>
                </c:pt>
                <c:pt idx="7">
                  <c:v>Līdz 50 000 LVL, n=53</c:v>
                </c:pt>
                <c:pt idx="8">
                  <c:v>50 001 – 100 000 LVL, n=16**</c:v>
                </c:pt>
                <c:pt idx="9">
                  <c:v>100 001 – 500 000 LVL, n=37</c:v>
                </c:pt>
                <c:pt idx="10">
                  <c:v>Vairāk par 500 000 LVL, n=34</c:v>
                </c:pt>
              </c:strCache>
            </c:strRef>
          </c:cat>
          <c:val>
            <c:numRef>
              <c:f>Sheet1!$E$2:$E$12</c:f>
              <c:numCache>
                <c:formatCode>General</c:formatCode>
                <c:ptCount val="11"/>
                <c:pt idx="0" formatCode="0">
                  <c:v>51.020408163265294</c:v>
                </c:pt>
                <c:pt idx="2" formatCode="0">
                  <c:v>40.909090909090907</c:v>
                </c:pt>
                <c:pt idx="3" formatCode="0">
                  <c:v>48.214285714285715</c:v>
                </c:pt>
                <c:pt idx="4" formatCode="0">
                  <c:v>69.444444444444514</c:v>
                </c:pt>
                <c:pt idx="5" formatCode="0">
                  <c:v>40.625000000000036</c:v>
                </c:pt>
                <c:pt idx="7" formatCode="0">
                  <c:v>54.716981132075482</c:v>
                </c:pt>
                <c:pt idx="8" formatCode="0">
                  <c:v>43.75</c:v>
                </c:pt>
                <c:pt idx="9" formatCode="0">
                  <c:v>40.54054054054054</c:v>
                </c:pt>
                <c:pt idx="10" formatCode="0">
                  <c:v>64.705882352941046</c:v>
                </c:pt>
              </c:numCache>
            </c:numRef>
          </c:val>
        </c:ser>
        <c:ser>
          <c:idx val="0"/>
          <c:order val="0"/>
          <c:tx>
            <c:strRef>
              <c:f>Sheet1!$B$1</c:f>
              <c:strCache>
                <c:ptCount val="1"/>
                <c:pt idx="0">
                  <c:v>Column12</c:v>
                </c:pt>
              </c:strCache>
            </c:strRef>
          </c:tx>
          <c:spPr>
            <a:solidFill>
              <a:srgbClr val="9BBB59">
                <a:lumMod val="75000"/>
              </a:srgbClr>
            </a:solidFill>
            <a:ln>
              <a:noFill/>
            </a:ln>
          </c:spPr>
          <c:invertIfNegative val="0"/>
          <c:dPt>
            <c:idx val="1"/>
            <c:invertIfNegative val="0"/>
            <c:bubble3D val="0"/>
            <c:spPr>
              <a:solidFill>
                <a:srgbClr val="9BBB59"/>
              </a:solidFill>
              <a:ln>
                <a:noFill/>
              </a:ln>
            </c:spPr>
          </c:dPt>
          <c:dPt>
            <c:idx val="2"/>
            <c:invertIfNegative val="0"/>
            <c:bubble3D val="0"/>
            <c:spPr>
              <a:solidFill>
                <a:srgbClr val="FFC000"/>
              </a:solidFill>
              <a:ln>
                <a:noFill/>
              </a:ln>
            </c:spPr>
          </c:dPt>
          <c:dPt>
            <c:idx val="3"/>
            <c:invertIfNegative val="0"/>
            <c:bubble3D val="0"/>
            <c:spPr>
              <a:solidFill>
                <a:srgbClr val="F79646">
                  <a:lumMod val="75000"/>
                </a:srgbClr>
              </a:solidFill>
              <a:ln>
                <a:noFill/>
              </a:ln>
            </c:spPr>
          </c:dPt>
          <c:dPt>
            <c:idx val="4"/>
            <c:invertIfNegative val="0"/>
            <c:bubble3D val="0"/>
            <c:spPr>
              <a:solidFill>
                <a:sysClr val="window" lastClr="FFFFFF">
                  <a:lumMod val="75000"/>
                </a:sysClr>
              </a:solidFill>
              <a:ln>
                <a:noFill/>
              </a:ln>
            </c:spPr>
          </c:dPt>
          <c:dLbls>
            <c:showLegendKey val="0"/>
            <c:showVal val="1"/>
            <c:showCatName val="0"/>
            <c:showSerName val="0"/>
            <c:showPercent val="0"/>
            <c:showBubbleSize val="0"/>
            <c:showLeaderLines val="0"/>
          </c:dLbls>
          <c:cat>
            <c:strRef>
              <c:f>Sheet1!$A$2:$A$12</c:f>
              <c:strCache>
                <c:ptCount val="11"/>
                <c:pt idx="0">
                  <c:v>KOPĀ, n=147</c:v>
                </c:pt>
                <c:pt idx="1">
                  <c:v>DIBINĀŠANAS GADS*</c:v>
                </c:pt>
                <c:pt idx="2">
                  <c:v>Līdz 1991.gadam, n=22**</c:v>
                </c:pt>
                <c:pt idx="3">
                  <c:v>1992.-2000.gads, n=56</c:v>
                </c:pt>
                <c:pt idx="4">
                  <c:v>2001.-2007.gads, n=36</c:v>
                </c:pt>
                <c:pt idx="5">
                  <c:v>2008.-2013.gads, n=32</c:v>
                </c:pt>
                <c:pt idx="6">
                  <c:v>APGROZĪJUMS 2012.GADĀ*</c:v>
                </c:pt>
                <c:pt idx="7">
                  <c:v>Līdz 50 000 LVL, n=53</c:v>
                </c:pt>
                <c:pt idx="8">
                  <c:v>50 001 – 100 000 LVL, n=16**</c:v>
                </c:pt>
                <c:pt idx="9">
                  <c:v>100 001 – 500 000 LVL, n=37</c:v>
                </c:pt>
                <c:pt idx="10">
                  <c:v>Vairāk par 500 000 LVL, n=34</c:v>
                </c:pt>
              </c:strCache>
            </c:strRef>
          </c:cat>
          <c:val>
            <c:numRef>
              <c:f>Sheet1!$B$2:$B$12</c:f>
              <c:numCache>
                <c:formatCode>General</c:formatCode>
                <c:ptCount val="11"/>
              </c:numCache>
            </c:numRef>
          </c:val>
        </c:ser>
        <c:ser>
          <c:idx val="4"/>
          <c:order val="4"/>
          <c:tx>
            <c:strRef>
              <c:f>Sheet1!$F$1</c:f>
              <c:strCache>
                <c:ptCount val="1"/>
                <c:pt idx="0">
                  <c:v>Column3</c:v>
                </c:pt>
              </c:strCache>
            </c:strRef>
          </c:tx>
          <c:spPr>
            <a:noFill/>
          </c:spPr>
          <c:invertIfNegative val="0"/>
          <c:cat>
            <c:strRef>
              <c:f>Sheet1!$A$2:$A$12</c:f>
              <c:strCache>
                <c:ptCount val="11"/>
                <c:pt idx="0">
                  <c:v>KOPĀ, n=147</c:v>
                </c:pt>
                <c:pt idx="1">
                  <c:v>DIBINĀŠANAS GADS*</c:v>
                </c:pt>
                <c:pt idx="2">
                  <c:v>Līdz 1991.gadam, n=22**</c:v>
                </c:pt>
                <c:pt idx="3">
                  <c:v>1992.-2000.gads, n=56</c:v>
                </c:pt>
                <c:pt idx="4">
                  <c:v>2001.-2007.gads, n=36</c:v>
                </c:pt>
                <c:pt idx="5">
                  <c:v>2008.-2013.gads, n=32</c:v>
                </c:pt>
                <c:pt idx="6">
                  <c:v>APGROZĪJUMS 2012.GADĀ*</c:v>
                </c:pt>
                <c:pt idx="7">
                  <c:v>Līdz 50 000 LVL, n=53</c:v>
                </c:pt>
                <c:pt idx="8">
                  <c:v>50 001 – 100 000 LVL, n=16**</c:v>
                </c:pt>
                <c:pt idx="9">
                  <c:v>100 001 – 500 000 LVL, n=37</c:v>
                </c:pt>
                <c:pt idx="10">
                  <c:v>Vairāk par 500 000 LVL, n=34</c:v>
                </c:pt>
              </c:strCache>
            </c:strRef>
          </c:cat>
          <c:val>
            <c:numRef>
              <c:f>Sheet1!$F$2:$F$12</c:f>
              <c:numCache>
                <c:formatCode>General</c:formatCode>
                <c:ptCount val="11"/>
                <c:pt idx="0" formatCode="0">
                  <c:v>28.424036281179095</c:v>
                </c:pt>
                <c:pt idx="2" formatCode="0">
                  <c:v>38.535353535353536</c:v>
                </c:pt>
                <c:pt idx="3" formatCode="0">
                  <c:v>31.230158730158731</c:v>
                </c:pt>
                <c:pt idx="4" formatCode="0">
                  <c:v>10</c:v>
                </c:pt>
                <c:pt idx="5" formatCode="0">
                  <c:v>38.819444444444372</c:v>
                </c:pt>
                <c:pt idx="7" formatCode="0">
                  <c:v>24.72746331236895</c:v>
                </c:pt>
                <c:pt idx="8" formatCode="0">
                  <c:v>35.694444444444407</c:v>
                </c:pt>
                <c:pt idx="9" formatCode="0">
                  <c:v>38.903903903903903</c:v>
                </c:pt>
                <c:pt idx="10" formatCode="0">
                  <c:v>14.738562091503269</c:v>
                </c:pt>
              </c:numCache>
            </c:numRef>
          </c:val>
        </c:ser>
        <c:ser>
          <c:idx val="5"/>
          <c:order val="5"/>
          <c:tx>
            <c:strRef>
              <c:f>Sheet1!$G$1</c:f>
              <c:strCache>
                <c:ptCount val="1"/>
                <c:pt idx="0">
                  <c:v>Eksperimentālās izstrādes</c:v>
                </c:pt>
              </c:strCache>
            </c:strRef>
          </c:tx>
          <c:spPr>
            <a:solidFill>
              <a:srgbClr val="F79646">
                <a:lumMod val="75000"/>
              </a:srgbClr>
            </a:solidFill>
          </c:spPr>
          <c:invertIfNegative val="0"/>
          <c:dLbls>
            <c:showLegendKey val="0"/>
            <c:showVal val="1"/>
            <c:showCatName val="0"/>
            <c:showSerName val="0"/>
            <c:showPercent val="0"/>
            <c:showBubbleSize val="0"/>
            <c:showLeaderLines val="0"/>
          </c:dLbls>
          <c:cat>
            <c:strRef>
              <c:f>Sheet1!$A$2:$A$12</c:f>
              <c:strCache>
                <c:ptCount val="11"/>
                <c:pt idx="0">
                  <c:v>KOPĀ, n=147</c:v>
                </c:pt>
                <c:pt idx="1">
                  <c:v>DIBINĀŠANAS GADS*</c:v>
                </c:pt>
                <c:pt idx="2">
                  <c:v>Līdz 1991.gadam, n=22**</c:v>
                </c:pt>
                <c:pt idx="3">
                  <c:v>1992.-2000.gads, n=56</c:v>
                </c:pt>
                <c:pt idx="4">
                  <c:v>2001.-2007.gads, n=36</c:v>
                </c:pt>
                <c:pt idx="5">
                  <c:v>2008.-2013.gads, n=32</c:v>
                </c:pt>
                <c:pt idx="6">
                  <c:v>APGROZĪJUMS 2012.GADĀ*</c:v>
                </c:pt>
                <c:pt idx="7">
                  <c:v>Līdz 50 000 LVL, n=53</c:v>
                </c:pt>
                <c:pt idx="8">
                  <c:v>50 001 – 100 000 LVL, n=16**</c:v>
                </c:pt>
                <c:pt idx="9">
                  <c:v>100 001 – 500 000 LVL, n=37</c:v>
                </c:pt>
                <c:pt idx="10">
                  <c:v>Vairāk par 500 000 LVL, n=34</c:v>
                </c:pt>
              </c:strCache>
            </c:strRef>
          </c:cat>
          <c:val>
            <c:numRef>
              <c:f>Sheet1!$G$2:$G$12</c:f>
              <c:numCache>
                <c:formatCode>General</c:formatCode>
                <c:ptCount val="11"/>
                <c:pt idx="0" formatCode="0">
                  <c:v>56.462585034013607</c:v>
                </c:pt>
                <c:pt idx="2" formatCode="0">
                  <c:v>77.272727272727138</c:v>
                </c:pt>
                <c:pt idx="3" formatCode="0">
                  <c:v>57.142857142857153</c:v>
                </c:pt>
                <c:pt idx="4" formatCode="0">
                  <c:v>41.666666666666593</c:v>
                </c:pt>
                <c:pt idx="5" formatCode="0">
                  <c:v>59.375</c:v>
                </c:pt>
                <c:pt idx="7" formatCode="0">
                  <c:v>49.056603773584904</c:v>
                </c:pt>
                <c:pt idx="8" formatCode="0">
                  <c:v>81.25</c:v>
                </c:pt>
                <c:pt idx="9" formatCode="0">
                  <c:v>64.86486486486487</c:v>
                </c:pt>
                <c:pt idx="10" formatCode="0">
                  <c:v>47.058823529411754</c:v>
                </c:pt>
              </c:numCache>
            </c:numRef>
          </c:val>
        </c:ser>
        <c:dLbls>
          <c:showLegendKey val="0"/>
          <c:showVal val="0"/>
          <c:showCatName val="0"/>
          <c:showSerName val="0"/>
          <c:showPercent val="0"/>
          <c:showBubbleSize val="0"/>
        </c:dLbls>
        <c:gapWidth val="50"/>
        <c:overlap val="100"/>
        <c:axId val="187228928"/>
        <c:axId val="187210752"/>
      </c:barChart>
      <c:valAx>
        <c:axId val="187210752"/>
        <c:scaling>
          <c:orientation val="minMax"/>
        </c:scaling>
        <c:delete val="1"/>
        <c:axPos val="t"/>
        <c:numFmt formatCode="0" sourceLinked="1"/>
        <c:majorTickMark val="out"/>
        <c:minorTickMark val="none"/>
        <c:tickLblPos val="none"/>
        <c:crossAx val="187228928"/>
        <c:crosses val="autoZero"/>
        <c:crossBetween val="between"/>
      </c:valAx>
      <c:catAx>
        <c:axId val="187228928"/>
        <c:scaling>
          <c:orientation val="maxMin"/>
        </c:scaling>
        <c:delete val="0"/>
        <c:axPos val="l"/>
        <c:majorTickMark val="out"/>
        <c:minorTickMark val="none"/>
        <c:tickLblPos val="nextTo"/>
        <c:crossAx val="187210752"/>
        <c:crosses val="autoZero"/>
        <c:auto val="1"/>
        <c:lblAlgn val="ctr"/>
        <c:lblOffset val="100"/>
        <c:noMultiLvlLbl val="0"/>
      </c:catAx>
    </c:plotArea>
    <c:legend>
      <c:legendPos val="t"/>
      <c:legendEntry>
        <c:idx val="1"/>
        <c:delete val="1"/>
      </c:legendEntry>
      <c:legendEntry>
        <c:idx val="3"/>
        <c:delete val="1"/>
      </c:legendEntry>
      <c:legendEntry>
        <c:idx val="4"/>
        <c:delete val="1"/>
      </c:legendEntry>
      <c:layout>
        <c:manualLayout>
          <c:xMode val="edge"/>
          <c:yMode val="edge"/>
          <c:x val="0.13978525411596304"/>
          <c:y val="6.1583032714517989E-2"/>
          <c:w val="0.86021474588403657"/>
          <c:h val="5.7134007538157304E-2"/>
        </c:manualLayout>
      </c:layout>
      <c:overlay val="0"/>
    </c:legend>
    <c:plotVisOnly val="1"/>
    <c:dispBlanksAs val="gap"/>
    <c:showDLblsOverMax val="0"/>
  </c:chart>
  <c:spPr>
    <a:ln w="12676">
      <a:solidFill>
        <a:schemeClr val="bg1">
          <a:lumMod val="50000"/>
        </a:schemeClr>
      </a:solidFill>
    </a:ln>
  </c:spPr>
  <c:txPr>
    <a:bodyPr/>
    <a:lstStyle/>
    <a:p>
      <a:pPr>
        <a:defRPr sz="1000">
          <a:latin typeface="+mn-lt"/>
          <a:cs typeface="Arial" pitchFamily="34" charset="0"/>
        </a:defRPr>
      </a:pPr>
      <a:endParaRPr lang="lv-LV"/>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cdr:x>
      <cdr:y>0.96794</cdr:y>
    </cdr:from>
    <cdr:to>
      <cdr:x>1</cdr:x>
      <cdr:y>1</cdr:y>
    </cdr:to>
    <cdr:sp macro="" textlink="">
      <cdr:nvSpPr>
        <cdr:cNvPr id="5" name="TextBox 1"/>
        <cdr:cNvSpPr txBox="1"/>
      </cdr:nvSpPr>
      <cdr:spPr>
        <a:xfrm xmlns:a="http://schemas.openxmlformats.org/drawingml/2006/main">
          <a:off x="0" y="7477125"/>
          <a:ext cx="6067425" cy="2476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visi respondenti, kuri</a:t>
          </a:r>
          <a:r>
            <a:rPr lang="lv-LV" sz="900" i="1" baseline="0">
              <a:latin typeface="+mn-lt"/>
              <a:cs typeface="Arial" pitchFamily="34" charset="0"/>
            </a:rPr>
            <a:t> snieguši konkrētu atbildi uz konkrēto jautājumu</a:t>
          </a:r>
          <a:endParaRPr lang="lv-LV" sz="900" i="1">
            <a:latin typeface="+mn-lt"/>
            <a:cs typeface="Arial" pitchFamily="34"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cdr:x>
      <cdr:y>0.84716</cdr:y>
    </cdr:from>
    <cdr:to>
      <cdr:x>1</cdr:x>
      <cdr:y>1</cdr:y>
    </cdr:to>
    <cdr:sp macro="" textlink="">
      <cdr:nvSpPr>
        <cdr:cNvPr id="5" name="TextBox 1"/>
        <cdr:cNvSpPr txBox="1"/>
      </cdr:nvSpPr>
      <cdr:spPr>
        <a:xfrm xmlns:a="http://schemas.openxmlformats.org/drawingml/2006/main">
          <a:off x="0" y="1847850"/>
          <a:ext cx="5972175" cy="3333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veikuši ieguldījumus pētniecībā un attīstībā pēdējo trīs gadu laikā un snieguši atbildi, n=105</a:t>
          </a:r>
        </a:p>
      </cdr:txBody>
    </cdr:sp>
  </cdr:relSizeAnchor>
</c:userShapes>
</file>

<file path=word/drawings/drawing11.xml><?xml version="1.0" encoding="utf-8"?>
<c:userShapes xmlns:c="http://schemas.openxmlformats.org/drawingml/2006/chart">
  <cdr:relSizeAnchor xmlns:cdr="http://schemas.openxmlformats.org/drawingml/2006/chartDrawing">
    <cdr:from>
      <cdr:x>0</cdr:x>
      <cdr:y>0.84716</cdr:y>
    </cdr:from>
    <cdr:to>
      <cdr:x>1</cdr:x>
      <cdr:y>1</cdr:y>
    </cdr:to>
    <cdr:sp macro="" textlink="">
      <cdr:nvSpPr>
        <cdr:cNvPr id="5" name="TextBox 1"/>
        <cdr:cNvSpPr txBox="1"/>
      </cdr:nvSpPr>
      <cdr:spPr>
        <a:xfrm xmlns:a="http://schemas.openxmlformats.org/drawingml/2006/main">
          <a:off x="0" y="1847850"/>
          <a:ext cx="5972175" cy="3333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veikuši ieguldījumus pētniecībā un attīstībā pēdējo trīs gadu laikā un snieguši atbildi, n=95</a:t>
          </a:r>
        </a:p>
      </cdr:txBody>
    </cdr:sp>
  </cdr:relSizeAnchor>
</c:userShapes>
</file>

<file path=word/drawings/drawing12.xml><?xml version="1.0" encoding="utf-8"?>
<c:userShapes xmlns:c="http://schemas.openxmlformats.org/drawingml/2006/chart">
  <cdr:relSizeAnchor xmlns:cdr="http://schemas.openxmlformats.org/drawingml/2006/chartDrawing">
    <cdr:from>
      <cdr:x>0</cdr:x>
      <cdr:y>0.88627</cdr:y>
    </cdr:from>
    <cdr:to>
      <cdr:x>1</cdr:x>
      <cdr:y>1</cdr:y>
    </cdr:to>
    <cdr:sp macro="" textlink="">
      <cdr:nvSpPr>
        <cdr:cNvPr id="5" name="TextBox 1"/>
        <cdr:cNvSpPr txBox="1"/>
      </cdr:nvSpPr>
      <cdr:spPr>
        <a:xfrm xmlns:a="http://schemas.openxmlformats.org/drawingml/2006/main">
          <a:off x="0" y="2152650"/>
          <a:ext cx="5972175" cy="2762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veikuši ieguldījumus pētniecībā un attīstībā pēdējo trīs gadu laikā un snieguši atbildi, n=120</a:t>
          </a:r>
        </a:p>
      </cdr:txBody>
    </cdr:sp>
  </cdr:relSizeAnchor>
</c:userShapes>
</file>

<file path=word/drawings/drawing13.xml><?xml version="1.0" encoding="utf-8"?>
<c:userShapes xmlns:c="http://schemas.openxmlformats.org/drawingml/2006/chart">
  <cdr:relSizeAnchor xmlns:cdr="http://schemas.openxmlformats.org/drawingml/2006/chartDrawing">
    <cdr:from>
      <cdr:x>0</cdr:x>
      <cdr:y>0.89098</cdr:y>
    </cdr:from>
    <cdr:to>
      <cdr:x>1</cdr:x>
      <cdr:y>1</cdr:y>
    </cdr:to>
    <cdr:sp macro="" textlink="">
      <cdr:nvSpPr>
        <cdr:cNvPr id="5" name="TextBox 1"/>
        <cdr:cNvSpPr txBox="1"/>
      </cdr:nvSpPr>
      <cdr:spPr>
        <a:xfrm xmlns:a="http://schemas.openxmlformats.org/drawingml/2006/main">
          <a:off x="0" y="2257425"/>
          <a:ext cx="5972175" cy="2762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veikuši ieguldījumus pētniecībā un attīstībā pēdējo trīs gadu laikā un snieguši atbildi, n=118</a:t>
          </a:r>
        </a:p>
      </cdr:txBody>
    </cdr:sp>
  </cdr:relSizeAnchor>
</c:userShapes>
</file>

<file path=word/drawings/drawing14.xml><?xml version="1.0" encoding="utf-8"?>
<c:userShapes xmlns:c="http://schemas.openxmlformats.org/drawingml/2006/chart">
  <cdr:relSizeAnchor xmlns:cdr="http://schemas.openxmlformats.org/drawingml/2006/chartDrawing">
    <cdr:from>
      <cdr:x>0</cdr:x>
      <cdr:y>0.83529</cdr:y>
    </cdr:from>
    <cdr:to>
      <cdr:x>1</cdr:x>
      <cdr:y>1</cdr:y>
    </cdr:to>
    <cdr:sp macro="" textlink="">
      <cdr:nvSpPr>
        <cdr:cNvPr id="5" name="TextBox 1"/>
        <cdr:cNvSpPr txBox="1"/>
      </cdr:nvSpPr>
      <cdr:spPr>
        <a:xfrm xmlns:a="http://schemas.openxmlformats.org/drawingml/2006/main">
          <a:off x="0" y="2028825"/>
          <a:ext cx="5972175" cy="4000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kuriem ieguldījumi pētniecībā un attīstībā tiek uzskaitīti atsevišķi un snieguši atbildi, n=22*</a:t>
          </a:r>
        </a:p>
        <a:p xmlns:a="http://schemas.openxmlformats.org/drawingml/2006/main">
          <a:r>
            <a:rPr lang="lv-LV" sz="900" i="1">
              <a:latin typeface="+mn-lt"/>
              <a:cs typeface="Arial" pitchFamily="34" charset="0"/>
            </a:rPr>
            <a:t>Piezīme:  *Mazs respondentu skaits, datiem ir ilustratīva nozīme</a:t>
          </a:r>
        </a:p>
      </cdr:txBody>
    </cdr:sp>
  </cdr:relSizeAnchor>
</c:userShapes>
</file>

<file path=word/drawings/drawing15.xml><?xml version="1.0" encoding="utf-8"?>
<c:userShapes xmlns:c="http://schemas.openxmlformats.org/drawingml/2006/chart">
  <cdr:relSizeAnchor xmlns:cdr="http://schemas.openxmlformats.org/drawingml/2006/chartDrawing">
    <cdr:from>
      <cdr:x>0</cdr:x>
      <cdr:y>0.86274</cdr:y>
    </cdr:from>
    <cdr:to>
      <cdr:x>1</cdr:x>
      <cdr:y>1</cdr:y>
    </cdr:to>
    <cdr:sp macro="" textlink="">
      <cdr:nvSpPr>
        <cdr:cNvPr id="5" name="TextBox 1"/>
        <cdr:cNvSpPr txBox="1"/>
      </cdr:nvSpPr>
      <cdr:spPr>
        <a:xfrm xmlns:a="http://schemas.openxmlformats.org/drawingml/2006/main">
          <a:off x="0" y="2095499"/>
          <a:ext cx="5972175" cy="3333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veikuši ieguldījumus pētniecībā un attīstībā pēdējo trīs gadu laikā un snieguši atbildi, n=115</a:t>
          </a:r>
        </a:p>
      </cdr:txBody>
    </cdr:sp>
  </cdr:relSizeAnchor>
</c:userShapes>
</file>

<file path=word/drawings/drawing16.xml><?xml version="1.0" encoding="utf-8"?>
<c:userShapes xmlns:c="http://schemas.openxmlformats.org/drawingml/2006/chart">
  <cdr:relSizeAnchor xmlns:cdr="http://schemas.openxmlformats.org/drawingml/2006/chartDrawing">
    <cdr:from>
      <cdr:x>0</cdr:x>
      <cdr:y>0.80101</cdr:y>
    </cdr:from>
    <cdr:to>
      <cdr:x>1</cdr:x>
      <cdr:y>0.95385</cdr:y>
    </cdr:to>
    <cdr:sp macro="" textlink="">
      <cdr:nvSpPr>
        <cdr:cNvPr id="5" name="TextBox 1"/>
        <cdr:cNvSpPr txBox="1"/>
      </cdr:nvSpPr>
      <cdr:spPr>
        <a:xfrm xmlns:a="http://schemas.openxmlformats.org/drawingml/2006/main">
          <a:off x="0" y="1487769"/>
          <a:ext cx="5972175" cy="28388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kuriem ir ieviests jauns produkts un snieguši atbildi, n=63</a:t>
          </a:r>
        </a:p>
      </cdr:txBody>
    </cdr:sp>
  </cdr:relSizeAnchor>
</c:userShapes>
</file>

<file path=word/drawings/drawing17.xml><?xml version="1.0" encoding="utf-8"?>
<c:userShapes xmlns:c="http://schemas.openxmlformats.org/drawingml/2006/chart">
  <cdr:relSizeAnchor xmlns:cdr="http://schemas.openxmlformats.org/drawingml/2006/chartDrawing">
    <cdr:from>
      <cdr:x>0</cdr:x>
      <cdr:y>0.80101</cdr:y>
    </cdr:from>
    <cdr:to>
      <cdr:x>1</cdr:x>
      <cdr:y>0.95385</cdr:y>
    </cdr:to>
    <cdr:sp macro="" textlink="">
      <cdr:nvSpPr>
        <cdr:cNvPr id="5" name="TextBox 1"/>
        <cdr:cNvSpPr txBox="1"/>
      </cdr:nvSpPr>
      <cdr:spPr>
        <a:xfrm xmlns:a="http://schemas.openxmlformats.org/drawingml/2006/main">
          <a:off x="0" y="1487769"/>
          <a:ext cx="5972175" cy="28388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kuriem ir ieviests jauns pakalpojums un snieguši atbildi, n=62</a:t>
          </a:r>
        </a:p>
      </cdr:txBody>
    </cdr:sp>
  </cdr:relSizeAnchor>
</c:userShapes>
</file>

<file path=word/drawings/drawing18.xml><?xml version="1.0" encoding="utf-8"?>
<c:userShapes xmlns:c="http://schemas.openxmlformats.org/drawingml/2006/chart">
  <cdr:relSizeAnchor xmlns:cdr="http://schemas.openxmlformats.org/drawingml/2006/chartDrawing">
    <cdr:from>
      <cdr:x>0</cdr:x>
      <cdr:y>0.80101</cdr:y>
    </cdr:from>
    <cdr:to>
      <cdr:x>1</cdr:x>
      <cdr:y>0.95385</cdr:y>
    </cdr:to>
    <cdr:sp macro="" textlink="">
      <cdr:nvSpPr>
        <cdr:cNvPr id="5" name="TextBox 1"/>
        <cdr:cNvSpPr txBox="1"/>
      </cdr:nvSpPr>
      <cdr:spPr>
        <a:xfrm xmlns:a="http://schemas.openxmlformats.org/drawingml/2006/main">
          <a:off x="0" y="1487769"/>
          <a:ext cx="5972175" cy="28388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kuriem ir ieviesta jauna tehnoloģija un snieguši atbildi, n=57</a:t>
          </a:r>
        </a:p>
      </cdr:txBody>
    </cdr:sp>
  </cdr:relSizeAnchor>
</c:userShapes>
</file>

<file path=word/drawings/drawing19.xml><?xml version="1.0" encoding="utf-8"?>
<c:userShapes xmlns:c="http://schemas.openxmlformats.org/drawingml/2006/chart">
  <cdr:relSizeAnchor xmlns:cdr="http://schemas.openxmlformats.org/drawingml/2006/chartDrawing">
    <cdr:from>
      <cdr:x>0</cdr:x>
      <cdr:y>0.89098</cdr:y>
    </cdr:from>
    <cdr:to>
      <cdr:x>1</cdr:x>
      <cdr:y>1</cdr:y>
    </cdr:to>
    <cdr:sp macro="" textlink="">
      <cdr:nvSpPr>
        <cdr:cNvPr id="5" name="TextBox 1"/>
        <cdr:cNvSpPr txBox="1"/>
      </cdr:nvSpPr>
      <cdr:spPr>
        <a:xfrm xmlns:a="http://schemas.openxmlformats.org/drawingml/2006/main">
          <a:off x="0" y="2257425"/>
          <a:ext cx="5972175" cy="2762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veikuši ieguldījumus pētniecībā un attīstībā pēdējo trīs gadu laikā un snieguši atbildi, n=114</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0.95804</cdr:y>
    </cdr:from>
    <cdr:to>
      <cdr:x>1</cdr:x>
      <cdr:y>1</cdr:y>
    </cdr:to>
    <cdr:sp macro="" textlink="">
      <cdr:nvSpPr>
        <cdr:cNvPr id="5" name="TextBox 1"/>
        <cdr:cNvSpPr txBox="1"/>
      </cdr:nvSpPr>
      <cdr:spPr>
        <a:xfrm xmlns:a="http://schemas.openxmlformats.org/drawingml/2006/main">
          <a:off x="0" y="5219700"/>
          <a:ext cx="5972175"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visi respondenti, n=414</a:t>
          </a:r>
        </a:p>
      </cdr:txBody>
    </cdr:sp>
  </cdr:relSizeAnchor>
</c:userShapes>
</file>

<file path=word/drawings/drawing20.xml><?xml version="1.0" encoding="utf-8"?>
<c:userShapes xmlns:c="http://schemas.openxmlformats.org/drawingml/2006/chart">
  <cdr:relSizeAnchor xmlns:cdr="http://schemas.openxmlformats.org/drawingml/2006/chartDrawing">
    <cdr:from>
      <cdr:x>0</cdr:x>
      <cdr:y>0.89098</cdr:y>
    </cdr:from>
    <cdr:to>
      <cdr:x>1</cdr:x>
      <cdr:y>1</cdr:y>
    </cdr:to>
    <cdr:sp macro="" textlink="">
      <cdr:nvSpPr>
        <cdr:cNvPr id="5" name="TextBox 1"/>
        <cdr:cNvSpPr txBox="1"/>
      </cdr:nvSpPr>
      <cdr:spPr>
        <a:xfrm xmlns:a="http://schemas.openxmlformats.org/drawingml/2006/main">
          <a:off x="0" y="2257425"/>
          <a:ext cx="5972175" cy="2762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veikuši ieguldījumus pētniecībā un attīstībā pēdējo trīs gadu laikā un snieguši atbildi, n=113</a:t>
          </a:r>
        </a:p>
      </cdr:txBody>
    </cdr:sp>
  </cdr:relSizeAnchor>
</c:userShapes>
</file>

<file path=word/drawings/drawing21.xml><?xml version="1.0" encoding="utf-8"?>
<c:userShapes xmlns:c="http://schemas.openxmlformats.org/drawingml/2006/chart">
  <cdr:relSizeAnchor xmlns:cdr="http://schemas.openxmlformats.org/drawingml/2006/chartDrawing">
    <cdr:from>
      <cdr:x>0</cdr:x>
      <cdr:y>0.91275</cdr:y>
    </cdr:from>
    <cdr:to>
      <cdr:x>1</cdr:x>
      <cdr:y>1</cdr:y>
    </cdr:to>
    <cdr:sp macro="" textlink="">
      <cdr:nvSpPr>
        <cdr:cNvPr id="5" name="TextBox 1"/>
        <cdr:cNvSpPr txBox="1"/>
      </cdr:nvSpPr>
      <cdr:spPr>
        <a:xfrm xmlns:a="http://schemas.openxmlformats.org/drawingml/2006/main">
          <a:off x="0" y="2590800"/>
          <a:ext cx="5972175" cy="2476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veikuši ieguldījumus pētniecībā un attīstībā pēdējo trīs gadu laikā un snieguši atbildi, n=113</a:t>
          </a:r>
        </a:p>
      </cdr:txBody>
    </cdr:sp>
  </cdr:relSizeAnchor>
</c:userShapes>
</file>

<file path=word/drawings/drawing22.xml><?xml version="1.0" encoding="utf-8"?>
<c:userShapes xmlns:c="http://schemas.openxmlformats.org/drawingml/2006/chart">
  <cdr:relSizeAnchor xmlns:cdr="http://schemas.openxmlformats.org/drawingml/2006/chartDrawing">
    <cdr:from>
      <cdr:x>0</cdr:x>
      <cdr:y>0.89098</cdr:y>
    </cdr:from>
    <cdr:to>
      <cdr:x>1</cdr:x>
      <cdr:y>1</cdr:y>
    </cdr:to>
    <cdr:sp macro="" textlink="">
      <cdr:nvSpPr>
        <cdr:cNvPr id="5" name="TextBox 1"/>
        <cdr:cNvSpPr txBox="1"/>
      </cdr:nvSpPr>
      <cdr:spPr>
        <a:xfrm xmlns:a="http://schemas.openxmlformats.org/drawingml/2006/main">
          <a:off x="0" y="2257425"/>
          <a:ext cx="5972175" cy="2762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veikuši ieguldījumus pētniecībā un attīstībā pēdējo trīs gadu laikā un snieguši atbildi, n=113</a:t>
          </a:r>
        </a:p>
      </cdr:txBody>
    </cdr:sp>
  </cdr:relSizeAnchor>
</c:userShapes>
</file>

<file path=word/drawings/drawing23.xml><?xml version="1.0" encoding="utf-8"?>
<c:userShapes xmlns:c="http://schemas.openxmlformats.org/drawingml/2006/chart">
  <cdr:relSizeAnchor xmlns:cdr="http://schemas.openxmlformats.org/drawingml/2006/chartDrawing">
    <cdr:from>
      <cdr:x>1.67443E-7</cdr:x>
      <cdr:y>0.82353</cdr:y>
    </cdr:from>
    <cdr:to>
      <cdr:x>0.77831</cdr:x>
      <cdr:y>1</cdr:y>
    </cdr:to>
    <cdr:sp macro="" textlink="">
      <cdr:nvSpPr>
        <cdr:cNvPr id="5" name="TextBox 1"/>
        <cdr:cNvSpPr txBox="1"/>
      </cdr:nvSpPr>
      <cdr:spPr>
        <a:xfrm xmlns:a="http://schemas.openxmlformats.org/drawingml/2006/main">
          <a:off x="1" y="2000250"/>
          <a:ext cx="4648200" cy="4286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pētniecības un </a:t>
          </a:r>
        </a:p>
        <a:p xmlns:a="http://schemas.openxmlformats.org/drawingml/2006/main">
          <a:r>
            <a:rPr lang="lv-LV" sz="900" i="1">
              <a:latin typeface="+mn-lt"/>
              <a:cs typeface="Arial" pitchFamily="34" charset="0"/>
            </a:rPr>
            <a:t>attīstības (izstrādes) aktivitātes  ir veikuši sadarbībā ar partneriem un snieguši atbildi, n=63</a:t>
          </a:r>
        </a:p>
      </cdr:txBody>
    </cdr:sp>
  </cdr:relSizeAnchor>
</c:userShapes>
</file>

<file path=word/drawings/drawing24.xml><?xml version="1.0" encoding="utf-8"?>
<c:userShapes xmlns:c="http://schemas.openxmlformats.org/drawingml/2006/chart">
  <cdr:relSizeAnchor xmlns:cdr="http://schemas.openxmlformats.org/drawingml/2006/chartDrawing">
    <cdr:from>
      <cdr:x>0</cdr:x>
      <cdr:y>0.86184</cdr:y>
    </cdr:from>
    <cdr:to>
      <cdr:x>1</cdr:x>
      <cdr:y>1</cdr:y>
    </cdr:to>
    <cdr:sp macro="" textlink="">
      <cdr:nvSpPr>
        <cdr:cNvPr id="5" name="TextBox 1"/>
        <cdr:cNvSpPr txBox="1"/>
      </cdr:nvSpPr>
      <cdr:spPr>
        <a:xfrm xmlns:a="http://schemas.openxmlformats.org/drawingml/2006/main">
          <a:off x="0" y="2495550"/>
          <a:ext cx="5972175" cy="4000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pētniecības un attīstības (izstrādes) aktivitātes ir veikuši sadarbībā </a:t>
          </a:r>
        </a:p>
        <a:p xmlns:a="http://schemas.openxmlformats.org/drawingml/2006/main">
          <a:r>
            <a:rPr lang="lv-LV" sz="900" i="1">
              <a:latin typeface="+mn-lt"/>
              <a:cs typeface="Arial" pitchFamily="34" charset="0"/>
            </a:rPr>
            <a:t>ar partneriem Latvijā un snieguši atbildi, n=55</a:t>
          </a:r>
        </a:p>
      </cdr:txBody>
    </cdr:sp>
  </cdr:relSizeAnchor>
</c:userShapes>
</file>

<file path=word/drawings/drawing25.xml><?xml version="1.0" encoding="utf-8"?>
<c:userShapes xmlns:c="http://schemas.openxmlformats.org/drawingml/2006/chart">
  <cdr:relSizeAnchor xmlns:cdr="http://schemas.openxmlformats.org/drawingml/2006/chartDrawing">
    <cdr:from>
      <cdr:x>0</cdr:x>
      <cdr:y>0.86184</cdr:y>
    </cdr:from>
    <cdr:to>
      <cdr:x>1</cdr:x>
      <cdr:y>1</cdr:y>
    </cdr:to>
    <cdr:sp macro="" textlink="">
      <cdr:nvSpPr>
        <cdr:cNvPr id="5" name="TextBox 1"/>
        <cdr:cNvSpPr txBox="1"/>
      </cdr:nvSpPr>
      <cdr:spPr>
        <a:xfrm xmlns:a="http://schemas.openxmlformats.org/drawingml/2006/main">
          <a:off x="0" y="2495550"/>
          <a:ext cx="5972175" cy="4000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pētniecības un attīstības (izstrādes) aktivitātes ir veikuši sadarbībā </a:t>
          </a:r>
        </a:p>
        <a:p xmlns:a="http://schemas.openxmlformats.org/drawingml/2006/main">
          <a:r>
            <a:rPr lang="lv-LV" sz="900" i="1">
              <a:latin typeface="+mn-lt"/>
              <a:cs typeface="Arial" pitchFamily="34" charset="0"/>
            </a:rPr>
            <a:t>ar partneriem ārvalstīs un snieguši atbildi, n=41</a:t>
          </a:r>
        </a:p>
      </cdr:txBody>
    </cdr:sp>
  </cdr:relSizeAnchor>
</c:userShapes>
</file>

<file path=word/drawings/drawing26.xml><?xml version="1.0" encoding="utf-8"?>
<c:userShapes xmlns:c="http://schemas.openxmlformats.org/drawingml/2006/chart">
  <cdr:relSizeAnchor xmlns:cdr="http://schemas.openxmlformats.org/drawingml/2006/chartDrawing">
    <cdr:from>
      <cdr:x>0</cdr:x>
      <cdr:y>0.89069</cdr:y>
    </cdr:from>
    <cdr:to>
      <cdr:x>1</cdr:x>
      <cdr:y>1</cdr:y>
    </cdr:to>
    <cdr:sp macro="" textlink="">
      <cdr:nvSpPr>
        <cdr:cNvPr id="5" name="TextBox 1"/>
        <cdr:cNvSpPr txBox="1"/>
      </cdr:nvSpPr>
      <cdr:spPr>
        <a:xfrm xmlns:a="http://schemas.openxmlformats.org/drawingml/2006/main">
          <a:off x="0" y="2095499"/>
          <a:ext cx="5972175" cy="2571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veikuši ieguldījumus pētniecībā un attīstībā pēdējo trīs gadu laikā un snieguši atbildi, n=111</a:t>
          </a:r>
        </a:p>
      </cdr:txBody>
    </cdr:sp>
  </cdr:relSizeAnchor>
</c:userShapes>
</file>

<file path=word/drawings/drawing27.xml><?xml version="1.0" encoding="utf-8"?>
<c:userShapes xmlns:c="http://schemas.openxmlformats.org/drawingml/2006/chart">
  <cdr:relSizeAnchor xmlns:cdr="http://schemas.openxmlformats.org/drawingml/2006/chartDrawing">
    <cdr:from>
      <cdr:x>1.67443E-7</cdr:x>
      <cdr:y>0.89262</cdr:y>
    </cdr:from>
    <cdr:to>
      <cdr:x>0.77831</cdr:x>
      <cdr:y>1</cdr:y>
    </cdr:to>
    <cdr:sp macro="" textlink="">
      <cdr:nvSpPr>
        <cdr:cNvPr id="5" name="TextBox 1"/>
        <cdr:cNvSpPr txBox="1"/>
      </cdr:nvSpPr>
      <cdr:spPr>
        <a:xfrm xmlns:a="http://schemas.openxmlformats.org/drawingml/2006/main">
          <a:off x="1" y="2533650"/>
          <a:ext cx="4648203" cy="3048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izmantojuši ārējo finansējumu un snieguši atbildi, n=30</a:t>
          </a:r>
        </a:p>
      </cdr:txBody>
    </cdr:sp>
  </cdr:relSizeAnchor>
</c:userShapes>
</file>

<file path=word/drawings/drawing28.xml><?xml version="1.0" encoding="utf-8"?>
<c:userShapes xmlns:c="http://schemas.openxmlformats.org/drawingml/2006/chart">
  <cdr:relSizeAnchor xmlns:cdr="http://schemas.openxmlformats.org/drawingml/2006/chartDrawing">
    <cdr:from>
      <cdr:x>0</cdr:x>
      <cdr:y>0.89412</cdr:y>
    </cdr:from>
    <cdr:to>
      <cdr:x>1</cdr:x>
      <cdr:y>1</cdr:y>
    </cdr:to>
    <cdr:sp macro="" textlink="">
      <cdr:nvSpPr>
        <cdr:cNvPr id="5" name="TextBox 1"/>
        <cdr:cNvSpPr txBox="1"/>
      </cdr:nvSpPr>
      <cdr:spPr>
        <a:xfrm xmlns:a="http://schemas.openxmlformats.org/drawingml/2006/main">
          <a:off x="0" y="2171701"/>
          <a:ext cx="5972175" cy="2571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izmantojuši ārējo finansējumu un snieguši atbildi, n=30</a:t>
          </a:r>
        </a:p>
      </cdr:txBody>
    </cdr:sp>
  </cdr:relSizeAnchor>
</c:userShapes>
</file>

<file path=word/drawings/drawing29.xml><?xml version="1.0" encoding="utf-8"?>
<c:userShapes xmlns:c="http://schemas.openxmlformats.org/drawingml/2006/chart">
  <cdr:relSizeAnchor xmlns:cdr="http://schemas.openxmlformats.org/drawingml/2006/chartDrawing">
    <cdr:from>
      <cdr:x>0</cdr:x>
      <cdr:y>0.89412</cdr:y>
    </cdr:from>
    <cdr:to>
      <cdr:x>1</cdr:x>
      <cdr:y>1</cdr:y>
    </cdr:to>
    <cdr:sp macro="" textlink="">
      <cdr:nvSpPr>
        <cdr:cNvPr id="5" name="TextBox 1"/>
        <cdr:cNvSpPr txBox="1"/>
      </cdr:nvSpPr>
      <cdr:spPr>
        <a:xfrm xmlns:a="http://schemas.openxmlformats.org/drawingml/2006/main">
          <a:off x="0" y="2171701"/>
          <a:ext cx="5972175" cy="2571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veikuši ieguldījumus pētniecībā un attīstībā pēdējo trīs gadu laikā un snieguši atbildi, n=110</a:t>
          </a: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0.95804</cdr:y>
    </cdr:from>
    <cdr:to>
      <cdr:x>1</cdr:x>
      <cdr:y>1</cdr:y>
    </cdr:to>
    <cdr:sp macro="" textlink="">
      <cdr:nvSpPr>
        <cdr:cNvPr id="5" name="TextBox 1"/>
        <cdr:cNvSpPr txBox="1"/>
      </cdr:nvSpPr>
      <cdr:spPr>
        <a:xfrm xmlns:a="http://schemas.openxmlformats.org/drawingml/2006/main">
          <a:off x="0" y="5219700"/>
          <a:ext cx="5972175"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visi respondenti, n=414</a:t>
          </a:r>
        </a:p>
      </cdr:txBody>
    </cdr:sp>
  </cdr:relSizeAnchor>
</c:userShapes>
</file>

<file path=word/drawings/drawing30.xml><?xml version="1.0" encoding="utf-8"?>
<c:userShapes xmlns:c="http://schemas.openxmlformats.org/drawingml/2006/chart">
  <cdr:relSizeAnchor xmlns:cdr="http://schemas.openxmlformats.org/drawingml/2006/chartDrawing">
    <cdr:from>
      <cdr:x>0</cdr:x>
      <cdr:y>0.89098</cdr:y>
    </cdr:from>
    <cdr:to>
      <cdr:x>1</cdr:x>
      <cdr:y>1</cdr:y>
    </cdr:to>
    <cdr:sp macro="" textlink="">
      <cdr:nvSpPr>
        <cdr:cNvPr id="5" name="TextBox 1"/>
        <cdr:cNvSpPr txBox="1"/>
      </cdr:nvSpPr>
      <cdr:spPr>
        <a:xfrm xmlns:a="http://schemas.openxmlformats.org/drawingml/2006/main">
          <a:off x="0" y="2257425"/>
          <a:ext cx="5972175" cy="2762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veikuši ieguldījumus pētniecībā un attīstībā pēdējo trīs gadu laikā un snieguši atbildi, n=109</a:t>
          </a:r>
        </a:p>
      </cdr:txBody>
    </cdr:sp>
  </cdr:relSizeAnchor>
</c:userShapes>
</file>

<file path=word/drawings/drawing31.xml><?xml version="1.0" encoding="utf-8"?>
<c:userShapes xmlns:c="http://schemas.openxmlformats.org/drawingml/2006/chart">
  <cdr:relSizeAnchor xmlns:cdr="http://schemas.openxmlformats.org/drawingml/2006/chartDrawing">
    <cdr:from>
      <cdr:x>0</cdr:x>
      <cdr:y>0.86147</cdr:y>
    </cdr:from>
    <cdr:to>
      <cdr:x>1</cdr:x>
      <cdr:y>1</cdr:y>
    </cdr:to>
    <cdr:sp macro="" textlink="">
      <cdr:nvSpPr>
        <cdr:cNvPr id="5" name="TextBox 1"/>
        <cdr:cNvSpPr txBox="1"/>
      </cdr:nvSpPr>
      <cdr:spPr>
        <a:xfrm xmlns:a="http://schemas.openxmlformats.org/drawingml/2006/main">
          <a:off x="0" y="1895475"/>
          <a:ext cx="5972175" cy="3048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nav izmantojuši nodokļu atvieglojumus un snieguši atbildi, n=105</a:t>
          </a:r>
        </a:p>
      </cdr:txBody>
    </cdr:sp>
  </cdr:relSizeAnchor>
</c:userShapes>
</file>

<file path=word/drawings/drawing32.xml><?xml version="1.0" encoding="utf-8"?>
<c:userShapes xmlns:c="http://schemas.openxmlformats.org/drawingml/2006/chart">
  <cdr:relSizeAnchor xmlns:cdr="http://schemas.openxmlformats.org/drawingml/2006/chartDrawing">
    <cdr:from>
      <cdr:x>0</cdr:x>
      <cdr:y>0.9498</cdr:y>
    </cdr:from>
    <cdr:to>
      <cdr:x>1</cdr:x>
      <cdr:y>1</cdr:y>
    </cdr:to>
    <cdr:sp macro="" textlink="">
      <cdr:nvSpPr>
        <cdr:cNvPr id="5" name="TextBox 1"/>
        <cdr:cNvSpPr txBox="1"/>
      </cdr:nvSpPr>
      <cdr:spPr>
        <a:xfrm xmlns:a="http://schemas.openxmlformats.org/drawingml/2006/main">
          <a:off x="0" y="4505325"/>
          <a:ext cx="5972175" cy="2381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veikuši ieguldījumus pētniecībā un attīstībā pēdējo trīs gadu laikā un snieguši atbildi, n=105</a:t>
          </a:r>
        </a:p>
      </cdr:txBody>
    </cdr:sp>
  </cdr:relSizeAnchor>
</c:userShapes>
</file>

<file path=word/drawings/drawing33.xml><?xml version="1.0" encoding="utf-8"?>
<c:userShapes xmlns:c="http://schemas.openxmlformats.org/drawingml/2006/chart">
  <cdr:relSizeAnchor xmlns:cdr="http://schemas.openxmlformats.org/drawingml/2006/chartDrawing">
    <cdr:from>
      <cdr:x>0</cdr:x>
      <cdr:y>0.86147</cdr:y>
    </cdr:from>
    <cdr:to>
      <cdr:x>1</cdr:x>
      <cdr:y>1</cdr:y>
    </cdr:to>
    <cdr:sp macro="" textlink="">
      <cdr:nvSpPr>
        <cdr:cNvPr id="5" name="TextBox 1"/>
        <cdr:cNvSpPr txBox="1"/>
      </cdr:nvSpPr>
      <cdr:spPr>
        <a:xfrm xmlns:a="http://schemas.openxmlformats.org/drawingml/2006/main">
          <a:off x="0" y="1895475"/>
          <a:ext cx="5972175" cy="3048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nav veikuši ieguldījumus pētniecībā un attīstībā pēdējo trīs gadu laikā un snieguši atbildi, n=250</a:t>
          </a:r>
        </a:p>
      </cdr:txBody>
    </cdr:sp>
  </cdr:relSizeAnchor>
</c:userShapes>
</file>

<file path=word/drawings/drawing34.xml><?xml version="1.0" encoding="utf-8"?>
<c:userShapes xmlns:c="http://schemas.openxmlformats.org/drawingml/2006/chart">
  <cdr:relSizeAnchor xmlns:cdr="http://schemas.openxmlformats.org/drawingml/2006/chartDrawing">
    <cdr:from>
      <cdr:x>0</cdr:x>
      <cdr:y>0.83649</cdr:y>
    </cdr:from>
    <cdr:to>
      <cdr:x>1</cdr:x>
      <cdr:y>1</cdr:y>
    </cdr:to>
    <cdr:sp macro="" textlink="">
      <cdr:nvSpPr>
        <cdr:cNvPr id="5" name="TextBox 1"/>
        <cdr:cNvSpPr txBox="1"/>
      </cdr:nvSpPr>
      <cdr:spPr>
        <a:xfrm xmlns:a="http://schemas.openxmlformats.org/drawingml/2006/main">
          <a:off x="0" y="3362325"/>
          <a:ext cx="5972175" cy="6572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nav veikuši ieguldījumus pētniecībā un attīstībā pēdējo </a:t>
          </a:r>
        </a:p>
        <a:p xmlns:a="http://schemas.openxmlformats.org/drawingml/2006/main">
          <a:r>
            <a:rPr lang="lv-LV" sz="900" i="1">
              <a:latin typeface="+mn-lt"/>
              <a:cs typeface="Arial" pitchFamily="34" charset="0"/>
            </a:rPr>
            <a:t>trīs gadu laikā un snieguši atbildi, "n=" skatīt grafikā</a:t>
          </a:r>
        </a:p>
        <a:p xmlns:a="http://schemas.openxmlformats.org/drawingml/2006/main">
          <a:r>
            <a:rPr lang="lv-LV" sz="900" i="1">
              <a:latin typeface="+mn-lt"/>
              <a:cs typeface="Arial" pitchFamily="34" charset="0"/>
            </a:rPr>
            <a:t>Piezīme: *Kategorija 'Nav atbildes' nav attēlota grafikā</a:t>
          </a:r>
        </a:p>
        <a:p xmlns:a="http://schemas.openxmlformats.org/drawingml/2006/main">
          <a:r>
            <a:rPr lang="lv-LV" sz="900" i="1" baseline="0">
              <a:latin typeface="+mn-lt"/>
              <a:cs typeface="Arial" pitchFamily="34" charset="0"/>
            </a:rPr>
            <a:t>               </a:t>
          </a:r>
          <a:r>
            <a:rPr lang="lv-LV" sz="900" i="1">
              <a:latin typeface="+mn-lt"/>
              <a:cs typeface="Arial" pitchFamily="34" charset="0"/>
            </a:rPr>
            <a:t>**Mazs</a:t>
          </a:r>
          <a:r>
            <a:rPr lang="lv-LV" sz="900" i="1" baseline="0">
              <a:latin typeface="+mn-lt"/>
              <a:cs typeface="Arial" pitchFamily="34" charset="0"/>
            </a:rPr>
            <a:t> respondentu skaits, datiem ir ilustratīva nozīme</a:t>
          </a:r>
          <a:endParaRPr lang="lv-LV" sz="900" i="1">
            <a:latin typeface="+mn-lt"/>
            <a:cs typeface="Arial" pitchFamily="34" charset="0"/>
          </a:endParaRPr>
        </a:p>
      </cdr:txBody>
    </cdr:sp>
  </cdr:relSizeAnchor>
</c:userShapes>
</file>

<file path=word/drawings/drawing35.xml><?xml version="1.0" encoding="utf-8"?>
<c:userShapes xmlns:c="http://schemas.openxmlformats.org/drawingml/2006/chart">
  <cdr:relSizeAnchor xmlns:cdr="http://schemas.openxmlformats.org/drawingml/2006/chartDrawing">
    <cdr:from>
      <cdr:x>1.67443E-7</cdr:x>
      <cdr:y>0.89262</cdr:y>
    </cdr:from>
    <cdr:to>
      <cdr:x>1</cdr:x>
      <cdr:y>1</cdr:y>
    </cdr:to>
    <cdr:sp macro="" textlink="">
      <cdr:nvSpPr>
        <cdr:cNvPr id="5" name="TextBox 1"/>
        <cdr:cNvSpPr txBox="1"/>
      </cdr:nvSpPr>
      <cdr:spPr>
        <a:xfrm xmlns:a="http://schemas.openxmlformats.org/drawingml/2006/main">
          <a:off x="1" y="2533657"/>
          <a:ext cx="5972174" cy="3047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nav veikuši ieguldījumus pētniecībā un attīstībā pēdējo trīs gadu laikā un snieguši atbildi, n=247</a:t>
          </a:r>
        </a:p>
      </cdr:txBody>
    </cdr:sp>
  </cdr:relSizeAnchor>
</c:userShapes>
</file>

<file path=word/drawings/drawing36.xml><?xml version="1.0" encoding="utf-8"?>
<c:userShapes xmlns:c="http://schemas.openxmlformats.org/drawingml/2006/chart">
  <cdr:relSizeAnchor xmlns:cdr="http://schemas.openxmlformats.org/drawingml/2006/chartDrawing">
    <cdr:from>
      <cdr:x>1.67443E-7</cdr:x>
      <cdr:y>0.89262</cdr:y>
    </cdr:from>
    <cdr:to>
      <cdr:x>1</cdr:x>
      <cdr:y>1</cdr:y>
    </cdr:to>
    <cdr:sp macro="" textlink="">
      <cdr:nvSpPr>
        <cdr:cNvPr id="5" name="TextBox 1"/>
        <cdr:cNvSpPr txBox="1"/>
      </cdr:nvSpPr>
      <cdr:spPr>
        <a:xfrm xmlns:a="http://schemas.openxmlformats.org/drawingml/2006/main">
          <a:off x="1" y="2533657"/>
          <a:ext cx="5972174" cy="3047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snieguši atbildi, n=349</a:t>
          </a:r>
        </a:p>
      </cdr:txBody>
    </cdr:sp>
  </cdr:relSizeAnchor>
</c:userShapes>
</file>

<file path=word/drawings/drawing37.xml><?xml version="1.0" encoding="utf-8"?>
<c:userShapes xmlns:c="http://schemas.openxmlformats.org/drawingml/2006/chart">
  <cdr:relSizeAnchor xmlns:cdr="http://schemas.openxmlformats.org/drawingml/2006/chartDrawing">
    <cdr:from>
      <cdr:x>0</cdr:x>
      <cdr:y>0.90851</cdr:y>
    </cdr:from>
    <cdr:to>
      <cdr:x>1</cdr:x>
      <cdr:y>1</cdr:y>
    </cdr:to>
    <cdr:sp macro="" textlink="">
      <cdr:nvSpPr>
        <cdr:cNvPr id="5" name="TextBox 1"/>
        <cdr:cNvSpPr txBox="1"/>
      </cdr:nvSpPr>
      <cdr:spPr>
        <a:xfrm xmlns:a="http://schemas.openxmlformats.org/drawingml/2006/main">
          <a:off x="0" y="5391150"/>
          <a:ext cx="5972175" cy="5429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Calibri"/>
              <a:ea typeface="+mn-ea"/>
              <a:cs typeface="Arial" pitchFamily="34" charset="0"/>
            </a:rPr>
            <a:t>Bāze:  Respondenti, kuri ir snieguši atbildi, "n=" skatīt grafikā</a:t>
          </a:r>
        </a:p>
        <a:p xmlns:a="http://schemas.openxmlformats.org/drawingml/2006/main">
          <a:r>
            <a:rPr lang="lv-LV" sz="900" i="1">
              <a:latin typeface="Calibri"/>
              <a:ea typeface="+mn-ea"/>
              <a:cs typeface="Arial" pitchFamily="34" charset="0"/>
            </a:rPr>
            <a:t>Piezīme: *kategorija 'Nav atbildes' nav attēlota grafikā</a:t>
          </a:r>
        </a:p>
        <a:p xmlns:a="http://schemas.openxmlformats.org/drawingml/2006/main">
          <a:r>
            <a:rPr lang="lv-LV" sz="900" i="1" baseline="0">
              <a:latin typeface="Calibri"/>
              <a:ea typeface="+mn-ea"/>
              <a:cs typeface="Arial" pitchFamily="34" charset="0"/>
            </a:rPr>
            <a:t>               </a:t>
          </a:r>
          <a:r>
            <a:rPr lang="lv-LV" sz="900" i="1">
              <a:latin typeface="Calibri"/>
              <a:ea typeface="+mn-ea"/>
              <a:cs typeface="Arial" pitchFamily="34" charset="0"/>
            </a:rPr>
            <a:t>**Mazs</a:t>
          </a:r>
          <a:r>
            <a:rPr lang="lv-LV" sz="900" i="1" baseline="0">
              <a:latin typeface="Calibri"/>
              <a:ea typeface="+mn-ea"/>
              <a:cs typeface="Arial" pitchFamily="34" charset="0"/>
            </a:rPr>
            <a:t> respondentu skaits, datiem ir ilustratīva nozīme</a:t>
          </a:r>
          <a:endParaRPr lang="lv-LV" sz="900" i="1">
            <a:latin typeface="+mn-lt"/>
            <a:cs typeface="Arial" pitchFamily="34" charset="0"/>
          </a:endParaRPr>
        </a:p>
      </cdr:txBody>
    </cdr:sp>
  </cdr:relSizeAnchor>
</c:userShapes>
</file>

<file path=word/drawings/drawing38.xml><?xml version="1.0" encoding="utf-8"?>
<c:userShapes xmlns:c="http://schemas.openxmlformats.org/drawingml/2006/chart">
  <cdr:relSizeAnchor xmlns:cdr="http://schemas.openxmlformats.org/drawingml/2006/chartDrawing">
    <cdr:from>
      <cdr:x>0</cdr:x>
      <cdr:y>0.90027</cdr:y>
    </cdr:from>
    <cdr:to>
      <cdr:x>1</cdr:x>
      <cdr:y>1</cdr:y>
    </cdr:to>
    <cdr:sp macro="" textlink="">
      <cdr:nvSpPr>
        <cdr:cNvPr id="5" name="TextBox 1"/>
        <cdr:cNvSpPr txBox="1"/>
      </cdr:nvSpPr>
      <cdr:spPr>
        <a:xfrm xmlns:a="http://schemas.openxmlformats.org/drawingml/2006/main">
          <a:off x="0" y="3181349"/>
          <a:ext cx="5972175" cy="3524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saskārušies ar situāciju, kad ieguldījumi pētniecībā un attīstībā (izstrādē) ir bijuši nepieciešami, bet trūcis finansējums to veikšanai un ir snieguši atbildi, n=136</a:t>
          </a:r>
        </a:p>
      </cdr:txBody>
    </cdr:sp>
  </cdr:relSizeAnchor>
</c:userShapes>
</file>

<file path=word/drawings/drawing39.xml><?xml version="1.0" encoding="utf-8"?>
<c:userShapes xmlns:c="http://schemas.openxmlformats.org/drawingml/2006/chart">
  <cdr:relSizeAnchor xmlns:cdr="http://schemas.openxmlformats.org/drawingml/2006/chartDrawing">
    <cdr:from>
      <cdr:x>1.67443E-7</cdr:x>
      <cdr:y>0.89262</cdr:y>
    </cdr:from>
    <cdr:to>
      <cdr:x>1</cdr:x>
      <cdr:y>1</cdr:y>
    </cdr:to>
    <cdr:sp macro="" textlink="">
      <cdr:nvSpPr>
        <cdr:cNvPr id="5" name="TextBox 1"/>
        <cdr:cNvSpPr txBox="1"/>
      </cdr:nvSpPr>
      <cdr:spPr>
        <a:xfrm xmlns:a="http://schemas.openxmlformats.org/drawingml/2006/main">
          <a:off x="1" y="2533657"/>
          <a:ext cx="5972174" cy="3047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snieguši atbildi, n=347</a:t>
          </a: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0.84716</cdr:y>
    </cdr:from>
    <cdr:to>
      <cdr:x>1</cdr:x>
      <cdr:y>1</cdr:y>
    </cdr:to>
    <cdr:sp macro="" textlink="">
      <cdr:nvSpPr>
        <cdr:cNvPr id="5" name="TextBox 1"/>
        <cdr:cNvSpPr txBox="1"/>
      </cdr:nvSpPr>
      <cdr:spPr>
        <a:xfrm xmlns:a="http://schemas.openxmlformats.org/drawingml/2006/main">
          <a:off x="0" y="1847850"/>
          <a:ext cx="5972175" cy="3333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visi respondenti, n=414</a:t>
          </a:r>
        </a:p>
      </cdr:txBody>
    </cdr:sp>
  </cdr:relSizeAnchor>
</c:userShapes>
</file>

<file path=word/drawings/drawing40.xml><?xml version="1.0" encoding="utf-8"?>
<c:userShapes xmlns:c="http://schemas.openxmlformats.org/drawingml/2006/chart">
  <cdr:relSizeAnchor xmlns:cdr="http://schemas.openxmlformats.org/drawingml/2006/chartDrawing">
    <cdr:from>
      <cdr:x>0</cdr:x>
      <cdr:y>0.90851</cdr:y>
    </cdr:from>
    <cdr:to>
      <cdr:x>1</cdr:x>
      <cdr:y>1</cdr:y>
    </cdr:to>
    <cdr:sp macro="" textlink="">
      <cdr:nvSpPr>
        <cdr:cNvPr id="5" name="TextBox 1"/>
        <cdr:cNvSpPr txBox="1"/>
      </cdr:nvSpPr>
      <cdr:spPr>
        <a:xfrm xmlns:a="http://schemas.openxmlformats.org/drawingml/2006/main">
          <a:off x="0" y="5391150"/>
          <a:ext cx="5972175" cy="5429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Calibri"/>
              <a:ea typeface="+mn-ea"/>
              <a:cs typeface="Arial" pitchFamily="34" charset="0"/>
            </a:rPr>
            <a:t>Bāze:  Respondenti, kuri ir snieguši atbildi, "n=" skatīt grafikā</a:t>
          </a:r>
        </a:p>
        <a:p xmlns:a="http://schemas.openxmlformats.org/drawingml/2006/main">
          <a:r>
            <a:rPr lang="lv-LV" sz="900" i="1">
              <a:latin typeface="Calibri"/>
              <a:ea typeface="+mn-ea"/>
              <a:cs typeface="Arial" pitchFamily="34" charset="0"/>
            </a:rPr>
            <a:t>Piezīme: *Kategorija 'Nav atbildes' nav attēlota grafikā</a:t>
          </a:r>
        </a:p>
        <a:p xmlns:a="http://schemas.openxmlformats.org/drawingml/2006/main">
          <a:r>
            <a:rPr lang="lv-LV" sz="900" i="1" baseline="0">
              <a:latin typeface="Calibri"/>
              <a:ea typeface="+mn-ea"/>
              <a:cs typeface="Arial" pitchFamily="34" charset="0"/>
            </a:rPr>
            <a:t>               </a:t>
          </a:r>
          <a:r>
            <a:rPr lang="lv-LV" sz="900" i="1">
              <a:latin typeface="Calibri"/>
              <a:ea typeface="+mn-ea"/>
              <a:cs typeface="Arial" pitchFamily="34" charset="0"/>
            </a:rPr>
            <a:t>**Mazs</a:t>
          </a:r>
          <a:r>
            <a:rPr lang="lv-LV" sz="900" i="1" baseline="0">
              <a:latin typeface="Calibri"/>
              <a:ea typeface="+mn-ea"/>
              <a:cs typeface="Arial" pitchFamily="34" charset="0"/>
            </a:rPr>
            <a:t> respondentu skaits, datiem ir ilustratīva nozīme</a:t>
          </a:r>
          <a:endParaRPr lang="lv-LV" sz="900" i="1">
            <a:latin typeface="+mn-lt"/>
            <a:cs typeface="Arial" pitchFamily="34" charset="0"/>
          </a:endParaRPr>
        </a:p>
      </cdr:txBody>
    </cdr:sp>
  </cdr:relSizeAnchor>
</c:userShapes>
</file>

<file path=word/drawings/drawing41.xml><?xml version="1.0" encoding="utf-8"?>
<c:userShapes xmlns:c="http://schemas.openxmlformats.org/drawingml/2006/chart">
  <cdr:relSizeAnchor xmlns:cdr="http://schemas.openxmlformats.org/drawingml/2006/chartDrawing">
    <cdr:from>
      <cdr:x>0</cdr:x>
      <cdr:y>0.87896</cdr:y>
    </cdr:from>
    <cdr:to>
      <cdr:x>1</cdr:x>
      <cdr:y>1</cdr:y>
    </cdr:to>
    <cdr:sp macro="" textlink="">
      <cdr:nvSpPr>
        <cdr:cNvPr id="5" name="TextBox 1"/>
        <cdr:cNvSpPr txBox="1"/>
      </cdr:nvSpPr>
      <cdr:spPr>
        <a:xfrm xmlns:a="http://schemas.openxmlformats.org/drawingml/2006/main">
          <a:off x="0" y="2905126"/>
          <a:ext cx="5972175" cy="40004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plāno veikt ieguldījumus pētniecībā un attīstībā (izstrādē) </a:t>
          </a:r>
        </a:p>
        <a:p xmlns:a="http://schemas.openxmlformats.org/drawingml/2006/main">
          <a:r>
            <a:rPr lang="lv-LV" sz="900" i="1">
              <a:latin typeface="+mn-lt"/>
              <a:cs typeface="Arial" pitchFamily="34" charset="0"/>
            </a:rPr>
            <a:t>tuvāko trīs gadu laikā (2013.-2015.) un snieguši atbildi, n=60</a:t>
          </a:r>
        </a:p>
      </cdr:txBody>
    </cdr:sp>
  </cdr:relSizeAnchor>
</c:userShapes>
</file>

<file path=word/drawings/drawing42.xml><?xml version="1.0" encoding="utf-8"?>
<c:userShapes xmlns:c="http://schemas.openxmlformats.org/drawingml/2006/chart">
  <cdr:relSizeAnchor xmlns:cdr="http://schemas.openxmlformats.org/drawingml/2006/chartDrawing">
    <cdr:from>
      <cdr:x>0</cdr:x>
      <cdr:y>0.91931</cdr:y>
    </cdr:from>
    <cdr:to>
      <cdr:x>1</cdr:x>
      <cdr:y>1</cdr:y>
    </cdr:to>
    <cdr:sp macro="" textlink="">
      <cdr:nvSpPr>
        <cdr:cNvPr id="5" name="TextBox 1"/>
        <cdr:cNvSpPr txBox="1"/>
      </cdr:nvSpPr>
      <cdr:spPr>
        <a:xfrm xmlns:a="http://schemas.openxmlformats.org/drawingml/2006/main">
          <a:off x="0" y="3038475"/>
          <a:ext cx="597217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snieguši atbildi, n=168</a:t>
          </a:r>
        </a:p>
      </cdr:txBody>
    </cdr:sp>
  </cdr:relSizeAnchor>
</c:userShapes>
</file>

<file path=word/drawings/drawing43.xml><?xml version="1.0" encoding="utf-8"?>
<c:userShapes xmlns:c="http://schemas.openxmlformats.org/drawingml/2006/chart">
  <cdr:relSizeAnchor xmlns:cdr="http://schemas.openxmlformats.org/drawingml/2006/chartDrawing">
    <cdr:from>
      <cdr:x>0</cdr:x>
      <cdr:y>0.91931</cdr:y>
    </cdr:from>
    <cdr:to>
      <cdr:x>1</cdr:x>
      <cdr:y>1</cdr:y>
    </cdr:to>
    <cdr:sp macro="" textlink="">
      <cdr:nvSpPr>
        <cdr:cNvPr id="5" name="TextBox 1"/>
        <cdr:cNvSpPr txBox="1"/>
      </cdr:nvSpPr>
      <cdr:spPr>
        <a:xfrm xmlns:a="http://schemas.openxmlformats.org/drawingml/2006/main">
          <a:off x="0" y="3038475"/>
          <a:ext cx="597217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snieguši atbildi, n=145</a:t>
          </a:r>
        </a:p>
      </cdr:txBody>
    </cdr:sp>
  </cdr:relSizeAnchor>
</c:userShapes>
</file>

<file path=word/drawings/drawing44.xml><?xml version="1.0" encoding="utf-8"?>
<c:userShapes xmlns:c="http://schemas.openxmlformats.org/drawingml/2006/chart">
  <cdr:relSizeAnchor xmlns:cdr="http://schemas.openxmlformats.org/drawingml/2006/chartDrawing">
    <cdr:from>
      <cdr:x>1.67443E-7</cdr:x>
      <cdr:y>0.89262</cdr:y>
    </cdr:from>
    <cdr:to>
      <cdr:x>1</cdr:x>
      <cdr:y>1</cdr:y>
    </cdr:to>
    <cdr:sp macro="" textlink="">
      <cdr:nvSpPr>
        <cdr:cNvPr id="5" name="TextBox 1"/>
        <cdr:cNvSpPr txBox="1"/>
      </cdr:nvSpPr>
      <cdr:spPr>
        <a:xfrm xmlns:a="http://schemas.openxmlformats.org/drawingml/2006/main">
          <a:off x="1" y="2533657"/>
          <a:ext cx="5972174" cy="3047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snieguši atbildi, n=332</a:t>
          </a:r>
        </a:p>
      </cdr:txBody>
    </cdr:sp>
  </cdr:relSizeAnchor>
</c:userShapes>
</file>

<file path=word/drawings/drawing45.xml><?xml version="1.0" encoding="utf-8"?>
<c:userShapes xmlns:c="http://schemas.openxmlformats.org/drawingml/2006/chart">
  <cdr:relSizeAnchor xmlns:cdr="http://schemas.openxmlformats.org/drawingml/2006/chartDrawing">
    <cdr:from>
      <cdr:x>0</cdr:x>
      <cdr:y>0.90851</cdr:y>
    </cdr:from>
    <cdr:to>
      <cdr:x>1</cdr:x>
      <cdr:y>1</cdr:y>
    </cdr:to>
    <cdr:sp macro="" textlink="">
      <cdr:nvSpPr>
        <cdr:cNvPr id="5" name="TextBox 1"/>
        <cdr:cNvSpPr txBox="1"/>
      </cdr:nvSpPr>
      <cdr:spPr>
        <a:xfrm xmlns:a="http://schemas.openxmlformats.org/drawingml/2006/main">
          <a:off x="0" y="5391150"/>
          <a:ext cx="5972175" cy="5429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Calibri"/>
              <a:ea typeface="+mn-ea"/>
              <a:cs typeface="Arial" pitchFamily="34" charset="0"/>
            </a:rPr>
            <a:t>Bāze:  Respondenti, kuri ir snieguši atbildi, "n=" skatīt grafikā</a:t>
          </a:r>
        </a:p>
        <a:p xmlns:a="http://schemas.openxmlformats.org/drawingml/2006/main">
          <a:r>
            <a:rPr lang="lv-LV" sz="900" i="1">
              <a:latin typeface="Calibri"/>
              <a:ea typeface="+mn-ea"/>
              <a:cs typeface="Arial" pitchFamily="34" charset="0"/>
            </a:rPr>
            <a:t>Piezīme: *Kategorija 'Nav atbildes' nav attēlota grafikā</a:t>
          </a:r>
        </a:p>
        <a:p xmlns:a="http://schemas.openxmlformats.org/drawingml/2006/main">
          <a:r>
            <a:rPr lang="lv-LV" sz="900" i="1" baseline="0">
              <a:latin typeface="Calibri"/>
              <a:ea typeface="+mn-ea"/>
              <a:cs typeface="Arial" pitchFamily="34" charset="0"/>
            </a:rPr>
            <a:t>               </a:t>
          </a:r>
          <a:r>
            <a:rPr lang="lv-LV" sz="900" i="1">
              <a:latin typeface="Calibri"/>
              <a:ea typeface="+mn-ea"/>
              <a:cs typeface="Arial" pitchFamily="34" charset="0"/>
            </a:rPr>
            <a:t>**Mazs</a:t>
          </a:r>
          <a:r>
            <a:rPr lang="lv-LV" sz="900" i="1" baseline="0">
              <a:latin typeface="Calibri"/>
              <a:ea typeface="+mn-ea"/>
              <a:cs typeface="Arial" pitchFamily="34" charset="0"/>
            </a:rPr>
            <a:t> respondentu skaits, datiem ir ilustratīva nozīme</a:t>
          </a:r>
          <a:endParaRPr lang="lv-LV" sz="900" i="1">
            <a:latin typeface="+mn-lt"/>
            <a:cs typeface="Arial" pitchFamily="34" charset="0"/>
          </a:endParaRPr>
        </a:p>
      </cdr:txBody>
    </cdr:sp>
  </cdr:relSizeAnchor>
</c:userShapes>
</file>

<file path=word/drawings/drawing46.xml><?xml version="1.0" encoding="utf-8"?>
<c:userShapes xmlns:c="http://schemas.openxmlformats.org/drawingml/2006/chart">
  <cdr:relSizeAnchor xmlns:cdr="http://schemas.openxmlformats.org/drawingml/2006/chartDrawing">
    <cdr:from>
      <cdr:x>0</cdr:x>
      <cdr:y>0.875</cdr:y>
    </cdr:from>
    <cdr:to>
      <cdr:x>1</cdr:x>
      <cdr:y>1</cdr:y>
    </cdr:to>
    <cdr:sp macro="" textlink="">
      <cdr:nvSpPr>
        <cdr:cNvPr id="5" name="TextBox 1"/>
        <cdr:cNvSpPr txBox="1"/>
      </cdr:nvSpPr>
      <cdr:spPr>
        <a:xfrm xmlns:a="http://schemas.openxmlformats.org/drawingml/2006/main">
          <a:off x="0" y="2867024"/>
          <a:ext cx="5972175" cy="4095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uzskata, ka esošie valsts atbalsta instrumenti </a:t>
          </a:r>
        </a:p>
        <a:p xmlns:a="http://schemas.openxmlformats.org/drawingml/2006/main">
          <a:r>
            <a:rPr lang="lv-LV" sz="900" i="1">
              <a:latin typeface="+mn-lt"/>
              <a:cs typeface="Arial" pitchFamily="34" charset="0"/>
            </a:rPr>
            <a:t>uzņēmējdarbībai ir nepietiekami un  snieguši atbildi, n=85</a:t>
          </a:r>
        </a:p>
      </cdr:txBody>
    </cdr:sp>
  </cdr:relSizeAnchor>
</c:userShapes>
</file>

<file path=word/drawings/drawing47.xml><?xml version="1.0" encoding="utf-8"?>
<c:userShapes xmlns:c="http://schemas.openxmlformats.org/drawingml/2006/chart">
  <cdr:relSizeAnchor xmlns:cdr="http://schemas.openxmlformats.org/drawingml/2006/chartDrawing">
    <cdr:from>
      <cdr:x>0</cdr:x>
      <cdr:y>0.92458</cdr:y>
    </cdr:from>
    <cdr:to>
      <cdr:x>1</cdr:x>
      <cdr:y>1</cdr:y>
    </cdr:to>
    <cdr:sp macro="" textlink="">
      <cdr:nvSpPr>
        <cdr:cNvPr id="5" name="TextBox 1"/>
        <cdr:cNvSpPr txBox="1"/>
      </cdr:nvSpPr>
      <cdr:spPr>
        <a:xfrm xmlns:a="http://schemas.openxmlformats.org/drawingml/2006/main">
          <a:off x="0" y="3152774"/>
          <a:ext cx="5972175" cy="2571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snieguši atbildi, n=75</a:t>
          </a:r>
        </a:p>
      </cdr:txBody>
    </cdr:sp>
  </cdr:relSizeAnchor>
</c:userShapes>
</file>

<file path=word/drawings/drawing48.xml><?xml version="1.0" encoding="utf-8"?>
<c:userShapes xmlns:c="http://schemas.openxmlformats.org/drawingml/2006/chart">
  <cdr:relSizeAnchor xmlns:cdr="http://schemas.openxmlformats.org/drawingml/2006/chartDrawing">
    <cdr:from>
      <cdr:x>0</cdr:x>
      <cdr:y>0.83051</cdr:y>
    </cdr:from>
    <cdr:to>
      <cdr:x>1</cdr:x>
      <cdr:y>1</cdr:y>
    </cdr:to>
    <cdr:sp macro="" textlink="">
      <cdr:nvSpPr>
        <cdr:cNvPr id="5" name="TextBox 1"/>
        <cdr:cNvSpPr txBox="1"/>
      </cdr:nvSpPr>
      <cdr:spPr>
        <a:xfrm xmlns:a="http://schemas.openxmlformats.org/drawingml/2006/main">
          <a:off x="0" y="2333625"/>
          <a:ext cx="5972175" cy="47624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snieguši atbildi, n=10*</a:t>
          </a:r>
        </a:p>
        <a:p xmlns:a="http://schemas.openxmlformats.org/drawingml/2006/main">
          <a:r>
            <a:rPr lang="lv-LV" sz="900" i="1">
              <a:latin typeface="+mn-lt"/>
              <a:cs typeface="Arial" pitchFamily="34" charset="0"/>
            </a:rPr>
            <a:t>Piezīme: *Mazs respondentu skaits;</a:t>
          </a:r>
          <a:r>
            <a:rPr lang="lv-LV" sz="900" i="1" baseline="0">
              <a:latin typeface="+mn-lt"/>
              <a:cs typeface="Arial" pitchFamily="34" charset="0"/>
            </a:rPr>
            <a:t> datiem ir ilustratīva nozīme</a:t>
          </a:r>
          <a:endParaRPr lang="lv-LV" sz="900" i="1">
            <a:latin typeface="+mn-lt"/>
            <a:cs typeface="Arial" pitchFamily="34" charset="0"/>
          </a:endParaRPr>
        </a:p>
      </cdr:txBody>
    </cdr:sp>
  </cdr:relSizeAnchor>
</c:userShapes>
</file>

<file path=word/drawings/drawing49.xml><?xml version="1.0" encoding="utf-8"?>
<c:userShapes xmlns:c="http://schemas.openxmlformats.org/drawingml/2006/chart">
  <cdr:relSizeAnchor xmlns:cdr="http://schemas.openxmlformats.org/drawingml/2006/chartDrawing">
    <cdr:from>
      <cdr:x>0</cdr:x>
      <cdr:y>0.80645</cdr:y>
    </cdr:from>
    <cdr:to>
      <cdr:x>1</cdr:x>
      <cdr:y>1</cdr:y>
    </cdr:to>
    <cdr:sp macro="" textlink="">
      <cdr:nvSpPr>
        <cdr:cNvPr id="5" name="TextBox 1"/>
        <cdr:cNvSpPr txBox="1"/>
      </cdr:nvSpPr>
      <cdr:spPr>
        <a:xfrm xmlns:a="http://schemas.openxmlformats.org/drawingml/2006/main">
          <a:off x="0" y="1666876"/>
          <a:ext cx="5972175" cy="40004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snieguši atbildi, n=5*</a:t>
          </a:r>
        </a:p>
        <a:p xmlns:a="http://schemas.openxmlformats.org/drawingml/2006/main">
          <a:r>
            <a:rPr lang="lv-LV" sz="900" i="1">
              <a:latin typeface="+mn-lt"/>
              <a:cs typeface="Arial" pitchFamily="34" charset="0"/>
            </a:rPr>
            <a:t>Piezīme: *Mazs respondentu skaits;</a:t>
          </a:r>
          <a:r>
            <a:rPr lang="lv-LV" sz="900" i="1" baseline="0">
              <a:latin typeface="+mn-lt"/>
              <a:cs typeface="Arial" pitchFamily="34" charset="0"/>
            </a:rPr>
            <a:t> datiem ir ilustratīva nozīme</a:t>
          </a:r>
          <a:endParaRPr lang="lv-LV" sz="900" i="1">
            <a:latin typeface="+mn-lt"/>
            <a:cs typeface="Arial" pitchFamily="34"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0.93426</cdr:y>
    </cdr:from>
    <cdr:to>
      <cdr:x>1</cdr:x>
      <cdr:y>1</cdr:y>
    </cdr:to>
    <cdr:sp macro="" textlink="">
      <cdr:nvSpPr>
        <cdr:cNvPr id="5" name="TextBox 1"/>
        <cdr:cNvSpPr txBox="1"/>
      </cdr:nvSpPr>
      <cdr:spPr>
        <a:xfrm xmlns:a="http://schemas.openxmlformats.org/drawingml/2006/main">
          <a:off x="0" y="5143500"/>
          <a:ext cx="5972175" cy="3619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visi respondenti, "n=" skatīt grafikā</a:t>
          </a:r>
        </a:p>
        <a:p xmlns:a="http://schemas.openxmlformats.org/drawingml/2006/main">
          <a:r>
            <a:rPr lang="lv-LV" sz="900" i="1">
              <a:latin typeface="+mn-lt"/>
              <a:cs typeface="Arial" pitchFamily="34" charset="0"/>
            </a:rPr>
            <a:t>Piezīme: *kategorija 'Nav atbildes' nav attēlota grafikā</a:t>
          </a:r>
        </a:p>
      </cdr:txBody>
    </cdr:sp>
  </cdr:relSizeAnchor>
</c:userShapes>
</file>

<file path=word/drawings/drawing50.xml><?xml version="1.0" encoding="utf-8"?>
<c:userShapes xmlns:c="http://schemas.openxmlformats.org/drawingml/2006/chart">
  <cdr:relSizeAnchor xmlns:cdr="http://schemas.openxmlformats.org/drawingml/2006/chartDrawing">
    <cdr:from>
      <cdr:x>0</cdr:x>
      <cdr:y>0.83051</cdr:y>
    </cdr:from>
    <cdr:to>
      <cdr:x>1</cdr:x>
      <cdr:y>1</cdr:y>
    </cdr:to>
    <cdr:sp macro="" textlink="">
      <cdr:nvSpPr>
        <cdr:cNvPr id="5" name="TextBox 1"/>
        <cdr:cNvSpPr txBox="1"/>
      </cdr:nvSpPr>
      <cdr:spPr>
        <a:xfrm xmlns:a="http://schemas.openxmlformats.org/drawingml/2006/main">
          <a:off x="0" y="2333625"/>
          <a:ext cx="5972175" cy="47624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snieguši atbildi, n=13*</a:t>
          </a:r>
        </a:p>
        <a:p xmlns:a="http://schemas.openxmlformats.org/drawingml/2006/main">
          <a:r>
            <a:rPr lang="lv-LV" sz="900" i="1">
              <a:latin typeface="+mn-lt"/>
              <a:cs typeface="Arial" pitchFamily="34" charset="0"/>
            </a:rPr>
            <a:t>Piezīme: *Mazs respondentu skaits;</a:t>
          </a:r>
          <a:r>
            <a:rPr lang="lv-LV" sz="900" i="1" baseline="0">
              <a:latin typeface="+mn-lt"/>
              <a:cs typeface="Arial" pitchFamily="34" charset="0"/>
            </a:rPr>
            <a:t> datiem ir ilustratīva nozīme</a:t>
          </a:r>
          <a:endParaRPr lang="lv-LV" sz="900" i="1">
            <a:latin typeface="+mn-lt"/>
            <a:cs typeface="Arial" pitchFamily="34" charset="0"/>
          </a:endParaRPr>
        </a:p>
      </cdr:txBody>
    </cdr:sp>
  </cdr:relSizeAnchor>
</c:userShapes>
</file>

<file path=word/drawings/drawing51.xml><?xml version="1.0" encoding="utf-8"?>
<c:userShapes xmlns:c="http://schemas.openxmlformats.org/drawingml/2006/chart">
  <cdr:relSizeAnchor xmlns:cdr="http://schemas.openxmlformats.org/drawingml/2006/chartDrawing">
    <cdr:from>
      <cdr:x>0</cdr:x>
      <cdr:y>0.88235</cdr:y>
    </cdr:from>
    <cdr:to>
      <cdr:x>1</cdr:x>
      <cdr:y>1</cdr:y>
    </cdr:to>
    <cdr:sp macro="" textlink="">
      <cdr:nvSpPr>
        <cdr:cNvPr id="5" name="TextBox 1"/>
        <cdr:cNvSpPr txBox="1"/>
      </cdr:nvSpPr>
      <cdr:spPr>
        <a:xfrm xmlns:a="http://schemas.openxmlformats.org/drawingml/2006/main">
          <a:off x="0" y="3286126"/>
          <a:ext cx="5972175" cy="43814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snieguši atbildi, n=20*</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lv-LV" sz="900" i="1">
              <a:latin typeface="Calibri"/>
              <a:ea typeface="+mn-ea"/>
              <a:cs typeface="Arial" pitchFamily="34" charset="0"/>
            </a:rPr>
            <a:t>Piezīme: *Mazs respondentu skaits;</a:t>
          </a:r>
          <a:r>
            <a:rPr lang="lv-LV" sz="900" i="1" baseline="0">
              <a:latin typeface="Calibri"/>
              <a:ea typeface="+mn-ea"/>
              <a:cs typeface="Arial" pitchFamily="34" charset="0"/>
            </a:rPr>
            <a:t> datiem ir ilustratīva nozīme</a:t>
          </a:r>
          <a:endParaRPr lang="lv-LV" sz="900" i="1">
            <a:latin typeface="Calibri"/>
            <a:ea typeface="+mn-ea"/>
            <a:cs typeface="Arial" pitchFamily="34" charset="0"/>
          </a:endParaRPr>
        </a:p>
        <a:p xmlns:a="http://schemas.openxmlformats.org/drawingml/2006/main">
          <a:endParaRPr lang="lv-LV" sz="900" i="1">
            <a:latin typeface="+mn-lt"/>
            <a:cs typeface="Arial" pitchFamily="34" charset="0"/>
          </a:endParaRPr>
        </a:p>
      </cdr:txBody>
    </cdr:sp>
  </cdr:relSizeAnchor>
</c:userShapes>
</file>

<file path=word/drawings/drawing52.xml><?xml version="1.0" encoding="utf-8"?>
<c:userShapes xmlns:c="http://schemas.openxmlformats.org/drawingml/2006/chart">
  <cdr:relSizeAnchor xmlns:cdr="http://schemas.openxmlformats.org/drawingml/2006/chartDrawing">
    <cdr:from>
      <cdr:x>0</cdr:x>
      <cdr:y>0.90027</cdr:y>
    </cdr:from>
    <cdr:to>
      <cdr:x>1</cdr:x>
      <cdr:y>1</cdr:y>
    </cdr:to>
    <cdr:sp macro="" textlink="">
      <cdr:nvSpPr>
        <cdr:cNvPr id="5" name="TextBox 1"/>
        <cdr:cNvSpPr txBox="1"/>
      </cdr:nvSpPr>
      <cdr:spPr>
        <a:xfrm xmlns:a="http://schemas.openxmlformats.org/drawingml/2006/main">
          <a:off x="0" y="3181349"/>
          <a:ext cx="5972175" cy="3524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snieguši atbildi, n=311</a:t>
          </a:r>
        </a:p>
      </cdr:txBody>
    </cdr:sp>
  </cdr:relSizeAnchor>
</c:userShapes>
</file>

<file path=word/drawings/drawing53.xml><?xml version="1.0" encoding="utf-8"?>
<c:userShapes xmlns:c="http://schemas.openxmlformats.org/drawingml/2006/chart">
  <cdr:relSizeAnchor xmlns:cdr="http://schemas.openxmlformats.org/drawingml/2006/chartDrawing">
    <cdr:from>
      <cdr:x>0</cdr:x>
      <cdr:y>0.90851</cdr:y>
    </cdr:from>
    <cdr:to>
      <cdr:x>1</cdr:x>
      <cdr:y>1</cdr:y>
    </cdr:to>
    <cdr:sp macro="" textlink="">
      <cdr:nvSpPr>
        <cdr:cNvPr id="5" name="TextBox 1"/>
        <cdr:cNvSpPr txBox="1"/>
      </cdr:nvSpPr>
      <cdr:spPr>
        <a:xfrm xmlns:a="http://schemas.openxmlformats.org/drawingml/2006/main">
          <a:off x="0" y="5391150"/>
          <a:ext cx="5972175" cy="5429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Calibri"/>
              <a:ea typeface="+mn-ea"/>
              <a:cs typeface="Arial" pitchFamily="34" charset="0"/>
            </a:rPr>
            <a:t>Bāze:  Respondenti, kuri ir snieguši atbildi, "n=" skatīt grafikā</a:t>
          </a:r>
        </a:p>
        <a:p xmlns:a="http://schemas.openxmlformats.org/drawingml/2006/main">
          <a:r>
            <a:rPr lang="lv-LV" sz="900" i="1">
              <a:latin typeface="Calibri"/>
              <a:ea typeface="+mn-ea"/>
              <a:cs typeface="Arial" pitchFamily="34" charset="0"/>
            </a:rPr>
            <a:t>Piezīme: *Kategorija 'Nav atbildes' nav attēlota grafikā</a:t>
          </a:r>
        </a:p>
        <a:p xmlns:a="http://schemas.openxmlformats.org/drawingml/2006/main">
          <a:r>
            <a:rPr lang="lv-LV" sz="900" i="1" baseline="0">
              <a:latin typeface="Calibri"/>
              <a:ea typeface="+mn-ea"/>
              <a:cs typeface="Arial" pitchFamily="34" charset="0"/>
            </a:rPr>
            <a:t>               </a:t>
          </a:r>
          <a:r>
            <a:rPr lang="lv-LV" sz="900" i="1">
              <a:latin typeface="Calibri"/>
              <a:ea typeface="+mn-ea"/>
              <a:cs typeface="Arial" pitchFamily="34" charset="0"/>
            </a:rPr>
            <a:t>**Mazs</a:t>
          </a:r>
          <a:r>
            <a:rPr lang="lv-LV" sz="900" i="1" baseline="0">
              <a:latin typeface="Calibri"/>
              <a:ea typeface="+mn-ea"/>
              <a:cs typeface="Arial" pitchFamily="34" charset="0"/>
            </a:rPr>
            <a:t> respondentu skaits, datiem ir ilustratīva nozīme</a:t>
          </a:r>
          <a:endParaRPr lang="lv-LV" sz="900" i="1">
            <a:latin typeface="+mn-lt"/>
            <a:cs typeface="Arial" pitchFamily="34" charset="0"/>
          </a:endParaRPr>
        </a:p>
      </cdr:txBody>
    </cdr:sp>
  </cdr:relSizeAnchor>
</c:userShapes>
</file>

<file path=word/drawings/drawing54.xml><?xml version="1.0" encoding="utf-8"?>
<c:userShapes xmlns:c="http://schemas.openxmlformats.org/drawingml/2006/chart">
  <cdr:relSizeAnchor xmlns:cdr="http://schemas.openxmlformats.org/drawingml/2006/chartDrawing">
    <cdr:from>
      <cdr:x>0</cdr:x>
      <cdr:y>0.90027</cdr:y>
    </cdr:from>
    <cdr:to>
      <cdr:x>1</cdr:x>
      <cdr:y>1</cdr:y>
    </cdr:to>
    <cdr:sp macro="" textlink="">
      <cdr:nvSpPr>
        <cdr:cNvPr id="5" name="TextBox 1"/>
        <cdr:cNvSpPr txBox="1"/>
      </cdr:nvSpPr>
      <cdr:spPr>
        <a:xfrm xmlns:a="http://schemas.openxmlformats.org/drawingml/2006/main">
          <a:off x="0" y="3181349"/>
          <a:ext cx="5972175" cy="3524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snieguši atbildi, "n="</a:t>
          </a:r>
          <a:r>
            <a:rPr lang="lv-LV" sz="900" i="1" baseline="0">
              <a:latin typeface="+mn-lt"/>
              <a:cs typeface="Arial" pitchFamily="34" charset="0"/>
            </a:rPr>
            <a:t> skatīt grafikā</a:t>
          </a:r>
          <a:endParaRPr lang="lv-LV" sz="900" i="1">
            <a:latin typeface="+mn-lt"/>
            <a:cs typeface="Arial" pitchFamily="34" charset="0"/>
          </a:endParaRPr>
        </a:p>
      </cdr:txBody>
    </cdr:sp>
  </cdr:relSizeAnchor>
</c:userShapes>
</file>

<file path=word/drawings/drawing55.xml><?xml version="1.0" encoding="utf-8"?>
<c:userShapes xmlns:c="http://schemas.openxmlformats.org/drawingml/2006/chart">
  <cdr:relSizeAnchor xmlns:cdr="http://schemas.openxmlformats.org/drawingml/2006/chartDrawing">
    <cdr:from>
      <cdr:x>1.67443E-7</cdr:x>
      <cdr:y>0.89262</cdr:y>
    </cdr:from>
    <cdr:to>
      <cdr:x>1</cdr:x>
      <cdr:y>1</cdr:y>
    </cdr:to>
    <cdr:sp macro="" textlink="">
      <cdr:nvSpPr>
        <cdr:cNvPr id="5" name="TextBox 1"/>
        <cdr:cNvSpPr txBox="1"/>
      </cdr:nvSpPr>
      <cdr:spPr>
        <a:xfrm xmlns:a="http://schemas.openxmlformats.org/drawingml/2006/main">
          <a:off x="1" y="2533657"/>
          <a:ext cx="5972174" cy="3047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snieguši atbildi, n=300</a:t>
          </a:r>
        </a:p>
      </cdr:txBody>
    </cdr:sp>
  </cdr:relSizeAnchor>
</c:userShapes>
</file>

<file path=word/drawings/drawing56.xml><?xml version="1.0" encoding="utf-8"?>
<c:userShapes xmlns:c="http://schemas.openxmlformats.org/drawingml/2006/chart">
  <cdr:relSizeAnchor xmlns:cdr="http://schemas.openxmlformats.org/drawingml/2006/chartDrawing">
    <cdr:from>
      <cdr:x>0</cdr:x>
      <cdr:y>0.90851</cdr:y>
    </cdr:from>
    <cdr:to>
      <cdr:x>1</cdr:x>
      <cdr:y>1</cdr:y>
    </cdr:to>
    <cdr:sp macro="" textlink="">
      <cdr:nvSpPr>
        <cdr:cNvPr id="5" name="TextBox 1"/>
        <cdr:cNvSpPr txBox="1"/>
      </cdr:nvSpPr>
      <cdr:spPr>
        <a:xfrm xmlns:a="http://schemas.openxmlformats.org/drawingml/2006/main">
          <a:off x="0" y="5391150"/>
          <a:ext cx="5972175" cy="5429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Calibri"/>
              <a:ea typeface="+mn-ea"/>
              <a:cs typeface="Arial" pitchFamily="34" charset="0"/>
            </a:rPr>
            <a:t>Bāze:  Respondenti, kuri ir snieguši atbildi, "n=" skatīt grafikā</a:t>
          </a:r>
        </a:p>
        <a:p xmlns:a="http://schemas.openxmlformats.org/drawingml/2006/main">
          <a:r>
            <a:rPr lang="lv-LV" sz="900" i="1">
              <a:latin typeface="Calibri"/>
              <a:ea typeface="+mn-ea"/>
              <a:cs typeface="Arial" pitchFamily="34" charset="0"/>
            </a:rPr>
            <a:t>Piezīme: *Kategorija 'Nav atbildes' nav attēlota grafikā</a:t>
          </a:r>
        </a:p>
        <a:p xmlns:a="http://schemas.openxmlformats.org/drawingml/2006/main">
          <a:r>
            <a:rPr lang="lv-LV" sz="900" i="1" baseline="0">
              <a:latin typeface="Calibri"/>
              <a:ea typeface="+mn-ea"/>
              <a:cs typeface="Arial" pitchFamily="34" charset="0"/>
            </a:rPr>
            <a:t>               </a:t>
          </a:r>
          <a:r>
            <a:rPr lang="lv-LV" sz="900" i="1">
              <a:latin typeface="Calibri"/>
              <a:ea typeface="+mn-ea"/>
              <a:cs typeface="Arial" pitchFamily="34" charset="0"/>
            </a:rPr>
            <a:t>**Mazs</a:t>
          </a:r>
          <a:r>
            <a:rPr lang="lv-LV" sz="900" i="1" baseline="0">
              <a:latin typeface="Calibri"/>
              <a:ea typeface="+mn-ea"/>
              <a:cs typeface="Arial" pitchFamily="34" charset="0"/>
            </a:rPr>
            <a:t> respondentu skaits, datiem ir ilustratīva nozīme</a:t>
          </a:r>
          <a:endParaRPr lang="lv-LV" sz="900" i="1">
            <a:latin typeface="+mn-lt"/>
            <a:cs typeface="Arial" pitchFamily="34" charset="0"/>
          </a:endParaRPr>
        </a:p>
      </cdr:txBody>
    </cdr:sp>
  </cdr:relSizeAnchor>
</c:userShapes>
</file>

<file path=word/drawings/drawing57.xml><?xml version="1.0" encoding="utf-8"?>
<c:userShapes xmlns:c="http://schemas.openxmlformats.org/drawingml/2006/chart">
  <cdr:relSizeAnchor xmlns:cdr="http://schemas.openxmlformats.org/drawingml/2006/chartDrawing">
    <cdr:from>
      <cdr:x>0</cdr:x>
      <cdr:y>0.90027</cdr:y>
    </cdr:from>
    <cdr:to>
      <cdr:x>1</cdr:x>
      <cdr:y>1</cdr:y>
    </cdr:to>
    <cdr:sp macro="" textlink="">
      <cdr:nvSpPr>
        <cdr:cNvPr id="5" name="TextBox 1"/>
        <cdr:cNvSpPr txBox="1"/>
      </cdr:nvSpPr>
      <cdr:spPr>
        <a:xfrm xmlns:a="http://schemas.openxmlformats.org/drawingml/2006/main">
          <a:off x="0" y="3181349"/>
          <a:ext cx="5972175" cy="3524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snieguši atbildi, "n="</a:t>
          </a:r>
          <a:r>
            <a:rPr lang="lv-LV" sz="900" i="1" baseline="0">
              <a:latin typeface="+mn-lt"/>
              <a:cs typeface="Arial" pitchFamily="34" charset="0"/>
            </a:rPr>
            <a:t> skatīt grafikā</a:t>
          </a:r>
          <a:endParaRPr lang="lv-LV" sz="900" i="1">
            <a:latin typeface="+mn-lt"/>
            <a:cs typeface="Arial" pitchFamily="34" charset="0"/>
          </a:endParaRPr>
        </a:p>
      </cdr:txBody>
    </cdr:sp>
  </cdr:relSizeAnchor>
</c:userShapes>
</file>

<file path=word/drawings/drawing58.xml><?xml version="1.0" encoding="utf-8"?>
<c:userShapes xmlns:c="http://schemas.openxmlformats.org/drawingml/2006/chart">
  <cdr:relSizeAnchor xmlns:cdr="http://schemas.openxmlformats.org/drawingml/2006/chartDrawing">
    <cdr:from>
      <cdr:x>0</cdr:x>
      <cdr:y>0.90027</cdr:y>
    </cdr:from>
    <cdr:to>
      <cdr:x>1</cdr:x>
      <cdr:y>1</cdr:y>
    </cdr:to>
    <cdr:sp macro="" textlink="">
      <cdr:nvSpPr>
        <cdr:cNvPr id="5" name="TextBox 1"/>
        <cdr:cNvSpPr txBox="1"/>
      </cdr:nvSpPr>
      <cdr:spPr>
        <a:xfrm xmlns:a="http://schemas.openxmlformats.org/drawingml/2006/main">
          <a:off x="0" y="3181349"/>
          <a:ext cx="5972175" cy="3524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snieguši atbildi, "n="</a:t>
          </a:r>
          <a:r>
            <a:rPr lang="lv-LV" sz="900" i="1" baseline="0">
              <a:latin typeface="+mn-lt"/>
              <a:cs typeface="Arial" pitchFamily="34" charset="0"/>
            </a:rPr>
            <a:t> skatīt grafikā</a:t>
          </a:r>
          <a:endParaRPr lang="lv-LV" sz="900" i="1">
            <a:latin typeface="+mn-lt"/>
            <a:cs typeface="Arial" pitchFamily="34"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0.84716</cdr:y>
    </cdr:from>
    <cdr:to>
      <cdr:x>1</cdr:x>
      <cdr:y>1</cdr:y>
    </cdr:to>
    <cdr:sp macro="" textlink="">
      <cdr:nvSpPr>
        <cdr:cNvPr id="5" name="TextBox 1"/>
        <cdr:cNvSpPr txBox="1"/>
      </cdr:nvSpPr>
      <cdr:spPr>
        <a:xfrm xmlns:a="http://schemas.openxmlformats.org/drawingml/2006/main">
          <a:off x="0" y="1847850"/>
          <a:ext cx="5972175" cy="3333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visi respondenti, n=414</a:t>
          </a: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0.93426</cdr:y>
    </cdr:from>
    <cdr:to>
      <cdr:x>1</cdr:x>
      <cdr:y>1</cdr:y>
    </cdr:to>
    <cdr:sp macro="" textlink="">
      <cdr:nvSpPr>
        <cdr:cNvPr id="5" name="TextBox 1"/>
        <cdr:cNvSpPr txBox="1"/>
      </cdr:nvSpPr>
      <cdr:spPr>
        <a:xfrm xmlns:a="http://schemas.openxmlformats.org/drawingml/2006/main">
          <a:off x="0" y="5143500"/>
          <a:ext cx="5972175" cy="3619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visi respondenti, "n=" skatīt grafikā</a:t>
          </a:r>
        </a:p>
        <a:p xmlns:a="http://schemas.openxmlformats.org/drawingml/2006/main">
          <a:r>
            <a:rPr lang="lv-LV" sz="900" i="1">
              <a:latin typeface="+mn-lt"/>
              <a:cs typeface="Arial" pitchFamily="34" charset="0"/>
            </a:rPr>
            <a:t>Piezīme: *kategorija 'Nav atbildes' nav attēlota grafikā</a:t>
          </a: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0.84716</cdr:y>
    </cdr:from>
    <cdr:to>
      <cdr:x>1</cdr:x>
      <cdr:y>1</cdr:y>
    </cdr:to>
    <cdr:sp macro="" textlink="">
      <cdr:nvSpPr>
        <cdr:cNvPr id="5" name="TextBox 1"/>
        <cdr:cNvSpPr txBox="1"/>
      </cdr:nvSpPr>
      <cdr:spPr>
        <a:xfrm xmlns:a="http://schemas.openxmlformats.org/drawingml/2006/main">
          <a:off x="0" y="1847850"/>
          <a:ext cx="5972175" cy="3333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veikuši ieguldījumus pētniecībā un attīstībā pēdējo trīs gadu laikā un snieguši atbildi, n=147</a:t>
          </a:r>
        </a:p>
      </cdr:txBody>
    </cdr:sp>
  </cdr:relSizeAnchor>
</c:userShapes>
</file>

<file path=word/drawings/drawing9.xml><?xml version="1.0" encoding="utf-8"?>
<c:userShapes xmlns:c="http://schemas.openxmlformats.org/drawingml/2006/chart">
  <cdr:relSizeAnchor xmlns:cdr="http://schemas.openxmlformats.org/drawingml/2006/chartDrawing">
    <cdr:from>
      <cdr:x>0</cdr:x>
      <cdr:y>0.83649</cdr:y>
    </cdr:from>
    <cdr:to>
      <cdr:x>1</cdr:x>
      <cdr:y>1</cdr:y>
    </cdr:to>
    <cdr:sp macro="" textlink="">
      <cdr:nvSpPr>
        <cdr:cNvPr id="5" name="TextBox 1"/>
        <cdr:cNvSpPr txBox="1"/>
      </cdr:nvSpPr>
      <cdr:spPr>
        <a:xfrm xmlns:a="http://schemas.openxmlformats.org/drawingml/2006/main">
          <a:off x="0" y="3362325"/>
          <a:ext cx="5972175" cy="6572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Respondenti, kuri ir veikuši ieguldījumus pētniecībā un attīstībā </a:t>
          </a:r>
        </a:p>
        <a:p xmlns:a="http://schemas.openxmlformats.org/drawingml/2006/main">
          <a:r>
            <a:rPr lang="lv-LV" sz="900" i="1">
              <a:latin typeface="+mn-lt"/>
              <a:cs typeface="Arial" pitchFamily="34" charset="0"/>
            </a:rPr>
            <a:t>pēdējo trīs gadu laikā un snieguši atbildi, "n=" skatīt grafikā</a:t>
          </a:r>
        </a:p>
        <a:p xmlns:a="http://schemas.openxmlformats.org/drawingml/2006/main">
          <a:r>
            <a:rPr lang="lv-LV" sz="900" i="1">
              <a:latin typeface="+mn-lt"/>
              <a:cs typeface="Arial" pitchFamily="34" charset="0"/>
            </a:rPr>
            <a:t>Piezīme: *Kategorija 'Nav atbildes' nav attēlota grafikā</a:t>
          </a:r>
        </a:p>
        <a:p xmlns:a="http://schemas.openxmlformats.org/drawingml/2006/main">
          <a:r>
            <a:rPr lang="lv-LV" sz="900" i="1" baseline="0">
              <a:latin typeface="+mn-lt"/>
              <a:cs typeface="Arial" pitchFamily="34" charset="0"/>
            </a:rPr>
            <a:t>               </a:t>
          </a:r>
          <a:r>
            <a:rPr lang="lv-LV" sz="900" i="1">
              <a:latin typeface="+mn-lt"/>
              <a:cs typeface="Arial" pitchFamily="34" charset="0"/>
            </a:rPr>
            <a:t>**Mazs</a:t>
          </a:r>
          <a:r>
            <a:rPr lang="lv-LV" sz="900" i="1" baseline="0">
              <a:latin typeface="+mn-lt"/>
              <a:cs typeface="Arial" pitchFamily="34" charset="0"/>
            </a:rPr>
            <a:t> respondentu skaits, datiem ir ilustratīva nozīme</a:t>
          </a:r>
          <a:endParaRPr lang="lv-LV" sz="900" i="1">
            <a:latin typeface="+mn-lt"/>
            <a:cs typeface="Arial"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822D36-E3A9-44C5-9F63-4F93A4964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45</Pages>
  <Words>20496</Words>
  <Characters>11684</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32116</CharactersWithSpaces>
  <SharedDoc>false</SharedDoc>
  <HLinks>
    <vt:vector size="36" baseType="variant">
      <vt:variant>
        <vt:i4>6619156</vt:i4>
      </vt:variant>
      <vt:variant>
        <vt:i4>17</vt:i4>
      </vt:variant>
      <vt:variant>
        <vt:i4>0</vt:i4>
      </vt:variant>
      <vt:variant>
        <vt:i4>5</vt:i4>
      </vt:variant>
      <vt:variant>
        <vt:lpwstr/>
      </vt:variant>
      <vt:variant>
        <vt:lpwstr>__RefHeading__11_1433514755</vt:lpwstr>
      </vt:variant>
      <vt:variant>
        <vt:i4>589940</vt:i4>
      </vt:variant>
      <vt:variant>
        <vt:i4>14</vt:i4>
      </vt:variant>
      <vt:variant>
        <vt:i4>0</vt:i4>
      </vt:variant>
      <vt:variant>
        <vt:i4>5</vt:i4>
      </vt:variant>
      <vt:variant>
        <vt:lpwstr/>
      </vt:variant>
      <vt:variant>
        <vt:lpwstr>__RefHeading__9_1433514755</vt:lpwstr>
      </vt:variant>
      <vt:variant>
        <vt:i4>589946</vt:i4>
      </vt:variant>
      <vt:variant>
        <vt:i4>11</vt:i4>
      </vt:variant>
      <vt:variant>
        <vt:i4>0</vt:i4>
      </vt:variant>
      <vt:variant>
        <vt:i4>5</vt:i4>
      </vt:variant>
      <vt:variant>
        <vt:lpwstr/>
      </vt:variant>
      <vt:variant>
        <vt:lpwstr>__RefHeading__7_1433514755</vt:lpwstr>
      </vt:variant>
      <vt:variant>
        <vt:i4>589944</vt:i4>
      </vt:variant>
      <vt:variant>
        <vt:i4>8</vt:i4>
      </vt:variant>
      <vt:variant>
        <vt:i4>0</vt:i4>
      </vt:variant>
      <vt:variant>
        <vt:i4>5</vt:i4>
      </vt:variant>
      <vt:variant>
        <vt:lpwstr/>
      </vt:variant>
      <vt:variant>
        <vt:lpwstr>__RefHeading__5_1433514755</vt:lpwstr>
      </vt:variant>
      <vt:variant>
        <vt:i4>589950</vt:i4>
      </vt:variant>
      <vt:variant>
        <vt:i4>5</vt:i4>
      </vt:variant>
      <vt:variant>
        <vt:i4>0</vt:i4>
      </vt:variant>
      <vt:variant>
        <vt:i4>5</vt:i4>
      </vt:variant>
      <vt:variant>
        <vt:lpwstr/>
      </vt:variant>
      <vt:variant>
        <vt:lpwstr>__RefHeading__3_1433514755</vt:lpwstr>
      </vt:variant>
      <vt:variant>
        <vt:i4>589948</vt:i4>
      </vt:variant>
      <vt:variant>
        <vt:i4>2</vt:i4>
      </vt:variant>
      <vt:variant>
        <vt:i4>0</vt:i4>
      </vt:variant>
      <vt:variant>
        <vt:i4>5</vt:i4>
      </vt:variant>
      <vt:variant>
        <vt:lpwstr/>
      </vt:variant>
      <vt:variant>
        <vt:lpwstr>__RefHeading__1_1433514755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Gints Klāsons</dc:creator>
  <cp:lastModifiedBy>Ieva</cp:lastModifiedBy>
  <cp:revision>233</cp:revision>
  <cp:lastPrinted>2013-04-26T10:05:00Z</cp:lastPrinted>
  <dcterms:created xsi:type="dcterms:W3CDTF">2013-04-24T07:33:00Z</dcterms:created>
  <dcterms:modified xsi:type="dcterms:W3CDTF">2013-04-26T10:06:00Z</dcterms:modified>
</cp:coreProperties>
</file>