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4.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5.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6.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7.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rawings/drawing8.xml" ContentType="application/vnd.openxmlformats-officedocument.drawingml.chartshapes+xml"/>
  <Override PartName="/word/charts/chart14.xml" ContentType="application/vnd.openxmlformats-officedocument.drawingml.chart+xml"/>
  <Override PartName="/word/drawings/drawing9.xml" ContentType="application/vnd.openxmlformats-officedocument.drawingml.chartshapes+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19.xml" ContentType="application/vnd.openxmlformats-officedocument.themeOverride+xml"/>
  <Override PartName="/word/drawings/drawing10.xml" ContentType="application/vnd.openxmlformats-officedocument.drawingml.chartshapes+xml"/>
  <Override PartName="/word/charts/chart21.xml" ContentType="application/vnd.openxmlformats-officedocument.drawingml.chart+xml"/>
  <Override PartName="/word/drawings/drawing11.xml" ContentType="application/vnd.openxmlformats-officedocument.drawingml.chartshapes+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charts/chart26.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E8" w:rsidRPr="00DB426E" w:rsidRDefault="006C3F27" w:rsidP="005766E8">
      <w:pPr>
        <w:jc w:val="center"/>
        <w:rPr>
          <w:rFonts w:ascii="Arial" w:hAnsi="Arial" w:cs="Arial"/>
        </w:rPr>
      </w:pPr>
      <w:r>
        <w:rPr>
          <w:noProof/>
          <w:lang w:eastAsia="lv-LV"/>
        </w:rPr>
        <w:drawing>
          <wp:inline distT="0" distB="0" distL="0" distR="0">
            <wp:extent cx="5273040" cy="1066800"/>
            <wp:effectExtent l="19050" t="0" r="381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3040" cy="1066800"/>
                    </a:xfrm>
                    <a:prstGeom prst="rect">
                      <a:avLst/>
                    </a:prstGeom>
                    <a:solidFill>
                      <a:srgbClr val="FFFFFF"/>
                    </a:solidFill>
                    <a:ln w="9525">
                      <a:noFill/>
                      <a:miter lim="800000"/>
                      <a:headEnd/>
                      <a:tailEnd/>
                    </a:ln>
                  </pic:spPr>
                </pic:pic>
              </a:graphicData>
            </a:graphic>
          </wp:inline>
        </w:drawing>
      </w:r>
    </w:p>
    <w:p w:rsidR="005766E8" w:rsidRPr="00DB426E" w:rsidRDefault="005766E8" w:rsidP="005766E8">
      <w:pPr>
        <w:jc w:val="center"/>
        <w:rPr>
          <w:rFonts w:ascii="Arial" w:hAnsi="Arial" w:cs="Arial"/>
        </w:rPr>
      </w:pPr>
      <w:r w:rsidRPr="00DB426E">
        <w:rPr>
          <w:rFonts w:ascii="Arial" w:hAnsi="Arial" w:cs="Arial"/>
        </w:rPr>
        <w:t>Pētījums veikts Valsts kancelejas administrētā projekta „Atbalsts strukturālo reformu ieviešanai valsts pārvaldē’’ (identifikācijas Nr. 1DP/1.5.1.1.1./10/IPIA/CFLA/004/002)</w:t>
      </w:r>
    </w:p>
    <w:p w:rsidR="005766E8" w:rsidRPr="00DB426E" w:rsidRDefault="005766E8" w:rsidP="005766E8">
      <w:pPr>
        <w:jc w:val="center"/>
        <w:rPr>
          <w:rFonts w:ascii="Arial" w:hAnsi="Arial" w:cs="Arial"/>
        </w:rPr>
      </w:pPr>
      <w:r w:rsidRPr="00DB426E">
        <w:rPr>
          <w:rFonts w:ascii="Arial" w:hAnsi="Arial" w:cs="Arial"/>
        </w:rPr>
        <w:t>Aktivitātes Nr. 3.2.</w:t>
      </w:r>
    </w:p>
    <w:p w:rsidR="005766E8" w:rsidRPr="00DB426E" w:rsidRDefault="005766E8" w:rsidP="005766E8">
      <w:pPr>
        <w:jc w:val="center"/>
        <w:rPr>
          <w:rFonts w:ascii="Arial" w:hAnsi="Arial" w:cs="Arial"/>
        </w:rPr>
      </w:pPr>
      <w:r w:rsidRPr="00DB426E">
        <w:rPr>
          <w:rFonts w:ascii="Arial" w:hAnsi="Arial" w:cs="Arial"/>
        </w:rPr>
        <w:t>„Strukturālo reformu ieviešanas ietekmes novērtēšana”</w:t>
      </w:r>
      <w:r w:rsidRPr="00DB426E">
        <w:rPr>
          <w:rFonts w:ascii="Arial" w:hAnsi="Arial" w:cs="Arial"/>
          <w:color w:val="000000"/>
          <w:shd w:val="clear" w:color="auto" w:fill="FFFF00"/>
        </w:rPr>
        <w:t xml:space="preserve"> </w:t>
      </w:r>
    </w:p>
    <w:p w:rsidR="005766E8" w:rsidRPr="00DB426E" w:rsidRDefault="005766E8" w:rsidP="005766E8">
      <w:pPr>
        <w:jc w:val="center"/>
        <w:rPr>
          <w:rFonts w:ascii="Arial" w:hAnsi="Arial" w:cs="Arial"/>
        </w:rPr>
      </w:pPr>
      <w:r w:rsidRPr="00DB426E">
        <w:rPr>
          <w:rFonts w:ascii="Arial" w:hAnsi="Arial" w:cs="Arial"/>
        </w:rPr>
        <w:t>(iepirkuma ID Nr. MK VK 2012/4 ESF) ietvaros</w:t>
      </w:r>
    </w:p>
    <w:p w:rsidR="005766E8" w:rsidRPr="00DB426E" w:rsidRDefault="005766E8" w:rsidP="005766E8">
      <w:pPr>
        <w:jc w:val="center"/>
        <w:rPr>
          <w:rFonts w:ascii="Arial" w:hAnsi="Arial" w:cs="Arial"/>
        </w:rPr>
      </w:pPr>
      <w:r w:rsidRPr="00DB426E">
        <w:rPr>
          <w:rFonts w:ascii="Arial" w:hAnsi="Arial" w:cs="Arial"/>
        </w:rPr>
        <w:t>Projektu 100% apmērā finansē Eiropas Sociālais fonds</w:t>
      </w:r>
    </w:p>
    <w:p w:rsidR="005766E8" w:rsidRPr="00DB426E" w:rsidRDefault="005766E8" w:rsidP="005766E8">
      <w:pPr>
        <w:tabs>
          <w:tab w:val="left" w:pos="3818"/>
        </w:tabs>
        <w:jc w:val="center"/>
        <w:rPr>
          <w:rFonts w:ascii="Arial" w:hAnsi="Arial" w:cs="Arial"/>
        </w:rPr>
      </w:pPr>
    </w:p>
    <w:p w:rsidR="005766E8" w:rsidRPr="00DB426E" w:rsidRDefault="005766E8" w:rsidP="005766E8">
      <w:pPr>
        <w:shd w:val="clear" w:color="auto" w:fill="FFFFFF"/>
        <w:jc w:val="center"/>
        <w:rPr>
          <w:rFonts w:ascii="Arial" w:hAnsi="Arial" w:cs="Arial"/>
          <w:b/>
          <w:sz w:val="36"/>
          <w:szCs w:val="36"/>
        </w:rPr>
      </w:pPr>
      <w:r w:rsidRPr="00DB426E">
        <w:t xml:space="preserve"> </w:t>
      </w:r>
    </w:p>
    <w:p w:rsidR="005766E8" w:rsidRPr="00DB426E" w:rsidRDefault="005766E8" w:rsidP="005766E8">
      <w:pPr>
        <w:shd w:val="clear" w:color="auto" w:fill="FFFFFF"/>
        <w:jc w:val="center"/>
        <w:rPr>
          <w:rFonts w:ascii="Arial" w:hAnsi="Arial" w:cs="Arial"/>
          <w:b/>
          <w:sz w:val="36"/>
          <w:szCs w:val="36"/>
        </w:rPr>
      </w:pPr>
      <w:r w:rsidRPr="00DB426E">
        <w:rPr>
          <w:rFonts w:ascii="Arial" w:hAnsi="Arial" w:cs="Arial"/>
          <w:b/>
          <w:sz w:val="36"/>
          <w:szCs w:val="36"/>
        </w:rPr>
        <w:t>PĒTĪJUMA PAR PRIVĀTĀ SEKTORA IEGULDĪJUMIEM PĒTNIECĪBĀ UN ATTĪSTĪBĀ</w:t>
      </w:r>
    </w:p>
    <w:p w:rsidR="005766E8" w:rsidRPr="00DB426E" w:rsidRDefault="005766E8" w:rsidP="005766E8">
      <w:pPr>
        <w:shd w:val="clear" w:color="auto" w:fill="FFFFFF"/>
        <w:jc w:val="center"/>
        <w:rPr>
          <w:rFonts w:ascii="Arial" w:hAnsi="Arial" w:cs="Arial"/>
          <w:sz w:val="28"/>
          <w:szCs w:val="28"/>
        </w:rPr>
      </w:pPr>
      <w:r w:rsidRPr="00DB426E">
        <w:rPr>
          <w:rFonts w:ascii="Arial" w:hAnsi="Arial" w:cs="Arial"/>
          <w:b/>
          <w:sz w:val="36"/>
          <w:szCs w:val="36"/>
        </w:rPr>
        <w:t>GALA ZIŅOJUM</w:t>
      </w:r>
      <w:r w:rsidR="002A30A0" w:rsidRPr="00DB426E">
        <w:rPr>
          <w:rFonts w:ascii="Arial" w:hAnsi="Arial" w:cs="Arial"/>
          <w:b/>
          <w:sz w:val="36"/>
          <w:szCs w:val="36"/>
        </w:rPr>
        <w:t>S</w:t>
      </w:r>
    </w:p>
    <w:p w:rsidR="005766E8" w:rsidRPr="00DB426E" w:rsidRDefault="005766E8" w:rsidP="005766E8">
      <w:pPr>
        <w:jc w:val="center"/>
        <w:rPr>
          <w:rFonts w:ascii="Arial" w:hAnsi="Arial" w:cs="Arial"/>
          <w:b/>
          <w:sz w:val="28"/>
          <w:szCs w:val="28"/>
        </w:rPr>
      </w:pPr>
      <w:r w:rsidRPr="00DB426E">
        <w:rPr>
          <w:rFonts w:ascii="Arial" w:hAnsi="Arial" w:cs="Arial"/>
          <w:sz w:val="28"/>
          <w:szCs w:val="28"/>
        </w:rPr>
        <w:t>atbilstoši 2012.gada 27.decembra līgumam Nr.112</w:t>
      </w:r>
    </w:p>
    <w:p w:rsidR="005766E8" w:rsidRPr="00DB426E" w:rsidRDefault="005766E8" w:rsidP="005766E8">
      <w:pPr>
        <w:jc w:val="center"/>
        <w:rPr>
          <w:rFonts w:ascii="Arial" w:hAnsi="Arial" w:cs="Arial"/>
        </w:rPr>
      </w:pPr>
      <w:r w:rsidRPr="00DB426E">
        <w:rPr>
          <w:rFonts w:ascii="Arial" w:hAnsi="Arial" w:cs="Arial"/>
          <w:b/>
          <w:sz w:val="28"/>
          <w:szCs w:val="28"/>
        </w:rPr>
        <w:t>„Pētījums par privātā sektora investīcijām pētniecībā un attīstībā un priekšlikumu izstrāde atbalsta pasākumiem investīciju sekmēšanai”</w:t>
      </w:r>
    </w:p>
    <w:p w:rsidR="005766E8" w:rsidRPr="00DB426E" w:rsidRDefault="005766E8" w:rsidP="005766E8">
      <w:pPr>
        <w:jc w:val="center"/>
        <w:rPr>
          <w:rFonts w:ascii="Arial" w:hAnsi="Arial" w:cs="Arial"/>
        </w:rPr>
      </w:pPr>
    </w:p>
    <w:p w:rsidR="005766E8" w:rsidRPr="00DB426E" w:rsidRDefault="005766E8" w:rsidP="005766E8">
      <w:pPr>
        <w:jc w:val="center"/>
        <w:rPr>
          <w:rFonts w:ascii="Arial" w:hAnsi="Arial" w:cs="Arial"/>
        </w:rPr>
      </w:pPr>
    </w:p>
    <w:p w:rsidR="005766E8" w:rsidRPr="00774603" w:rsidRDefault="005766E8" w:rsidP="005766E8">
      <w:pPr>
        <w:jc w:val="center"/>
        <w:rPr>
          <w:rFonts w:ascii="Arial" w:hAnsi="Arial" w:cs="Arial"/>
        </w:rPr>
      </w:pPr>
      <w:r w:rsidRPr="00774603">
        <w:rPr>
          <w:rFonts w:ascii="Arial" w:hAnsi="Arial" w:cs="Arial"/>
        </w:rPr>
        <w:t>Izpildītājs:</w:t>
      </w:r>
    </w:p>
    <w:p w:rsidR="005766E8" w:rsidRPr="00774603" w:rsidRDefault="005766E8" w:rsidP="005766E8">
      <w:pPr>
        <w:jc w:val="center"/>
        <w:rPr>
          <w:rFonts w:ascii="Arial" w:hAnsi="Arial" w:cs="Arial"/>
        </w:rPr>
      </w:pPr>
      <w:r w:rsidRPr="00774603">
        <w:rPr>
          <w:rFonts w:ascii="Arial" w:hAnsi="Arial" w:cs="Arial"/>
        </w:rPr>
        <w:t>Personu apvienība „SIA „Baltijas Konsultācijas” un SIA „</w:t>
      </w:r>
      <w:proofErr w:type="spellStart"/>
      <w:r w:rsidRPr="00774603">
        <w:rPr>
          <w:rFonts w:ascii="Arial" w:hAnsi="Arial" w:cs="Arial"/>
        </w:rPr>
        <w:t>Konsorts</w:t>
      </w:r>
      <w:proofErr w:type="spellEnd"/>
      <w:r w:rsidRPr="00774603">
        <w:rPr>
          <w:rFonts w:ascii="Arial" w:hAnsi="Arial" w:cs="Arial"/>
        </w:rPr>
        <w:t>””</w:t>
      </w:r>
    </w:p>
    <w:p w:rsidR="005766E8" w:rsidRPr="00774603" w:rsidRDefault="005766E8" w:rsidP="005766E8">
      <w:pPr>
        <w:jc w:val="center"/>
        <w:rPr>
          <w:rFonts w:ascii="Arial" w:hAnsi="Arial" w:cs="Arial"/>
        </w:rPr>
      </w:pPr>
    </w:p>
    <w:p w:rsidR="005766E8" w:rsidRPr="00DB426E" w:rsidRDefault="005766E8" w:rsidP="005766E8">
      <w:pPr>
        <w:jc w:val="center"/>
      </w:pPr>
      <w:r w:rsidRPr="00774603">
        <w:rPr>
          <w:rFonts w:ascii="Arial" w:hAnsi="Arial" w:cs="Arial"/>
        </w:rPr>
        <w:t xml:space="preserve">Rīga, 2013.gada </w:t>
      </w:r>
      <w:r w:rsidR="00F13BD2" w:rsidRPr="00774603">
        <w:rPr>
          <w:rFonts w:ascii="Arial" w:hAnsi="Arial" w:cs="Arial"/>
        </w:rPr>
        <w:t>14.jūnijs</w:t>
      </w:r>
    </w:p>
    <w:p w:rsidR="005766E8" w:rsidRPr="00DB426E" w:rsidRDefault="005766E8" w:rsidP="005766E8"/>
    <w:p w:rsidR="005766E8" w:rsidRPr="00DB426E" w:rsidRDefault="005766E8" w:rsidP="005766E8">
      <w:pPr>
        <w:pageBreakBefore/>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rPr>
      </w:pPr>
    </w:p>
    <w:p w:rsidR="005766E8" w:rsidRPr="00DB426E" w:rsidRDefault="005766E8" w:rsidP="005766E8">
      <w:pPr>
        <w:spacing w:after="0"/>
        <w:ind w:right="2175"/>
        <w:rPr>
          <w:rFonts w:cs="Calibri"/>
          <w:color w:val="002060"/>
        </w:rPr>
      </w:pPr>
      <w:r w:rsidRPr="00DB426E">
        <w:rPr>
          <w:rFonts w:cs="Calibri"/>
          <w:b/>
          <w:color w:val="002060"/>
        </w:rPr>
        <w:t>Kontaktpersonas:</w:t>
      </w:r>
    </w:p>
    <w:tbl>
      <w:tblPr>
        <w:tblW w:w="0" w:type="auto"/>
        <w:tblLayout w:type="fixed"/>
        <w:tblLook w:val="0000" w:firstRow="0" w:lastRow="0" w:firstColumn="0" w:lastColumn="0" w:noHBand="0" w:noVBand="0"/>
      </w:tblPr>
      <w:tblGrid>
        <w:gridCol w:w="3794"/>
        <w:gridCol w:w="5827"/>
      </w:tblGrid>
      <w:tr w:rsidR="005766E8" w:rsidRPr="00DB426E" w:rsidTr="006D3AB5">
        <w:tc>
          <w:tcPr>
            <w:tcW w:w="3794" w:type="dxa"/>
            <w:shd w:val="clear" w:color="auto" w:fill="auto"/>
          </w:tcPr>
          <w:p w:rsidR="005766E8" w:rsidRPr="00DB426E" w:rsidRDefault="005766E8" w:rsidP="006D3AB5">
            <w:pPr>
              <w:spacing w:after="0"/>
              <w:ind w:right="-60"/>
              <w:rPr>
                <w:rFonts w:cs="Calibri"/>
                <w:color w:val="002060"/>
              </w:rPr>
            </w:pPr>
            <w:r w:rsidRPr="00DB426E">
              <w:rPr>
                <w:rFonts w:cs="Calibri"/>
                <w:color w:val="002060"/>
              </w:rPr>
              <w:t>SIA „</w:t>
            </w:r>
            <w:proofErr w:type="spellStart"/>
            <w:r w:rsidRPr="00DB426E">
              <w:rPr>
                <w:rFonts w:cs="Calibri"/>
                <w:color w:val="002060"/>
              </w:rPr>
              <w:t>Konsorts</w:t>
            </w:r>
            <w:proofErr w:type="spellEnd"/>
            <w:r w:rsidRPr="00DB426E">
              <w:rPr>
                <w:rFonts w:cs="Calibri"/>
                <w:color w:val="002060"/>
              </w:rPr>
              <w:t>”</w:t>
            </w:r>
          </w:p>
          <w:p w:rsidR="005766E8" w:rsidRPr="00DB426E" w:rsidRDefault="005766E8" w:rsidP="006D3AB5">
            <w:pPr>
              <w:spacing w:after="0"/>
              <w:ind w:right="-60"/>
              <w:rPr>
                <w:color w:val="002060"/>
              </w:rPr>
            </w:pPr>
            <w:r w:rsidRPr="00DB426E">
              <w:rPr>
                <w:rFonts w:cs="Calibri"/>
                <w:color w:val="002060"/>
              </w:rPr>
              <w:t>izpilddirektors Kaspars Timofejevs</w:t>
            </w:r>
          </w:p>
          <w:p w:rsidR="005766E8" w:rsidRPr="00DB426E" w:rsidRDefault="005766E8" w:rsidP="006D3AB5">
            <w:pPr>
              <w:tabs>
                <w:tab w:val="left" w:pos="2410"/>
              </w:tabs>
              <w:spacing w:after="0"/>
              <w:ind w:right="-60"/>
              <w:rPr>
                <w:rFonts w:cs="Calibri"/>
                <w:color w:val="002060"/>
              </w:rPr>
            </w:pPr>
            <w:r w:rsidRPr="00DB426E">
              <w:rPr>
                <w:color w:val="002060"/>
              </w:rPr>
              <w:t>kaspars.timofejevs@konsorts.lv</w:t>
            </w:r>
            <w:r w:rsidRPr="00DB426E">
              <w:rPr>
                <w:rFonts w:cs="Calibri"/>
                <w:color w:val="002060"/>
              </w:rPr>
              <w:t xml:space="preserve"> </w:t>
            </w:r>
          </w:p>
          <w:p w:rsidR="005766E8" w:rsidRPr="00DB426E" w:rsidRDefault="005766E8" w:rsidP="006D3AB5">
            <w:pPr>
              <w:tabs>
                <w:tab w:val="left" w:pos="0"/>
              </w:tabs>
              <w:spacing w:after="0"/>
              <w:ind w:right="-60"/>
              <w:rPr>
                <w:rFonts w:cs="Calibri"/>
                <w:color w:val="002060"/>
              </w:rPr>
            </w:pPr>
            <w:r w:rsidRPr="00DB426E">
              <w:rPr>
                <w:rFonts w:cs="Calibri"/>
                <w:color w:val="002060"/>
              </w:rPr>
              <w:t>Tālr. +371 29494787</w:t>
            </w:r>
          </w:p>
        </w:tc>
        <w:tc>
          <w:tcPr>
            <w:tcW w:w="5827" w:type="dxa"/>
            <w:shd w:val="clear" w:color="auto" w:fill="auto"/>
          </w:tcPr>
          <w:p w:rsidR="005766E8" w:rsidRPr="00DB426E" w:rsidRDefault="005766E8" w:rsidP="006D3AB5">
            <w:pPr>
              <w:spacing w:after="0"/>
              <w:rPr>
                <w:rFonts w:cs="Calibri"/>
                <w:color w:val="002060"/>
              </w:rPr>
            </w:pPr>
            <w:r w:rsidRPr="00DB426E">
              <w:rPr>
                <w:rFonts w:cs="Calibri"/>
                <w:color w:val="002060"/>
              </w:rPr>
              <w:t>SIA „Baltijas Konsultācijas”</w:t>
            </w:r>
          </w:p>
          <w:p w:rsidR="005766E8" w:rsidRPr="00DB426E" w:rsidRDefault="005766E8" w:rsidP="006D3AB5">
            <w:pPr>
              <w:spacing w:after="0"/>
              <w:rPr>
                <w:rFonts w:cs="Calibri"/>
                <w:color w:val="002060"/>
              </w:rPr>
            </w:pPr>
            <w:r w:rsidRPr="00DB426E">
              <w:rPr>
                <w:rFonts w:cs="Calibri"/>
                <w:color w:val="002060"/>
              </w:rPr>
              <w:t>Valdes priekšsēdētājs Gatis Liepiņš</w:t>
            </w:r>
          </w:p>
          <w:p w:rsidR="005766E8" w:rsidRPr="00DB426E" w:rsidRDefault="005766E8" w:rsidP="006D3AB5">
            <w:pPr>
              <w:spacing w:after="0"/>
              <w:rPr>
                <w:rFonts w:cs="Calibri"/>
                <w:color w:val="002060"/>
              </w:rPr>
            </w:pPr>
            <w:r w:rsidRPr="00DB426E">
              <w:rPr>
                <w:rFonts w:cs="Calibri"/>
                <w:color w:val="002060"/>
              </w:rPr>
              <w:t xml:space="preserve">gatis@balticconsulting.com </w:t>
            </w:r>
          </w:p>
          <w:p w:rsidR="005766E8" w:rsidRPr="00DB426E" w:rsidRDefault="005766E8" w:rsidP="006D3AB5">
            <w:pPr>
              <w:spacing w:after="0"/>
              <w:rPr>
                <w:rFonts w:cs="Calibri"/>
                <w:b/>
                <w:caps/>
                <w:sz w:val="28"/>
              </w:rPr>
            </w:pPr>
            <w:r w:rsidRPr="00DB426E">
              <w:rPr>
                <w:rFonts w:cs="Calibri"/>
                <w:color w:val="002060"/>
              </w:rPr>
              <w:t>Tālr. +371 67338804</w:t>
            </w:r>
          </w:p>
        </w:tc>
      </w:tr>
    </w:tbl>
    <w:p w:rsidR="005766E8" w:rsidRPr="00DB426E" w:rsidRDefault="005766E8" w:rsidP="005766E8">
      <w:pPr>
        <w:pageBreakBefore/>
        <w:spacing w:after="0"/>
        <w:ind w:right="49"/>
        <w:jc w:val="center"/>
        <w:rPr>
          <w:rFonts w:cs="Calibri"/>
          <w:b/>
          <w:color w:val="1F497D"/>
          <w:sz w:val="24"/>
        </w:rPr>
      </w:pPr>
      <w:r w:rsidRPr="00DB426E">
        <w:rPr>
          <w:rFonts w:cs="Calibri"/>
          <w:b/>
          <w:caps/>
          <w:sz w:val="28"/>
        </w:rPr>
        <w:lastRenderedPageBreak/>
        <w:t>Satura rādītājs</w:t>
      </w:r>
    </w:p>
    <w:p w:rsidR="00987517" w:rsidRDefault="00893B8C">
      <w:pPr>
        <w:pStyle w:val="TOC1"/>
        <w:tabs>
          <w:tab w:val="right" w:leader="dot" w:pos="9395"/>
        </w:tabs>
        <w:rPr>
          <w:rFonts w:asciiTheme="minorHAnsi" w:eastAsiaTheme="minorEastAsia" w:hAnsiTheme="minorHAnsi" w:cstheme="minorBidi"/>
          <w:b w:val="0"/>
          <w:bCs w:val="0"/>
          <w:caps w:val="0"/>
          <w:noProof/>
          <w:sz w:val="22"/>
          <w:szCs w:val="22"/>
          <w:lang w:eastAsia="lv-LV"/>
        </w:rPr>
      </w:pPr>
      <w:r w:rsidRPr="00DB426E">
        <w:fldChar w:fldCharType="begin"/>
      </w:r>
      <w:r w:rsidR="00AD5C6F" w:rsidRPr="00DB426E">
        <w:instrText xml:space="preserve"> TOC \o "1-4" </w:instrText>
      </w:r>
      <w:r w:rsidRPr="00DB426E">
        <w:fldChar w:fldCharType="separate"/>
      </w:r>
      <w:r w:rsidR="00987517">
        <w:rPr>
          <w:noProof/>
        </w:rPr>
        <w:t>Ievads</w:t>
      </w:r>
      <w:r w:rsidR="00987517">
        <w:rPr>
          <w:noProof/>
        </w:rPr>
        <w:tab/>
      </w:r>
      <w:r w:rsidR="00987517">
        <w:rPr>
          <w:noProof/>
        </w:rPr>
        <w:fldChar w:fldCharType="begin"/>
      </w:r>
      <w:r w:rsidR="00987517">
        <w:rPr>
          <w:noProof/>
        </w:rPr>
        <w:instrText xml:space="preserve"> PAGEREF _Toc358978678 \h </w:instrText>
      </w:r>
      <w:r w:rsidR="00987517">
        <w:rPr>
          <w:noProof/>
        </w:rPr>
      </w:r>
      <w:r w:rsidR="00987517">
        <w:rPr>
          <w:noProof/>
        </w:rPr>
        <w:fldChar w:fldCharType="separate"/>
      </w:r>
      <w:r w:rsidR="00987517">
        <w:rPr>
          <w:noProof/>
        </w:rPr>
        <w:t>6</w:t>
      </w:r>
      <w:r w:rsidR="00987517">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rPr>
        <w:t>1</w:t>
      </w:r>
      <w:r>
        <w:rPr>
          <w:rFonts w:asciiTheme="minorHAnsi" w:eastAsiaTheme="minorEastAsia" w:hAnsiTheme="minorHAnsi" w:cstheme="minorBidi"/>
          <w:b w:val="0"/>
          <w:bCs w:val="0"/>
          <w:caps w:val="0"/>
          <w:noProof/>
          <w:sz w:val="22"/>
          <w:szCs w:val="22"/>
          <w:lang w:eastAsia="lv-LV"/>
        </w:rPr>
        <w:tab/>
      </w:r>
      <w:r>
        <w:rPr>
          <w:noProof/>
        </w:rPr>
        <w:t>Zinātniskie pētījumi, inovācija un ekonomiskā izaugsme</w:t>
      </w:r>
      <w:r>
        <w:rPr>
          <w:noProof/>
        </w:rPr>
        <w:tab/>
      </w:r>
      <w:r>
        <w:rPr>
          <w:noProof/>
        </w:rPr>
        <w:fldChar w:fldCharType="begin"/>
      </w:r>
      <w:r>
        <w:rPr>
          <w:noProof/>
        </w:rPr>
        <w:instrText xml:space="preserve"> PAGEREF _Toc358978679 \h </w:instrText>
      </w:r>
      <w:r>
        <w:rPr>
          <w:noProof/>
        </w:rPr>
      </w:r>
      <w:r>
        <w:rPr>
          <w:noProof/>
        </w:rPr>
        <w:fldChar w:fldCharType="separate"/>
      </w:r>
      <w:r>
        <w:rPr>
          <w:noProof/>
        </w:rPr>
        <w:t>7</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lang w:eastAsia="lv-LV"/>
        </w:rPr>
        <w:t>1.1</w:t>
      </w:r>
      <w:r>
        <w:rPr>
          <w:rFonts w:asciiTheme="minorHAnsi" w:eastAsiaTheme="minorEastAsia" w:hAnsiTheme="minorHAnsi" w:cstheme="minorBidi"/>
          <w:smallCaps w:val="0"/>
          <w:noProof/>
          <w:sz w:val="22"/>
          <w:szCs w:val="22"/>
          <w:lang w:eastAsia="lv-LV"/>
        </w:rPr>
        <w:tab/>
      </w:r>
      <w:r>
        <w:rPr>
          <w:noProof/>
          <w:lang w:eastAsia="lv-LV"/>
        </w:rPr>
        <w:t>Eiropas Savienības pozīcijas un konkurētspēja pasaules zinātniskajos sasniegumos un inovācijā</w:t>
      </w:r>
      <w:r>
        <w:rPr>
          <w:noProof/>
        </w:rPr>
        <w:tab/>
      </w:r>
      <w:r>
        <w:rPr>
          <w:noProof/>
        </w:rPr>
        <w:fldChar w:fldCharType="begin"/>
      </w:r>
      <w:r>
        <w:rPr>
          <w:noProof/>
        </w:rPr>
        <w:instrText xml:space="preserve"> PAGEREF _Toc358978680 \h </w:instrText>
      </w:r>
      <w:r>
        <w:rPr>
          <w:noProof/>
        </w:rPr>
      </w:r>
      <w:r>
        <w:rPr>
          <w:noProof/>
        </w:rPr>
        <w:fldChar w:fldCharType="separate"/>
      </w:r>
      <w:r>
        <w:rPr>
          <w:noProof/>
        </w:rPr>
        <w:t>7</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lang w:eastAsia="lv-LV"/>
        </w:rPr>
        <w:t>1.2</w:t>
      </w:r>
      <w:r>
        <w:rPr>
          <w:rFonts w:asciiTheme="minorHAnsi" w:eastAsiaTheme="minorEastAsia" w:hAnsiTheme="minorHAnsi" w:cstheme="minorBidi"/>
          <w:smallCaps w:val="0"/>
          <w:noProof/>
          <w:sz w:val="22"/>
          <w:szCs w:val="22"/>
          <w:lang w:eastAsia="lv-LV"/>
        </w:rPr>
        <w:tab/>
      </w:r>
      <w:r>
        <w:rPr>
          <w:noProof/>
          <w:lang w:eastAsia="lv-LV"/>
        </w:rPr>
        <w:t>Zinātniski pētniecisko darbu finansēšana Eiropas Savienībā, attīstītajās valstīs un Krievijā</w:t>
      </w:r>
      <w:r>
        <w:rPr>
          <w:noProof/>
        </w:rPr>
        <w:tab/>
      </w:r>
      <w:r>
        <w:rPr>
          <w:noProof/>
        </w:rPr>
        <w:fldChar w:fldCharType="begin"/>
      </w:r>
      <w:r>
        <w:rPr>
          <w:noProof/>
        </w:rPr>
        <w:instrText xml:space="preserve"> PAGEREF _Toc358978681 \h </w:instrText>
      </w:r>
      <w:r>
        <w:rPr>
          <w:noProof/>
        </w:rPr>
      </w:r>
      <w:r>
        <w:rPr>
          <w:noProof/>
        </w:rPr>
        <w:fldChar w:fldCharType="separate"/>
      </w:r>
      <w:r>
        <w:rPr>
          <w:noProof/>
        </w:rPr>
        <w:t>8</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lang w:eastAsia="lv-LV"/>
        </w:rPr>
        <w:t>1.3</w:t>
      </w:r>
      <w:r>
        <w:rPr>
          <w:rFonts w:asciiTheme="minorHAnsi" w:eastAsiaTheme="minorEastAsia" w:hAnsiTheme="minorHAnsi" w:cstheme="minorBidi"/>
          <w:smallCaps w:val="0"/>
          <w:noProof/>
          <w:sz w:val="22"/>
          <w:szCs w:val="22"/>
          <w:lang w:eastAsia="lv-LV"/>
        </w:rPr>
        <w:tab/>
      </w:r>
      <w:r>
        <w:rPr>
          <w:noProof/>
          <w:lang w:eastAsia="lv-LV"/>
        </w:rPr>
        <w:t>Zinātniski pētniecisko darbu finansēšana Eiropas valstīs</w:t>
      </w:r>
      <w:r>
        <w:rPr>
          <w:noProof/>
        </w:rPr>
        <w:tab/>
      </w:r>
      <w:r>
        <w:rPr>
          <w:noProof/>
        </w:rPr>
        <w:fldChar w:fldCharType="begin"/>
      </w:r>
      <w:r>
        <w:rPr>
          <w:noProof/>
        </w:rPr>
        <w:instrText xml:space="preserve"> PAGEREF _Toc358978682 \h </w:instrText>
      </w:r>
      <w:r>
        <w:rPr>
          <w:noProof/>
        </w:rPr>
      </w:r>
      <w:r>
        <w:rPr>
          <w:noProof/>
        </w:rPr>
        <w:fldChar w:fldCharType="separate"/>
      </w:r>
      <w:r>
        <w:rPr>
          <w:noProof/>
        </w:rPr>
        <w:t>11</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lang w:eastAsia="lv-LV"/>
        </w:rPr>
        <w:t>1.3.1</w:t>
      </w:r>
      <w:r>
        <w:rPr>
          <w:rFonts w:asciiTheme="minorHAnsi" w:eastAsiaTheme="minorEastAsia" w:hAnsiTheme="minorHAnsi" w:cstheme="minorBidi"/>
          <w:i w:val="0"/>
          <w:iCs w:val="0"/>
          <w:noProof/>
          <w:sz w:val="22"/>
          <w:szCs w:val="22"/>
          <w:lang w:eastAsia="lv-LV"/>
        </w:rPr>
        <w:tab/>
      </w:r>
      <w:r>
        <w:rPr>
          <w:noProof/>
          <w:lang w:eastAsia="lv-LV"/>
        </w:rPr>
        <w:t>Finansējuma avoti zinātniski pētnieciskajam darbam</w:t>
      </w:r>
      <w:r>
        <w:rPr>
          <w:noProof/>
        </w:rPr>
        <w:tab/>
      </w:r>
      <w:r>
        <w:rPr>
          <w:noProof/>
        </w:rPr>
        <w:fldChar w:fldCharType="begin"/>
      </w:r>
      <w:r>
        <w:rPr>
          <w:noProof/>
        </w:rPr>
        <w:instrText xml:space="preserve"> PAGEREF _Toc358978683 \h </w:instrText>
      </w:r>
      <w:r>
        <w:rPr>
          <w:noProof/>
        </w:rPr>
      </w:r>
      <w:r>
        <w:rPr>
          <w:noProof/>
        </w:rPr>
        <w:fldChar w:fldCharType="separate"/>
      </w:r>
      <w:r>
        <w:rPr>
          <w:noProof/>
        </w:rPr>
        <w:t>11</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1.3.2</w:t>
      </w:r>
      <w:r>
        <w:rPr>
          <w:rFonts w:asciiTheme="minorHAnsi" w:eastAsiaTheme="minorEastAsia" w:hAnsiTheme="minorHAnsi" w:cstheme="minorBidi"/>
          <w:i w:val="0"/>
          <w:iCs w:val="0"/>
          <w:noProof/>
          <w:sz w:val="22"/>
          <w:szCs w:val="22"/>
          <w:lang w:eastAsia="lv-LV"/>
        </w:rPr>
        <w:tab/>
      </w:r>
      <w:r>
        <w:rPr>
          <w:noProof/>
        </w:rPr>
        <w:t>Zinātniski pētniecisko darbu veikšanas sektori</w:t>
      </w:r>
      <w:r>
        <w:rPr>
          <w:noProof/>
        </w:rPr>
        <w:tab/>
      </w:r>
      <w:r>
        <w:rPr>
          <w:noProof/>
        </w:rPr>
        <w:fldChar w:fldCharType="begin"/>
      </w:r>
      <w:r>
        <w:rPr>
          <w:noProof/>
        </w:rPr>
        <w:instrText xml:space="preserve"> PAGEREF _Toc358978684 \h </w:instrText>
      </w:r>
      <w:r>
        <w:rPr>
          <w:noProof/>
        </w:rPr>
      </w:r>
      <w:r>
        <w:rPr>
          <w:noProof/>
        </w:rPr>
        <w:fldChar w:fldCharType="separate"/>
      </w:r>
      <w:r>
        <w:rPr>
          <w:noProof/>
        </w:rPr>
        <w:t>13</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lang w:eastAsia="lv-LV"/>
        </w:rPr>
        <w:t>1.4</w:t>
      </w:r>
      <w:r>
        <w:rPr>
          <w:rFonts w:asciiTheme="minorHAnsi" w:eastAsiaTheme="minorEastAsia" w:hAnsiTheme="minorHAnsi" w:cstheme="minorBidi"/>
          <w:smallCaps w:val="0"/>
          <w:noProof/>
          <w:sz w:val="22"/>
          <w:szCs w:val="22"/>
          <w:lang w:eastAsia="lv-LV"/>
        </w:rPr>
        <w:tab/>
      </w:r>
      <w:r>
        <w:rPr>
          <w:noProof/>
          <w:lang w:eastAsia="lv-LV"/>
        </w:rPr>
        <w:t>Zinātniski pētniecisko darbu finansēšana Latvijā</w:t>
      </w:r>
      <w:r>
        <w:rPr>
          <w:noProof/>
        </w:rPr>
        <w:tab/>
      </w:r>
      <w:r>
        <w:rPr>
          <w:noProof/>
        </w:rPr>
        <w:fldChar w:fldCharType="begin"/>
      </w:r>
      <w:r>
        <w:rPr>
          <w:noProof/>
        </w:rPr>
        <w:instrText xml:space="preserve"> PAGEREF _Toc358978685 \h </w:instrText>
      </w:r>
      <w:r>
        <w:rPr>
          <w:noProof/>
        </w:rPr>
      </w:r>
      <w:r>
        <w:rPr>
          <w:noProof/>
        </w:rPr>
        <w:fldChar w:fldCharType="separate"/>
      </w:r>
      <w:r>
        <w:rPr>
          <w:noProof/>
        </w:rPr>
        <w:t>14</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1.5</w:t>
      </w:r>
      <w:r>
        <w:rPr>
          <w:rFonts w:asciiTheme="minorHAnsi" w:eastAsiaTheme="minorEastAsia" w:hAnsiTheme="minorHAnsi" w:cstheme="minorBidi"/>
          <w:smallCaps w:val="0"/>
          <w:noProof/>
          <w:sz w:val="22"/>
          <w:szCs w:val="22"/>
          <w:lang w:eastAsia="lv-LV"/>
        </w:rPr>
        <w:tab/>
      </w:r>
      <w:r>
        <w:rPr>
          <w:noProof/>
          <w:lang w:eastAsia="lv-LV"/>
        </w:rPr>
        <w:t>Zinātnisko pētījumu un inovācijas</w:t>
      </w:r>
      <w:r>
        <w:rPr>
          <w:noProof/>
        </w:rPr>
        <w:t xml:space="preserve"> savstarpējās sakarības (kvantitatīvais aspekts)</w:t>
      </w:r>
      <w:r>
        <w:rPr>
          <w:noProof/>
        </w:rPr>
        <w:tab/>
      </w:r>
      <w:r>
        <w:rPr>
          <w:noProof/>
        </w:rPr>
        <w:fldChar w:fldCharType="begin"/>
      </w:r>
      <w:r>
        <w:rPr>
          <w:noProof/>
        </w:rPr>
        <w:instrText xml:space="preserve"> PAGEREF _Toc358978686 \h </w:instrText>
      </w:r>
      <w:r>
        <w:rPr>
          <w:noProof/>
        </w:rPr>
      </w:r>
      <w:r>
        <w:rPr>
          <w:noProof/>
        </w:rPr>
        <w:fldChar w:fldCharType="separate"/>
      </w:r>
      <w:r>
        <w:rPr>
          <w:noProof/>
        </w:rPr>
        <w:t>15</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lang w:eastAsia="lv-LV"/>
        </w:rPr>
        <w:t>1.6</w:t>
      </w:r>
      <w:r>
        <w:rPr>
          <w:rFonts w:asciiTheme="minorHAnsi" w:eastAsiaTheme="minorEastAsia" w:hAnsiTheme="minorHAnsi" w:cstheme="minorBidi"/>
          <w:smallCaps w:val="0"/>
          <w:noProof/>
          <w:sz w:val="22"/>
          <w:szCs w:val="22"/>
          <w:lang w:eastAsia="lv-LV"/>
        </w:rPr>
        <w:tab/>
      </w:r>
      <w:r>
        <w:rPr>
          <w:noProof/>
          <w:lang w:eastAsia="lv-LV"/>
        </w:rPr>
        <w:t>Rezumējums</w:t>
      </w:r>
      <w:r>
        <w:rPr>
          <w:noProof/>
        </w:rPr>
        <w:tab/>
      </w:r>
      <w:r>
        <w:rPr>
          <w:noProof/>
        </w:rPr>
        <w:fldChar w:fldCharType="begin"/>
      </w:r>
      <w:r>
        <w:rPr>
          <w:noProof/>
        </w:rPr>
        <w:instrText xml:space="preserve"> PAGEREF _Toc358978687 \h </w:instrText>
      </w:r>
      <w:r>
        <w:rPr>
          <w:noProof/>
        </w:rPr>
      </w:r>
      <w:r>
        <w:rPr>
          <w:noProof/>
        </w:rPr>
        <w:fldChar w:fldCharType="separate"/>
      </w:r>
      <w:r>
        <w:rPr>
          <w:noProof/>
        </w:rPr>
        <w:t>20</w:t>
      </w:r>
      <w:r>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rPr>
        <w:t>2</w:t>
      </w:r>
      <w:r>
        <w:rPr>
          <w:rFonts w:asciiTheme="minorHAnsi" w:eastAsiaTheme="minorEastAsia" w:hAnsiTheme="minorHAnsi" w:cstheme="minorBidi"/>
          <w:b w:val="0"/>
          <w:bCs w:val="0"/>
          <w:caps w:val="0"/>
          <w:noProof/>
          <w:sz w:val="22"/>
          <w:szCs w:val="22"/>
          <w:lang w:eastAsia="lv-LV"/>
        </w:rPr>
        <w:tab/>
      </w:r>
      <w:r>
        <w:rPr>
          <w:noProof/>
        </w:rPr>
        <w:t>Aptaujas rezultāti par uzņēmumu biznesa praksi pētniecības un inovāciju jomā</w:t>
      </w:r>
      <w:r>
        <w:rPr>
          <w:noProof/>
        </w:rPr>
        <w:tab/>
      </w:r>
      <w:r>
        <w:rPr>
          <w:noProof/>
        </w:rPr>
        <w:fldChar w:fldCharType="begin"/>
      </w:r>
      <w:r>
        <w:rPr>
          <w:noProof/>
        </w:rPr>
        <w:instrText xml:space="preserve"> PAGEREF _Toc358978688 \h </w:instrText>
      </w:r>
      <w:r>
        <w:rPr>
          <w:noProof/>
        </w:rPr>
      </w:r>
      <w:r>
        <w:rPr>
          <w:noProof/>
        </w:rPr>
        <w:fldChar w:fldCharType="separate"/>
      </w:r>
      <w:r>
        <w:rPr>
          <w:noProof/>
        </w:rPr>
        <w:t>22</w:t>
      </w:r>
      <w:r>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rPr>
        <w:t>3</w:t>
      </w:r>
      <w:r>
        <w:rPr>
          <w:rFonts w:asciiTheme="minorHAnsi" w:eastAsiaTheme="minorEastAsia" w:hAnsiTheme="minorHAnsi" w:cstheme="minorBidi"/>
          <w:b w:val="0"/>
          <w:bCs w:val="0"/>
          <w:caps w:val="0"/>
          <w:noProof/>
          <w:sz w:val="22"/>
          <w:szCs w:val="22"/>
          <w:lang w:eastAsia="lv-LV"/>
        </w:rPr>
        <w:tab/>
      </w:r>
      <w:r>
        <w:rPr>
          <w:noProof/>
        </w:rPr>
        <w:t>Esošo nodokļu atvieglojumu ieguldījumiem R&amp;D novērtējums</w:t>
      </w:r>
      <w:r>
        <w:rPr>
          <w:noProof/>
        </w:rPr>
        <w:tab/>
      </w:r>
      <w:r>
        <w:rPr>
          <w:noProof/>
        </w:rPr>
        <w:fldChar w:fldCharType="begin"/>
      </w:r>
      <w:r>
        <w:rPr>
          <w:noProof/>
        </w:rPr>
        <w:instrText xml:space="preserve"> PAGEREF _Toc358978689 \h </w:instrText>
      </w:r>
      <w:r>
        <w:rPr>
          <w:noProof/>
        </w:rPr>
      </w:r>
      <w:r>
        <w:rPr>
          <w:noProof/>
        </w:rPr>
        <w:fldChar w:fldCharType="separate"/>
      </w:r>
      <w:r>
        <w:rPr>
          <w:noProof/>
        </w:rPr>
        <w:t>24</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3.1</w:t>
      </w:r>
      <w:r>
        <w:rPr>
          <w:rFonts w:asciiTheme="minorHAnsi" w:eastAsiaTheme="minorEastAsia" w:hAnsiTheme="minorHAnsi" w:cstheme="minorBidi"/>
          <w:smallCaps w:val="0"/>
          <w:noProof/>
          <w:sz w:val="22"/>
          <w:szCs w:val="22"/>
          <w:lang w:eastAsia="lv-LV"/>
        </w:rPr>
        <w:tab/>
      </w:r>
      <w:r w:rsidRPr="001C0D5F">
        <w:rPr>
          <w:rFonts w:cs="Calibri"/>
          <w:noProof/>
        </w:rPr>
        <w:t>Normatīvo aktu analīze nodokļu jomā Latvijā</w:t>
      </w:r>
      <w:r>
        <w:rPr>
          <w:noProof/>
        </w:rPr>
        <w:tab/>
      </w:r>
      <w:r>
        <w:rPr>
          <w:noProof/>
        </w:rPr>
        <w:fldChar w:fldCharType="begin"/>
      </w:r>
      <w:r>
        <w:rPr>
          <w:noProof/>
        </w:rPr>
        <w:instrText xml:space="preserve"> PAGEREF _Toc358978690 \h </w:instrText>
      </w:r>
      <w:r>
        <w:rPr>
          <w:noProof/>
        </w:rPr>
      </w:r>
      <w:r>
        <w:rPr>
          <w:noProof/>
        </w:rPr>
        <w:fldChar w:fldCharType="separate"/>
      </w:r>
      <w:r>
        <w:rPr>
          <w:noProof/>
        </w:rPr>
        <w:t>24</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sidRPr="001C0D5F">
        <w:rPr>
          <w:rFonts w:cs="Calibri"/>
          <w:noProof/>
        </w:rPr>
        <w:t>3.2</w:t>
      </w:r>
      <w:r>
        <w:rPr>
          <w:rFonts w:asciiTheme="minorHAnsi" w:eastAsiaTheme="minorEastAsia" w:hAnsiTheme="minorHAnsi" w:cstheme="minorBidi"/>
          <w:smallCaps w:val="0"/>
          <w:noProof/>
          <w:sz w:val="22"/>
          <w:szCs w:val="22"/>
          <w:lang w:eastAsia="lv-LV"/>
        </w:rPr>
        <w:tab/>
      </w:r>
      <w:r w:rsidRPr="001C0D5F">
        <w:rPr>
          <w:rFonts w:cs="Calibri"/>
          <w:noProof/>
        </w:rPr>
        <w:t>Citu ES dalībvalstu pieredzes izvērtēšana nodokļu atvieglojumu piemērošanas jomā</w:t>
      </w:r>
      <w:r>
        <w:rPr>
          <w:noProof/>
        </w:rPr>
        <w:tab/>
      </w:r>
      <w:r>
        <w:rPr>
          <w:noProof/>
        </w:rPr>
        <w:fldChar w:fldCharType="begin"/>
      </w:r>
      <w:r>
        <w:rPr>
          <w:noProof/>
        </w:rPr>
        <w:instrText xml:space="preserve"> PAGEREF _Toc358978691 \h </w:instrText>
      </w:r>
      <w:r>
        <w:rPr>
          <w:noProof/>
        </w:rPr>
      </w:r>
      <w:r>
        <w:rPr>
          <w:noProof/>
        </w:rPr>
        <w:fldChar w:fldCharType="separate"/>
      </w:r>
      <w:r>
        <w:rPr>
          <w:noProof/>
        </w:rPr>
        <w:t>25</w:t>
      </w:r>
      <w:r>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rPr>
        <w:t>4</w:t>
      </w:r>
      <w:r>
        <w:rPr>
          <w:rFonts w:asciiTheme="minorHAnsi" w:eastAsiaTheme="minorEastAsia" w:hAnsiTheme="minorHAnsi" w:cstheme="minorBidi"/>
          <w:b w:val="0"/>
          <w:bCs w:val="0"/>
          <w:caps w:val="0"/>
          <w:noProof/>
          <w:sz w:val="22"/>
          <w:szCs w:val="22"/>
          <w:lang w:eastAsia="lv-LV"/>
        </w:rPr>
        <w:tab/>
      </w:r>
      <w:r>
        <w:rPr>
          <w:noProof/>
        </w:rPr>
        <w:t>Esošo uzņēmumu atbalsta instrumentu ietekmes uz privātā sektora investīciju piesaisti R&amp;D novērtējums</w:t>
      </w:r>
      <w:r>
        <w:rPr>
          <w:noProof/>
        </w:rPr>
        <w:tab/>
      </w:r>
      <w:r>
        <w:rPr>
          <w:noProof/>
        </w:rPr>
        <w:fldChar w:fldCharType="begin"/>
      </w:r>
      <w:r>
        <w:rPr>
          <w:noProof/>
        </w:rPr>
        <w:instrText xml:space="preserve"> PAGEREF _Toc358978692 \h </w:instrText>
      </w:r>
      <w:r>
        <w:rPr>
          <w:noProof/>
        </w:rPr>
      </w:r>
      <w:r>
        <w:rPr>
          <w:noProof/>
        </w:rPr>
        <w:fldChar w:fldCharType="separate"/>
      </w:r>
      <w:r>
        <w:rPr>
          <w:noProof/>
        </w:rPr>
        <w:t>31</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4.1</w:t>
      </w:r>
      <w:r>
        <w:rPr>
          <w:rFonts w:asciiTheme="minorHAnsi" w:eastAsiaTheme="minorEastAsia" w:hAnsiTheme="minorHAnsi" w:cstheme="minorBidi"/>
          <w:smallCaps w:val="0"/>
          <w:noProof/>
          <w:sz w:val="22"/>
          <w:szCs w:val="22"/>
          <w:lang w:eastAsia="lv-LV"/>
        </w:rPr>
        <w:tab/>
      </w:r>
      <w:r>
        <w:rPr>
          <w:noProof/>
        </w:rPr>
        <w:t>Esošie valsts atbalsta instrumenti, kuri sekmē ieguldījumus R&amp;D</w:t>
      </w:r>
      <w:r>
        <w:rPr>
          <w:noProof/>
        </w:rPr>
        <w:tab/>
      </w:r>
      <w:r>
        <w:rPr>
          <w:noProof/>
        </w:rPr>
        <w:fldChar w:fldCharType="begin"/>
      </w:r>
      <w:r>
        <w:rPr>
          <w:noProof/>
        </w:rPr>
        <w:instrText xml:space="preserve"> PAGEREF _Toc358978693 \h </w:instrText>
      </w:r>
      <w:r>
        <w:rPr>
          <w:noProof/>
        </w:rPr>
      </w:r>
      <w:r>
        <w:rPr>
          <w:noProof/>
        </w:rPr>
        <w:fldChar w:fldCharType="separate"/>
      </w:r>
      <w:r>
        <w:rPr>
          <w:noProof/>
        </w:rPr>
        <w:t>31</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4.2</w:t>
      </w:r>
      <w:r>
        <w:rPr>
          <w:rFonts w:asciiTheme="minorHAnsi" w:eastAsiaTheme="minorEastAsia" w:hAnsiTheme="minorHAnsi" w:cstheme="minorBidi"/>
          <w:smallCaps w:val="0"/>
          <w:noProof/>
          <w:sz w:val="22"/>
          <w:szCs w:val="22"/>
          <w:lang w:eastAsia="lv-LV"/>
        </w:rPr>
        <w:tab/>
      </w:r>
      <w:r>
        <w:rPr>
          <w:noProof/>
        </w:rPr>
        <w:t>Atbalsta instrumentus regulējošo normatīvo aktu analīze un projektu rezultātu un programmu rādītāju sakarību un atbilstības vērtējums</w:t>
      </w:r>
      <w:r>
        <w:rPr>
          <w:noProof/>
        </w:rPr>
        <w:tab/>
      </w:r>
      <w:r>
        <w:rPr>
          <w:noProof/>
        </w:rPr>
        <w:fldChar w:fldCharType="begin"/>
      </w:r>
      <w:r>
        <w:rPr>
          <w:noProof/>
        </w:rPr>
        <w:instrText xml:space="preserve"> PAGEREF _Toc358978694 \h </w:instrText>
      </w:r>
      <w:r>
        <w:rPr>
          <w:noProof/>
        </w:rPr>
      </w:r>
      <w:r>
        <w:rPr>
          <w:noProof/>
        </w:rPr>
        <w:fldChar w:fldCharType="separate"/>
      </w:r>
      <w:r>
        <w:rPr>
          <w:noProof/>
        </w:rPr>
        <w:t>32</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4.3</w:t>
      </w:r>
      <w:r>
        <w:rPr>
          <w:rFonts w:asciiTheme="minorHAnsi" w:eastAsiaTheme="minorEastAsia" w:hAnsiTheme="minorHAnsi" w:cstheme="minorBidi"/>
          <w:smallCaps w:val="0"/>
          <w:noProof/>
          <w:sz w:val="22"/>
          <w:szCs w:val="22"/>
          <w:lang w:eastAsia="lv-LV"/>
        </w:rPr>
        <w:tab/>
      </w:r>
      <w:r>
        <w:rPr>
          <w:noProof/>
        </w:rPr>
        <w:t>Citu atbalstu pētniecībai un attīstībai regulējošo normatīvo aktu analīze</w:t>
      </w:r>
      <w:r>
        <w:rPr>
          <w:noProof/>
        </w:rPr>
        <w:tab/>
      </w:r>
      <w:r>
        <w:rPr>
          <w:noProof/>
        </w:rPr>
        <w:fldChar w:fldCharType="begin"/>
      </w:r>
      <w:r>
        <w:rPr>
          <w:noProof/>
        </w:rPr>
        <w:instrText xml:space="preserve"> PAGEREF _Toc358978695 \h </w:instrText>
      </w:r>
      <w:r>
        <w:rPr>
          <w:noProof/>
        </w:rPr>
      </w:r>
      <w:r>
        <w:rPr>
          <w:noProof/>
        </w:rPr>
        <w:fldChar w:fldCharType="separate"/>
      </w:r>
      <w:r>
        <w:rPr>
          <w:noProof/>
        </w:rPr>
        <w:t>35</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4.4</w:t>
      </w:r>
      <w:r>
        <w:rPr>
          <w:rFonts w:asciiTheme="minorHAnsi" w:eastAsiaTheme="minorEastAsia" w:hAnsiTheme="minorHAnsi" w:cstheme="minorBidi"/>
          <w:smallCaps w:val="0"/>
          <w:noProof/>
          <w:sz w:val="22"/>
          <w:szCs w:val="22"/>
          <w:lang w:eastAsia="lv-LV"/>
        </w:rPr>
        <w:tab/>
      </w:r>
      <w:r>
        <w:rPr>
          <w:noProof/>
        </w:rPr>
        <w:t>Atsevišķu ārvalstu un ES kopējā mēroga pieredzes analīze atbalsta instrumentu izmantošanā privātā sektora ieguldījumu pētniecības un attīstības sekmēšanai</w:t>
      </w:r>
      <w:r>
        <w:rPr>
          <w:noProof/>
        </w:rPr>
        <w:tab/>
      </w:r>
      <w:r>
        <w:rPr>
          <w:noProof/>
        </w:rPr>
        <w:fldChar w:fldCharType="begin"/>
      </w:r>
      <w:r>
        <w:rPr>
          <w:noProof/>
        </w:rPr>
        <w:instrText xml:space="preserve"> PAGEREF _Toc358978696 \h </w:instrText>
      </w:r>
      <w:r>
        <w:rPr>
          <w:noProof/>
        </w:rPr>
      </w:r>
      <w:r>
        <w:rPr>
          <w:noProof/>
        </w:rPr>
        <w:fldChar w:fldCharType="separate"/>
      </w:r>
      <w:r>
        <w:rPr>
          <w:noProof/>
        </w:rPr>
        <w:t>37</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4.5</w:t>
      </w:r>
      <w:r>
        <w:rPr>
          <w:rFonts w:asciiTheme="minorHAnsi" w:eastAsiaTheme="minorEastAsia" w:hAnsiTheme="minorHAnsi" w:cstheme="minorBidi"/>
          <w:smallCaps w:val="0"/>
          <w:noProof/>
          <w:sz w:val="22"/>
          <w:szCs w:val="22"/>
          <w:lang w:eastAsia="lv-LV"/>
        </w:rPr>
        <w:tab/>
      </w:r>
      <w:r>
        <w:rPr>
          <w:noProof/>
        </w:rPr>
        <w:t>Secinājumi par galvenajām nepilnībām esošajā atbalsta sistēmā Latvijā</w:t>
      </w:r>
      <w:r>
        <w:rPr>
          <w:noProof/>
        </w:rPr>
        <w:tab/>
      </w:r>
      <w:r>
        <w:rPr>
          <w:noProof/>
        </w:rPr>
        <w:fldChar w:fldCharType="begin"/>
      </w:r>
      <w:r>
        <w:rPr>
          <w:noProof/>
        </w:rPr>
        <w:instrText xml:space="preserve"> PAGEREF _Toc358978697 \h </w:instrText>
      </w:r>
      <w:r>
        <w:rPr>
          <w:noProof/>
        </w:rPr>
      </w:r>
      <w:r>
        <w:rPr>
          <w:noProof/>
        </w:rPr>
        <w:fldChar w:fldCharType="separate"/>
      </w:r>
      <w:r>
        <w:rPr>
          <w:noProof/>
        </w:rPr>
        <w:t>39</w:t>
      </w:r>
      <w:r>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rPr>
        <w:t>5</w:t>
      </w:r>
      <w:r>
        <w:rPr>
          <w:rFonts w:asciiTheme="minorHAnsi" w:eastAsiaTheme="minorEastAsia" w:hAnsiTheme="minorHAnsi" w:cstheme="minorBidi"/>
          <w:b w:val="0"/>
          <w:bCs w:val="0"/>
          <w:caps w:val="0"/>
          <w:noProof/>
          <w:sz w:val="22"/>
          <w:szCs w:val="22"/>
          <w:lang w:eastAsia="lv-LV"/>
        </w:rPr>
        <w:tab/>
      </w:r>
      <w:r>
        <w:rPr>
          <w:noProof/>
        </w:rPr>
        <w:t>Piemērotākie un efektīvākie valsts intervences veidi un priekšlikumi to pilnveidošanai</w:t>
      </w:r>
      <w:r>
        <w:rPr>
          <w:noProof/>
        </w:rPr>
        <w:tab/>
      </w:r>
      <w:r>
        <w:rPr>
          <w:noProof/>
        </w:rPr>
        <w:fldChar w:fldCharType="begin"/>
      </w:r>
      <w:r>
        <w:rPr>
          <w:noProof/>
        </w:rPr>
        <w:instrText xml:space="preserve"> PAGEREF _Toc358978698 \h </w:instrText>
      </w:r>
      <w:r>
        <w:rPr>
          <w:noProof/>
        </w:rPr>
      </w:r>
      <w:r>
        <w:rPr>
          <w:noProof/>
        </w:rPr>
        <w:fldChar w:fldCharType="separate"/>
      </w:r>
      <w:r>
        <w:rPr>
          <w:noProof/>
        </w:rPr>
        <w:t>42</w:t>
      </w:r>
      <w:r>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rPr>
        <w:t>6</w:t>
      </w:r>
      <w:r>
        <w:rPr>
          <w:rFonts w:asciiTheme="minorHAnsi" w:eastAsiaTheme="minorEastAsia" w:hAnsiTheme="minorHAnsi" w:cstheme="minorBidi"/>
          <w:b w:val="0"/>
          <w:bCs w:val="0"/>
          <w:caps w:val="0"/>
          <w:noProof/>
          <w:sz w:val="22"/>
          <w:szCs w:val="22"/>
          <w:lang w:eastAsia="lv-LV"/>
        </w:rPr>
        <w:tab/>
      </w:r>
      <w:r>
        <w:rPr>
          <w:noProof/>
        </w:rPr>
        <w:t>Nodokļu atvieglojumu, kā ieguldījumu zinātniskajās izstrādnēs stimulējošs faktors, izvērtējums</w:t>
      </w:r>
      <w:r>
        <w:rPr>
          <w:noProof/>
        </w:rPr>
        <w:tab/>
      </w:r>
      <w:r>
        <w:rPr>
          <w:noProof/>
        </w:rPr>
        <w:fldChar w:fldCharType="begin"/>
      </w:r>
      <w:r>
        <w:rPr>
          <w:noProof/>
        </w:rPr>
        <w:instrText xml:space="preserve"> PAGEREF _Toc358978699 \h </w:instrText>
      </w:r>
      <w:r>
        <w:rPr>
          <w:noProof/>
        </w:rPr>
      </w:r>
      <w:r>
        <w:rPr>
          <w:noProof/>
        </w:rPr>
        <w:fldChar w:fldCharType="separate"/>
      </w:r>
      <w:r>
        <w:rPr>
          <w:noProof/>
        </w:rPr>
        <w:t>50</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6.1</w:t>
      </w:r>
      <w:r>
        <w:rPr>
          <w:rFonts w:asciiTheme="minorHAnsi" w:eastAsiaTheme="minorEastAsia" w:hAnsiTheme="minorHAnsi" w:cstheme="minorBidi"/>
          <w:smallCaps w:val="0"/>
          <w:noProof/>
          <w:sz w:val="22"/>
          <w:szCs w:val="22"/>
          <w:lang w:eastAsia="lv-LV"/>
        </w:rPr>
        <w:tab/>
      </w:r>
      <w:r>
        <w:rPr>
          <w:noProof/>
        </w:rPr>
        <w:t>Aprēķinu metodoloģija un instrumentārijs</w:t>
      </w:r>
      <w:r>
        <w:rPr>
          <w:noProof/>
        </w:rPr>
        <w:tab/>
      </w:r>
      <w:r>
        <w:rPr>
          <w:noProof/>
        </w:rPr>
        <w:fldChar w:fldCharType="begin"/>
      </w:r>
      <w:r>
        <w:rPr>
          <w:noProof/>
        </w:rPr>
        <w:instrText xml:space="preserve"> PAGEREF _Toc358978700 \h </w:instrText>
      </w:r>
      <w:r>
        <w:rPr>
          <w:noProof/>
        </w:rPr>
      </w:r>
      <w:r>
        <w:rPr>
          <w:noProof/>
        </w:rPr>
        <w:fldChar w:fldCharType="separate"/>
      </w:r>
      <w:r>
        <w:rPr>
          <w:noProof/>
        </w:rPr>
        <w:t>50</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6.2</w:t>
      </w:r>
      <w:r>
        <w:rPr>
          <w:rFonts w:asciiTheme="minorHAnsi" w:eastAsiaTheme="minorEastAsia" w:hAnsiTheme="minorHAnsi" w:cstheme="minorBidi"/>
          <w:smallCaps w:val="0"/>
          <w:noProof/>
          <w:sz w:val="22"/>
          <w:szCs w:val="22"/>
          <w:lang w:eastAsia="lv-LV"/>
        </w:rPr>
        <w:tab/>
      </w:r>
      <w:r>
        <w:rPr>
          <w:noProof/>
        </w:rPr>
        <w:t>Aprēķinu pieņēmumi</w:t>
      </w:r>
      <w:r>
        <w:rPr>
          <w:noProof/>
        </w:rPr>
        <w:tab/>
      </w:r>
      <w:r>
        <w:rPr>
          <w:noProof/>
        </w:rPr>
        <w:fldChar w:fldCharType="begin"/>
      </w:r>
      <w:r>
        <w:rPr>
          <w:noProof/>
        </w:rPr>
        <w:instrText xml:space="preserve"> PAGEREF _Toc358978701 \h </w:instrText>
      </w:r>
      <w:r>
        <w:rPr>
          <w:noProof/>
        </w:rPr>
      </w:r>
      <w:r>
        <w:rPr>
          <w:noProof/>
        </w:rPr>
        <w:fldChar w:fldCharType="separate"/>
      </w:r>
      <w:r>
        <w:rPr>
          <w:noProof/>
        </w:rPr>
        <w:t>52</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6.3</w:t>
      </w:r>
      <w:r>
        <w:rPr>
          <w:rFonts w:asciiTheme="minorHAnsi" w:eastAsiaTheme="minorEastAsia" w:hAnsiTheme="minorHAnsi" w:cstheme="minorBidi"/>
          <w:smallCaps w:val="0"/>
          <w:noProof/>
          <w:sz w:val="22"/>
          <w:szCs w:val="22"/>
          <w:lang w:eastAsia="lv-LV"/>
        </w:rPr>
        <w:tab/>
      </w:r>
      <w:r>
        <w:rPr>
          <w:noProof/>
        </w:rPr>
        <w:t>Uzņēmuma ienākuma nodokļa (UIN) atvieglojums (1.variants)</w:t>
      </w:r>
      <w:r>
        <w:rPr>
          <w:noProof/>
        </w:rPr>
        <w:tab/>
      </w:r>
      <w:r>
        <w:rPr>
          <w:noProof/>
        </w:rPr>
        <w:fldChar w:fldCharType="begin"/>
      </w:r>
      <w:r>
        <w:rPr>
          <w:noProof/>
        </w:rPr>
        <w:instrText xml:space="preserve"> PAGEREF _Toc358978702 \h </w:instrText>
      </w:r>
      <w:r>
        <w:rPr>
          <w:noProof/>
        </w:rPr>
      </w:r>
      <w:r>
        <w:rPr>
          <w:noProof/>
        </w:rPr>
        <w:fldChar w:fldCharType="separate"/>
      </w:r>
      <w:r>
        <w:rPr>
          <w:noProof/>
        </w:rPr>
        <w:t>52</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6.3.1</w:t>
      </w:r>
      <w:r>
        <w:rPr>
          <w:rFonts w:asciiTheme="minorHAnsi" w:eastAsiaTheme="minorEastAsia" w:hAnsiTheme="minorHAnsi" w:cstheme="minorBidi"/>
          <w:i w:val="0"/>
          <w:iCs w:val="0"/>
          <w:noProof/>
          <w:sz w:val="22"/>
          <w:szCs w:val="22"/>
          <w:lang w:eastAsia="lv-LV"/>
        </w:rPr>
        <w:tab/>
      </w:r>
      <w:r>
        <w:rPr>
          <w:noProof/>
        </w:rPr>
        <w:t>Lielie uzņēmumi</w:t>
      </w:r>
      <w:r>
        <w:rPr>
          <w:noProof/>
        </w:rPr>
        <w:tab/>
      </w:r>
      <w:r>
        <w:rPr>
          <w:noProof/>
        </w:rPr>
        <w:fldChar w:fldCharType="begin"/>
      </w:r>
      <w:r>
        <w:rPr>
          <w:noProof/>
        </w:rPr>
        <w:instrText xml:space="preserve"> PAGEREF _Toc358978703 \h </w:instrText>
      </w:r>
      <w:r>
        <w:rPr>
          <w:noProof/>
        </w:rPr>
      </w:r>
      <w:r>
        <w:rPr>
          <w:noProof/>
        </w:rPr>
        <w:fldChar w:fldCharType="separate"/>
      </w:r>
      <w:r>
        <w:rPr>
          <w:noProof/>
        </w:rPr>
        <w:t>53</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6.3.2</w:t>
      </w:r>
      <w:r>
        <w:rPr>
          <w:rFonts w:asciiTheme="minorHAnsi" w:eastAsiaTheme="minorEastAsia" w:hAnsiTheme="minorHAnsi" w:cstheme="minorBidi"/>
          <w:i w:val="0"/>
          <w:iCs w:val="0"/>
          <w:noProof/>
          <w:sz w:val="22"/>
          <w:szCs w:val="22"/>
          <w:lang w:eastAsia="lv-LV"/>
        </w:rPr>
        <w:tab/>
      </w:r>
      <w:r>
        <w:rPr>
          <w:noProof/>
        </w:rPr>
        <w:t>Vidējie uzņēmumi</w:t>
      </w:r>
      <w:r>
        <w:rPr>
          <w:noProof/>
        </w:rPr>
        <w:tab/>
      </w:r>
      <w:r>
        <w:rPr>
          <w:noProof/>
        </w:rPr>
        <w:fldChar w:fldCharType="begin"/>
      </w:r>
      <w:r>
        <w:rPr>
          <w:noProof/>
        </w:rPr>
        <w:instrText xml:space="preserve"> PAGEREF _Toc358978704 \h </w:instrText>
      </w:r>
      <w:r>
        <w:rPr>
          <w:noProof/>
        </w:rPr>
      </w:r>
      <w:r>
        <w:rPr>
          <w:noProof/>
        </w:rPr>
        <w:fldChar w:fldCharType="separate"/>
      </w:r>
      <w:r>
        <w:rPr>
          <w:noProof/>
        </w:rPr>
        <w:t>57</w:t>
      </w:r>
      <w:r>
        <w:rPr>
          <w:noProof/>
        </w:rPr>
        <w:fldChar w:fldCharType="end"/>
      </w:r>
    </w:p>
    <w:p w:rsidR="00987517" w:rsidRDefault="00987517">
      <w:pPr>
        <w:pStyle w:val="TOC3"/>
        <w:tabs>
          <w:tab w:val="left" w:pos="1320"/>
          <w:tab w:val="right" w:leader="dot" w:pos="9395"/>
        </w:tabs>
        <w:rPr>
          <w:rFonts w:asciiTheme="minorHAnsi" w:eastAsiaTheme="minorEastAsia" w:hAnsiTheme="minorHAnsi" w:cstheme="minorBidi"/>
          <w:i w:val="0"/>
          <w:iCs w:val="0"/>
          <w:noProof/>
          <w:sz w:val="22"/>
          <w:szCs w:val="22"/>
          <w:lang w:eastAsia="lv-LV"/>
        </w:rPr>
      </w:pPr>
      <w:r>
        <w:rPr>
          <w:noProof/>
        </w:rPr>
        <w:t>6.3.3.</w:t>
      </w:r>
      <w:r>
        <w:rPr>
          <w:rFonts w:asciiTheme="minorHAnsi" w:eastAsiaTheme="minorEastAsia" w:hAnsiTheme="minorHAnsi" w:cstheme="minorBidi"/>
          <w:i w:val="0"/>
          <w:iCs w:val="0"/>
          <w:noProof/>
          <w:sz w:val="22"/>
          <w:szCs w:val="22"/>
          <w:lang w:eastAsia="lv-LV"/>
        </w:rPr>
        <w:tab/>
      </w:r>
      <w:r>
        <w:rPr>
          <w:noProof/>
        </w:rPr>
        <w:t>Mazie uzņēmumi</w:t>
      </w:r>
      <w:r>
        <w:rPr>
          <w:noProof/>
        </w:rPr>
        <w:tab/>
      </w:r>
      <w:r>
        <w:rPr>
          <w:noProof/>
        </w:rPr>
        <w:fldChar w:fldCharType="begin"/>
      </w:r>
      <w:r>
        <w:rPr>
          <w:noProof/>
        </w:rPr>
        <w:instrText xml:space="preserve"> PAGEREF _Toc358978705 \h </w:instrText>
      </w:r>
      <w:r>
        <w:rPr>
          <w:noProof/>
        </w:rPr>
      </w:r>
      <w:r>
        <w:rPr>
          <w:noProof/>
        </w:rPr>
        <w:fldChar w:fldCharType="separate"/>
      </w:r>
      <w:r>
        <w:rPr>
          <w:noProof/>
        </w:rPr>
        <w:t>60</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6.4</w:t>
      </w:r>
      <w:r>
        <w:rPr>
          <w:rFonts w:asciiTheme="minorHAnsi" w:eastAsiaTheme="minorEastAsia" w:hAnsiTheme="minorHAnsi" w:cstheme="minorBidi"/>
          <w:i w:val="0"/>
          <w:iCs w:val="0"/>
          <w:noProof/>
          <w:sz w:val="22"/>
          <w:szCs w:val="22"/>
          <w:lang w:eastAsia="lv-LV"/>
        </w:rPr>
        <w:tab/>
      </w:r>
      <w:r>
        <w:rPr>
          <w:noProof/>
        </w:rPr>
        <w:t>Valsts sociālās apdrošināšanas obligātas iemaksu (VSAOI) un iedzīvotāju ienākuma nodokļa (IIN) atvieglojumi (2.variants)</w:t>
      </w:r>
      <w:r>
        <w:rPr>
          <w:noProof/>
        </w:rPr>
        <w:tab/>
      </w:r>
      <w:r>
        <w:rPr>
          <w:noProof/>
        </w:rPr>
        <w:fldChar w:fldCharType="begin"/>
      </w:r>
      <w:r>
        <w:rPr>
          <w:noProof/>
        </w:rPr>
        <w:instrText xml:space="preserve"> PAGEREF _Toc358978706 \h </w:instrText>
      </w:r>
      <w:r>
        <w:rPr>
          <w:noProof/>
        </w:rPr>
      </w:r>
      <w:r>
        <w:rPr>
          <w:noProof/>
        </w:rPr>
        <w:fldChar w:fldCharType="separate"/>
      </w:r>
      <w:r>
        <w:rPr>
          <w:noProof/>
        </w:rPr>
        <w:t>62</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6.4.1</w:t>
      </w:r>
      <w:r>
        <w:rPr>
          <w:rFonts w:asciiTheme="minorHAnsi" w:eastAsiaTheme="minorEastAsia" w:hAnsiTheme="minorHAnsi" w:cstheme="minorBidi"/>
          <w:i w:val="0"/>
          <w:iCs w:val="0"/>
          <w:noProof/>
          <w:sz w:val="22"/>
          <w:szCs w:val="22"/>
          <w:lang w:eastAsia="lv-LV"/>
        </w:rPr>
        <w:tab/>
      </w:r>
      <w:r>
        <w:rPr>
          <w:noProof/>
        </w:rPr>
        <w:t>Lielie uzņēmumi</w:t>
      </w:r>
      <w:r>
        <w:rPr>
          <w:noProof/>
        </w:rPr>
        <w:tab/>
      </w:r>
      <w:r>
        <w:rPr>
          <w:noProof/>
        </w:rPr>
        <w:fldChar w:fldCharType="begin"/>
      </w:r>
      <w:r>
        <w:rPr>
          <w:noProof/>
        </w:rPr>
        <w:instrText xml:space="preserve"> PAGEREF _Toc358978707 \h </w:instrText>
      </w:r>
      <w:r>
        <w:rPr>
          <w:noProof/>
        </w:rPr>
      </w:r>
      <w:r>
        <w:rPr>
          <w:noProof/>
        </w:rPr>
        <w:fldChar w:fldCharType="separate"/>
      </w:r>
      <w:r>
        <w:rPr>
          <w:noProof/>
        </w:rPr>
        <w:t>63</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6.4.2</w:t>
      </w:r>
      <w:r>
        <w:rPr>
          <w:rFonts w:asciiTheme="minorHAnsi" w:eastAsiaTheme="minorEastAsia" w:hAnsiTheme="minorHAnsi" w:cstheme="minorBidi"/>
          <w:i w:val="0"/>
          <w:iCs w:val="0"/>
          <w:noProof/>
          <w:sz w:val="22"/>
          <w:szCs w:val="22"/>
          <w:lang w:eastAsia="lv-LV"/>
        </w:rPr>
        <w:tab/>
      </w:r>
      <w:r>
        <w:rPr>
          <w:noProof/>
        </w:rPr>
        <w:t>Vidējie uzņēmumi</w:t>
      </w:r>
      <w:r>
        <w:rPr>
          <w:noProof/>
        </w:rPr>
        <w:tab/>
      </w:r>
      <w:r>
        <w:rPr>
          <w:noProof/>
        </w:rPr>
        <w:fldChar w:fldCharType="begin"/>
      </w:r>
      <w:r>
        <w:rPr>
          <w:noProof/>
        </w:rPr>
        <w:instrText xml:space="preserve"> PAGEREF _Toc358978708 \h </w:instrText>
      </w:r>
      <w:r>
        <w:rPr>
          <w:noProof/>
        </w:rPr>
      </w:r>
      <w:r>
        <w:rPr>
          <w:noProof/>
        </w:rPr>
        <w:fldChar w:fldCharType="separate"/>
      </w:r>
      <w:r>
        <w:rPr>
          <w:noProof/>
        </w:rPr>
        <w:t>65</w:t>
      </w:r>
      <w:r>
        <w:rPr>
          <w:noProof/>
        </w:rPr>
        <w:fldChar w:fldCharType="end"/>
      </w:r>
    </w:p>
    <w:p w:rsidR="00987517" w:rsidRDefault="00987517">
      <w:pPr>
        <w:pStyle w:val="TOC3"/>
        <w:tabs>
          <w:tab w:val="right" w:leader="dot" w:pos="9395"/>
        </w:tabs>
        <w:rPr>
          <w:rFonts w:asciiTheme="minorHAnsi" w:eastAsiaTheme="minorEastAsia" w:hAnsiTheme="minorHAnsi" w:cstheme="minorBidi"/>
          <w:i w:val="0"/>
          <w:iCs w:val="0"/>
          <w:noProof/>
          <w:sz w:val="22"/>
          <w:szCs w:val="22"/>
          <w:lang w:eastAsia="lv-LV"/>
        </w:rPr>
      </w:pPr>
      <w:r>
        <w:rPr>
          <w:noProof/>
        </w:rPr>
        <w:t>6.4.3. Mazie uzņēmumi</w:t>
      </w:r>
      <w:r>
        <w:rPr>
          <w:noProof/>
        </w:rPr>
        <w:tab/>
      </w:r>
      <w:r>
        <w:rPr>
          <w:noProof/>
        </w:rPr>
        <w:fldChar w:fldCharType="begin"/>
      </w:r>
      <w:r>
        <w:rPr>
          <w:noProof/>
        </w:rPr>
        <w:instrText xml:space="preserve"> PAGEREF _Toc358978709 \h </w:instrText>
      </w:r>
      <w:r>
        <w:rPr>
          <w:noProof/>
        </w:rPr>
      </w:r>
      <w:r>
        <w:rPr>
          <w:noProof/>
        </w:rPr>
        <w:fldChar w:fldCharType="separate"/>
      </w:r>
      <w:r>
        <w:rPr>
          <w:noProof/>
        </w:rPr>
        <w:t>68</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6.5</w:t>
      </w:r>
      <w:r>
        <w:rPr>
          <w:rFonts w:asciiTheme="minorHAnsi" w:eastAsiaTheme="minorEastAsia" w:hAnsiTheme="minorHAnsi" w:cstheme="minorBidi"/>
          <w:smallCaps w:val="0"/>
          <w:noProof/>
          <w:sz w:val="22"/>
          <w:szCs w:val="22"/>
          <w:lang w:eastAsia="lv-LV"/>
        </w:rPr>
        <w:tab/>
      </w:r>
      <w:r>
        <w:rPr>
          <w:noProof/>
        </w:rPr>
        <w:t>Uzņēmuma ienākuma nodokļa (UIN) un VSAOI un iedzīvotāju ienākuma nodokļa (IIN) atvieglojumi (3.variants)</w:t>
      </w:r>
      <w:r>
        <w:rPr>
          <w:noProof/>
        </w:rPr>
        <w:tab/>
      </w:r>
      <w:r>
        <w:rPr>
          <w:noProof/>
        </w:rPr>
        <w:tab/>
      </w:r>
      <w:r>
        <w:rPr>
          <w:noProof/>
        </w:rPr>
        <w:fldChar w:fldCharType="begin"/>
      </w:r>
      <w:r>
        <w:rPr>
          <w:noProof/>
        </w:rPr>
        <w:instrText xml:space="preserve"> PAGEREF _Toc358978710 \h </w:instrText>
      </w:r>
      <w:r>
        <w:rPr>
          <w:noProof/>
        </w:rPr>
      </w:r>
      <w:r>
        <w:rPr>
          <w:noProof/>
        </w:rPr>
        <w:fldChar w:fldCharType="separate"/>
      </w:r>
      <w:r>
        <w:rPr>
          <w:noProof/>
        </w:rPr>
        <w:t>70</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6.5.1</w:t>
      </w:r>
      <w:r>
        <w:rPr>
          <w:rFonts w:asciiTheme="minorHAnsi" w:eastAsiaTheme="minorEastAsia" w:hAnsiTheme="minorHAnsi" w:cstheme="minorBidi"/>
          <w:i w:val="0"/>
          <w:iCs w:val="0"/>
          <w:noProof/>
          <w:sz w:val="22"/>
          <w:szCs w:val="22"/>
          <w:lang w:eastAsia="lv-LV"/>
        </w:rPr>
        <w:tab/>
      </w:r>
      <w:r>
        <w:rPr>
          <w:noProof/>
        </w:rPr>
        <w:t>Lielie uzņēmumi</w:t>
      </w:r>
      <w:r>
        <w:rPr>
          <w:noProof/>
        </w:rPr>
        <w:tab/>
      </w:r>
      <w:r>
        <w:rPr>
          <w:noProof/>
        </w:rPr>
        <w:fldChar w:fldCharType="begin"/>
      </w:r>
      <w:r>
        <w:rPr>
          <w:noProof/>
        </w:rPr>
        <w:instrText xml:space="preserve"> PAGEREF _Toc358978711 \h </w:instrText>
      </w:r>
      <w:r>
        <w:rPr>
          <w:noProof/>
        </w:rPr>
      </w:r>
      <w:r>
        <w:rPr>
          <w:noProof/>
        </w:rPr>
        <w:fldChar w:fldCharType="separate"/>
      </w:r>
      <w:r>
        <w:rPr>
          <w:noProof/>
        </w:rPr>
        <w:t>70</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6.5.2</w:t>
      </w:r>
      <w:r>
        <w:rPr>
          <w:rFonts w:asciiTheme="minorHAnsi" w:eastAsiaTheme="minorEastAsia" w:hAnsiTheme="minorHAnsi" w:cstheme="minorBidi"/>
          <w:i w:val="0"/>
          <w:iCs w:val="0"/>
          <w:noProof/>
          <w:sz w:val="22"/>
          <w:szCs w:val="22"/>
          <w:lang w:eastAsia="lv-LV"/>
        </w:rPr>
        <w:tab/>
      </w:r>
      <w:r>
        <w:rPr>
          <w:noProof/>
        </w:rPr>
        <w:t>Vidējie uzņēmumi</w:t>
      </w:r>
      <w:r>
        <w:rPr>
          <w:noProof/>
        </w:rPr>
        <w:tab/>
      </w:r>
      <w:r>
        <w:rPr>
          <w:noProof/>
        </w:rPr>
        <w:fldChar w:fldCharType="begin"/>
      </w:r>
      <w:r>
        <w:rPr>
          <w:noProof/>
        </w:rPr>
        <w:instrText xml:space="preserve"> PAGEREF _Toc358978712 \h </w:instrText>
      </w:r>
      <w:r>
        <w:rPr>
          <w:noProof/>
        </w:rPr>
      </w:r>
      <w:r>
        <w:rPr>
          <w:noProof/>
        </w:rPr>
        <w:fldChar w:fldCharType="separate"/>
      </w:r>
      <w:r>
        <w:rPr>
          <w:noProof/>
        </w:rPr>
        <w:t>72</w:t>
      </w:r>
      <w:r>
        <w:rPr>
          <w:noProof/>
        </w:rPr>
        <w:fldChar w:fldCharType="end"/>
      </w:r>
    </w:p>
    <w:p w:rsidR="00987517" w:rsidRDefault="00987517">
      <w:pPr>
        <w:pStyle w:val="TOC3"/>
        <w:tabs>
          <w:tab w:val="right" w:leader="dot" w:pos="9395"/>
        </w:tabs>
        <w:rPr>
          <w:rFonts w:asciiTheme="minorHAnsi" w:eastAsiaTheme="minorEastAsia" w:hAnsiTheme="minorHAnsi" w:cstheme="minorBidi"/>
          <w:i w:val="0"/>
          <w:iCs w:val="0"/>
          <w:noProof/>
          <w:sz w:val="22"/>
          <w:szCs w:val="22"/>
          <w:lang w:eastAsia="lv-LV"/>
        </w:rPr>
      </w:pPr>
      <w:r>
        <w:rPr>
          <w:noProof/>
        </w:rPr>
        <w:lastRenderedPageBreak/>
        <w:t>6.5.3. Mazie uzņēmumi</w:t>
      </w:r>
      <w:r>
        <w:rPr>
          <w:noProof/>
        </w:rPr>
        <w:tab/>
      </w:r>
      <w:r>
        <w:rPr>
          <w:noProof/>
        </w:rPr>
        <w:fldChar w:fldCharType="begin"/>
      </w:r>
      <w:r>
        <w:rPr>
          <w:noProof/>
        </w:rPr>
        <w:instrText xml:space="preserve"> PAGEREF _Toc358978713 \h </w:instrText>
      </w:r>
      <w:r>
        <w:rPr>
          <w:noProof/>
        </w:rPr>
      </w:r>
      <w:r>
        <w:rPr>
          <w:noProof/>
        </w:rPr>
        <w:fldChar w:fldCharType="separate"/>
      </w:r>
      <w:r>
        <w:rPr>
          <w:noProof/>
        </w:rPr>
        <w:t>74</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6.6</w:t>
      </w:r>
      <w:r>
        <w:rPr>
          <w:rFonts w:asciiTheme="minorHAnsi" w:eastAsiaTheme="minorEastAsia" w:hAnsiTheme="minorHAnsi" w:cstheme="minorBidi"/>
          <w:smallCaps w:val="0"/>
          <w:noProof/>
          <w:sz w:val="22"/>
          <w:szCs w:val="22"/>
          <w:lang w:eastAsia="lv-LV"/>
        </w:rPr>
        <w:tab/>
      </w:r>
      <w:r>
        <w:rPr>
          <w:noProof/>
        </w:rPr>
        <w:t>Nodokļu atvieglojumu alternatīvie varianti un to ietekme uz budžetu</w:t>
      </w:r>
      <w:r>
        <w:rPr>
          <w:noProof/>
        </w:rPr>
        <w:tab/>
      </w:r>
      <w:r>
        <w:rPr>
          <w:noProof/>
        </w:rPr>
        <w:fldChar w:fldCharType="begin"/>
      </w:r>
      <w:r>
        <w:rPr>
          <w:noProof/>
        </w:rPr>
        <w:instrText xml:space="preserve"> PAGEREF _Toc358978714 \h </w:instrText>
      </w:r>
      <w:r>
        <w:rPr>
          <w:noProof/>
        </w:rPr>
      </w:r>
      <w:r>
        <w:rPr>
          <w:noProof/>
        </w:rPr>
        <w:fldChar w:fldCharType="separate"/>
      </w:r>
      <w:r>
        <w:rPr>
          <w:noProof/>
        </w:rPr>
        <w:t>76</w:t>
      </w:r>
      <w:r>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rPr>
        <w:t>7</w:t>
      </w:r>
      <w:r>
        <w:rPr>
          <w:rFonts w:asciiTheme="minorHAnsi" w:eastAsiaTheme="minorEastAsia" w:hAnsiTheme="minorHAnsi" w:cstheme="minorBidi"/>
          <w:b w:val="0"/>
          <w:bCs w:val="0"/>
          <w:caps w:val="0"/>
          <w:noProof/>
          <w:sz w:val="22"/>
          <w:szCs w:val="22"/>
          <w:lang w:eastAsia="lv-LV"/>
        </w:rPr>
        <w:tab/>
      </w:r>
      <w:r>
        <w:rPr>
          <w:noProof/>
        </w:rPr>
        <w:t>Secinājumi</w:t>
      </w:r>
      <w:r>
        <w:rPr>
          <w:noProof/>
        </w:rPr>
        <w:tab/>
      </w:r>
      <w:r>
        <w:rPr>
          <w:noProof/>
        </w:rPr>
        <w:fldChar w:fldCharType="begin"/>
      </w:r>
      <w:r>
        <w:rPr>
          <w:noProof/>
        </w:rPr>
        <w:instrText xml:space="preserve"> PAGEREF _Toc358978715 \h </w:instrText>
      </w:r>
      <w:r>
        <w:rPr>
          <w:noProof/>
        </w:rPr>
      </w:r>
      <w:r>
        <w:rPr>
          <w:noProof/>
        </w:rPr>
        <w:fldChar w:fldCharType="separate"/>
      </w:r>
      <w:r>
        <w:rPr>
          <w:noProof/>
        </w:rPr>
        <w:t>83</w:t>
      </w:r>
      <w:r>
        <w:rPr>
          <w:noProof/>
        </w:rPr>
        <w:fldChar w:fldCharType="end"/>
      </w:r>
    </w:p>
    <w:p w:rsidR="00987517" w:rsidRDefault="00987517">
      <w:pPr>
        <w:pStyle w:val="TOC1"/>
        <w:tabs>
          <w:tab w:val="left" w:pos="440"/>
          <w:tab w:val="right" w:leader="dot" w:pos="9395"/>
        </w:tabs>
        <w:rPr>
          <w:rFonts w:asciiTheme="minorHAnsi" w:eastAsiaTheme="minorEastAsia" w:hAnsiTheme="minorHAnsi" w:cstheme="minorBidi"/>
          <w:b w:val="0"/>
          <w:bCs w:val="0"/>
          <w:caps w:val="0"/>
          <w:noProof/>
          <w:sz w:val="22"/>
          <w:szCs w:val="22"/>
          <w:lang w:eastAsia="lv-LV"/>
        </w:rPr>
      </w:pPr>
      <w:r>
        <w:rPr>
          <w:noProof/>
          <w:lang w:eastAsia="lv-LV"/>
        </w:rPr>
        <w:t>8</w:t>
      </w:r>
      <w:r>
        <w:rPr>
          <w:rFonts w:asciiTheme="minorHAnsi" w:eastAsiaTheme="minorEastAsia" w:hAnsiTheme="minorHAnsi" w:cstheme="minorBidi"/>
          <w:b w:val="0"/>
          <w:bCs w:val="0"/>
          <w:caps w:val="0"/>
          <w:noProof/>
          <w:sz w:val="22"/>
          <w:szCs w:val="22"/>
          <w:lang w:eastAsia="lv-LV"/>
        </w:rPr>
        <w:tab/>
      </w:r>
      <w:r>
        <w:rPr>
          <w:noProof/>
          <w:lang w:eastAsia="lv-LV"/>
        </w:rPr>
        <w:t>Pielikumi</w:t>
      </w:r>
      <w:r>
        <w:rPr>
          <w:noProof/>
        </w:rPr>
        <w:tab/>
      </w:r>
      <w:r>
        <w:rPr>
          <w:noProof/>
        </w:rPr>
        <w:fldChar w:fldCharType="begin"/>
      </w:r>
      <w:r>
        <w:rPr>
          <w:noProof/>
        </w:rPr>
        <w:instrText xml:space="preserve"> PAGEREF _Toc358978716 \h </w:instrText>
      </w:r>
      <w:r>
        <w:rPr>
          <w:noProof/>
        </w:rPr>
      </w:r>
      <w:r>
        <w:rPr>
          <w:noProof/>
        </w:rPr>
        <w:fldChar w:fldCharType="separate"/>
      </w:r>
      <w:r>
        <w:rPr>
          <w:noProof/>
        </w:rPr>
        <w:t>85</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8.1</w:t>
      </w:r>
      <w:r>
        <w:rPr>
          <w:rFonts w:asciiTheme="minorHAnsi" w:eastAsiaTheme="minorEastAsia" w:hAnsiTheme="minorHAnsi" w:cstheme="minorBidi"/>
          <w:smallCaps w:val="0"/>
          <w:noProof/>
          <w:sz w:val="22"/>
          <w:szCs w:val="22"/>
          <w:lang w:eastAsia="lv-LV"/>
        </w:rPr>
        <w:tab/>
      </w:r>
      <w:r>
        <w:rPr>
          <w:noProof/>
        </w:rPr>
        <w:t>Tieša ietekme uz privātajām investīcijām R&amp;D (1.kategorija)</w:t>
      </w:r>
      <w:r>
        <w:rPr>
          <w:noProof/>
        </w:rPr>
        <w:tab/>
      </w:r>
      <w:r>
        <w:rPr>
          <w:noProof/>
        </w:rPr>
        <w:fldChar w:fldCharType="begin"/>
      </w:r>
      <w:r>
        <w:rPr>
          <w:noProof/>
        </w:rPr>
        <w:instrText xml:space="preserve"> PAGEREF _Toc358978717 \h </w:instrText>
      </w:r>
      <w:r>
        <w:rPr>
          <w:noProof/>
        </w:rPr>
      </w:r>
      <w:r>
        <w:rPr>
          <w:noProof/>
        </w:rPr>
        <w:fldChar w:fldCharType="separate"/>
      </w:r>
      <w:r>
        <w:rPr>
          <w:noProof/>
        </w:rPr>
        <w:t>85</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8.1.1</w:t>
      </w:r>
      <w:r>
        <w:rPr>
          <w:rFonts w:asciiTheme="minorHAnsi" w:eastAsiaTheme="minorEastAsia" w:hAnsiTheme="minorHAnsi" w:cstheme="minorBidi"/>
          <w:i w:val="0"/>
          <w:iCs w:val="0"/>
          <w:noProof/>
          <w:sz w:val="22"/>
          <w:szCs w:val="22"/>
          <w:lang w:eastAsia="lv-LV"/>
        </w:rPr>
        <w:tab/>
      </w:r>
      <w:r>
        <w:rPr>
          <w:noProof/>
        </w:rPr>
        <w:t>Likums „Par UIN”</w:t>
      </w:r>
      <w:r>
        <w:rPr>
          <w:noProof/>
        </w:rPr>
        <w:tab/>
      </w:r>
      <w:r>
        <w:rPr>
          <w:noProof/>
        </w:rPr>
        <w:fldChar w:fldCharType="begin"/>
      </w:r>
      <w:r>
        <w:rPr>
          <w:noProof/>
        </w:rPr>
        <w:instrText xml:space="preserve"> PAGEREF _Toc358978718 \h </w:instrText>
      </w:r>
      <w:r>
        <w:rPr>
          <w:noProof/>
        </w:rPr>
      </w:r>
      <w:r>
        <w:rPr>
          <w:noProof/>
        </w:rPr>
        <w:fldChar w:fldCharType="separate"/>
      </w:r>
      <w:r>
        <w:rPr>
          <w:noProof/>
        </w:rPr>
        <w:t>85</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8.2</w:t>
      </w:r>
      <w:r>
        <w:rPr>
          <w:rFonts w:asciiTheme="minorHAnsi" w:eastAsiaTheme="minorEastAsia" w:hAnsiTheme="minorHAnsi" w:cstheme="minorBidi"/>
          <w:smallCaps w:val="0"/>
          <w:noProof/>
          <w:sz w:val="22"/>
          <w:szCs w:val="22"/>
          <w:lang w:eastAsia="lv-LV"/>
        </w:rPr>
        <w:tab/>
      </w:r>
      <w:r>
        <w:rPr>
          <w:noProof/>
        </w:rPr>
        <w:t>Netieša ietekme uz privātajām investīcijām R&amp;D (2.kategorija)</w:t>
      </w:r>
      <w:r>
        <w:rPr>
          <w:noProof/>
        </w:rPr>
        <w:tab/>
      </w:r>
      <w:r>
        <w:rPr>
          <w:noProof/>
        </w:rPr>
        <w:fldChar w:fldCharType="begin"/>
      </w:r>
      <w:r>
        <w:rPr>
          <w:noProof/>
        </w:rPr>
        <w:instrText xml:space="preserve"> PAGEREF _Toc358978719 \h </w:instrText>
      </w:r>
      <w:r>
        <w:rPr>
          <w:noProof/>
        </w:rPr>
      </w:r>
      <w:r>
        <w:rPr>
          <w:noProof/>
        </w:rPr>
        <w:fldChar w:fldCharType="separate"/>
      </w:r>
      <w:r>
        <w:rPr>
          <w:noProof/>
        </w:rPr>
        <w:t>85</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8.2.1</w:t>
      </w:r>
      <w:r>
        <w:rPr>
          <w:rFonts w:asciiTheme="minorHAnsi" w:eastAsiaTheme="minorEastAsia" w:hAnsiTheme="minorHAnsi" w:cstheme="minorBidi"/>
          <w:i w:val="0"/>
          <w:iCs w:val="0"/>
          <w:noProof/>
          <w:sz w:val="22"/>
          <w:szCs w:val="22"/>
          <w:lang w:eastAsia="lv-LV"/>
        </w:rPr>
        <w:tab/>
      </w:r>
      <w:r>
        <w:rPr>
          <w:noProof/>
        </w:rPr>
        <w:t>Likums „Par UIN” un likuma „Par UIN” normu piemērošanas noteikumi</w:t>
      </w:r>
      <w:r>
        <w:rPr>
          <w:noProof/>
        </w:rPr>
        <w:tab/>
      </w:r>
      <w:r>
        <w:rPr>
          <w:noProof/>
        </w:rPr>
        <w:fldChar w:fldCharType="begin"/>
      </w:r>
      <w:r>
        <w:rPr>
          <w:noProof/>
        </w:rPr>
        <w:instrText xml:space="preserve"> PAGEREF _Toc358978720 \h </w:instrText>
      </w:r>
      <w:r>
        <w:rPr>
          <w:noProof/>
        </w:rPr>
      </w:r>
      <w:r>
        <w:rPr>
          <w:noProof/>
        </w:rPr>
        <w:fldChar w:fldCharType="separate"/>
      </w:r>
      <w:r>
        <w:rPr>
          <w:noProof/>
        </w:rPr>
        <w:t>85</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8.2.2</w:t>
      </w:r>
      <w:r>
        <w:rPr>
          <w:rFonts w:asciiTheme="minorHAnsi" w:eastAsiaTheme="minorEastAsia" w:hAnsiTheme="minorHAnsi" w:cstheme="minorBidi"/>
          <w:i w:val="0"/>
          <w:iCs w:val="0"/>
          <w:noProof/>
          <w:sz w:val="22"/>
          <w:szCs w:val="22"/>
          <w:lang w:eastAsia="lv-LV"/>
        </w:rPr>
        <w:tab/>
      </w:r>
      <w:r>
        <w:rPr>
          <w:noProof/>
        </w:rPr>
        <w:t>Likums „Par nodokļu piemērošanu BO un SEZ”</w:t>
      </w:r>
      <w:r>
        <w:rPr>
          <w:noProof/>
        </w:rPr>
        <w:tab/>
      </w:r>
      <w:r>
        <w:rPr>
          <w:noProof/>
        </w:rPr>
        <w:fldChar w:fldCharType="begin"/>
      </w:r>
      <w:r>
        <w:rPr>
          <w:noProof/>
        </w:rPr>
        <w:instrText xml:space="preserve"> PAGEREF _Toc358978721 \h </w:instrText>
      </w:r>
      <w:r>
        <w:rPr>
          <w:noProof/>
        </w:rPr>
      </w:r>
      <w:r>
        <w:rPr>
          <w:noProof/>
        </w:rPr>
        <w:fldChar w:fldCharType="separate"/>
      </w:r>
      <w:r>
        <w:rPr>
          <w:noProof/>
        </w:rPr>
        <w:t>102</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8.2.3</w:t>
      </w:r>
      <w:r>
        <w:rPr>
          <w:rFonts w:asciiTheme="minorHAnsi" w:eastAsiaTheme="minorEastAsia" w:hAnsiTheme="minorHAnsi" w:cstheme="minorBidi"/>
          <w:i w:val="0"/>
          <w:iCs w:val="0"/>
          <w:noProof/>
          <w:sz w:val="22"/>
          <w:szCs w:val="22"/>
          <w:lang w:eastAsia="lv-LV"/>
        </w:rPr>
        <w:tab/>
      </w:r>
      <w:r>
        <w:rPr>
          <w:noProof/>
        </w:rPr>
        <w:t>Likums „PVN likums”</w:t>
      </w:r>
      <w:r>
        <w:rPr>
          <w:noProof/>
        </w:rPr>
        <w:tab/>
      </w:r>
      <w:r>
        <w:rPr>
          <w:noProof/>
        </w:rPr>
        <w:fldChar w:fldCharType="begin"/>
      </w:r>
      <w:r>
        <w:rPr>
          <w:noProof/>
        </w:rPr>
        <w:instrText xml:space="preserve"> PAGEREF _Toc358978722 \h </w:instrText>
      </w:r>
      <w:r>
        <w:rPr>
          <w:noProof/>
        </w:rPr>
      </w:r>
      <w:r>
        <w:rPr>
          <w:noProof/>
        </w:rPr>
        <w:fldChar w:fldCharType="separate"/>
      </w:r>
      <w:r>
        <w:rPr>
          <w:noProof/>
        </w:rPr>
        <w:t>107</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8.2.4</w:t>
      </w:r>
      <w:r>
        <w:rPr>
          <w:rFonts w:asciiTheme="minorHAnsi" w:eastAsiaTheme="minorEastAsia" w:hAnsiTheme="minorHAnsi" w:cstheme="minorBidi"/>
          <w:i w:val="0"/>
          <w:iCs w:val="0"/>
          <w:noProof/>
          <w:sz w:val="22"/>
          <w:szCs w:val="22"/>
          <w:lang w:eastAsia="lv-LV"/>
        </w:rPr>
        <w:tab/>
      </w:r>
      <w:r>
        <w:rPr>
          <w:noProof/>
        </w:rPr>
        <w:t>Likums „Mikrouzņēmumu nodokļa likums”</w:t>
      </w:r>
      <w:r>
        <w:rPr>
          <w:noProof/>
        </w:rPr>
        <w:tab/>
      </w:r>
      <w:r>
        <w:rPr>
          <w:noProof/>
        </w:rPr>
        <w:fldChar w:fldCharType="begin"/>
      </w:r>
      <w:r>
        <w:rPr>
          <w:noProof/>
        </w:rPr>
        <w:instrText xml:space="preserve"> PAGEREF _Toc358978723 \h </w:instrText>
      </w:r>
      <w:r>
        <w:rPr>
          <w:noProof/>
        </w:rPr>
      </w:r>
      <w:r>
        <w:rPr>
          <w:noProof/>
        </w:rPr>
        <w:fldChar w:fldCharType="separate"/>
      </w:r>
      <w:r>
        <w:rPr>
          <w:noProof/>
        </w:rPr>
        <w:t>119</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8.2.5</w:t>
      </w:r>
      <w:r>
        <w:rPr>
          <w:rFonts w:asciiTheme="minorHAnsi" w:eastAsiaTheme="minorEastAsia" w:hAnsiTheme="minorHAnsi" w:cstheme="minorBidi"/>
          <w:i w:val="0"/>
          <w:iCs w:val="0"/>
          <w:noProof/>
          <w:sz w:val="22"/>
          <w:szCs w:val="22"/>
          <w:lang w:eastAsia="lv-LV"/>
        </w:rPr>
        <w:tab/>
      </w:r>
      <w:r>
        <w:rPr>
          <w:noProof/>
        </w:rPr>
        <w:t>MK noteikumi Nr. 178 „Kārtība, kādā piemērojami starptautiskajos līgumos par nodokļu dubultās uzlikšanas un nodokļu nemaksāšanas novēršanu noteiktie nodokļu atvieglojumi”</w:t>
      </w:r>
      <w:r>
        <w:rPr>
          <w:noProof/>
        </w:rPr>
        <w:tab/>
      </w:r>
      <w:r>
        <w:rPr>
          <w:noProof/>
        </w:rPr>
        <w:fldChar w:fldCharType="begin"/>
      </w:r>
      <w:r>
        <w:rPr>
          <w:noProof/>
        </w:rPr>
        <w:instrText xml:space="preserve"> PAGEREF _Toc358978724 \h </w:instrText>
      </w:r>
      <w:r>
        <w:rPr>
          <w:noProof/>
        </w:rPr>
      </w:r>
      <w:r>
        <w:rPr>
          <w:noProof/>
        </w:rPr>
        <w:fldChar w:fldCharType="separate"/>
      </w:r>
      <w:r>
        <w:rPr>
          <w:noProof/>
        </w:rPr>
        <w:t>120</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8.2.6</w:t>
      </w:r>
      <w:r>
        <w:rPr>
          <w:rFonts w:asciiTheme="minorHAnsi" w:eastAsiaTheme="minorEastAsia" w:hAnsiTheme="minorHAnsi" w:cstheme="minorBidi"/>
          <w:i w:val="0"/>
          <w:iCs w:val="0"/>
          <w:noProof/>
          <w:sz w:val="22"/>
          <w:szCs w:val="22"/>
          <w:lang w:eastAsia="lv-LV"/>
        </w:rPr>
        <w:tab/>
      </w:r>
      <w:r>
        <w:rPr>
          <w:noProof/>
        </w:rPr>
        <w:t>Transportlīdzekļa ekspluatācijas nodokļa un uzņēmumu vieglo transportlīdzekļu nodokļa likums</w:t>
      </w:r>
      <w:r>
        <w:rPr>
          <w:noProof/>
        </w:rPr>
        <w:tab/>
      </w:r>
      <w:r>
        <w:rPr>
          <w:noProof/>
        </w:rPr>
        <w:fldChar w:fldCharType="begin"/>
      </w:r>
      <w:r>
        <w:rPr>
          <w:noProof/>
        </w:rPr>
        <w:instrText xml:space="preserve"> PAGEREF _Toc358978725 \h </w:instrText>
      </w:r>
      <w:r>
        <w:rPr>
          <w:noProof/>
        </w:rPr>
      </w:r>
      <w:r>
        <w:rPr>
          <w:noProof/>
        </w:rPr>
        <w:fldChar w:fldCharType="separate"/>
      </w:r>
      <w:r>
        <w:rPr>
          <w:noProof/>
        </w:rPr>
        <w:t>121</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8.2.7</w:t>
      </w:r>
      <w:r>
        <w:rPr>
          <w:rFonts w:asciiTheme="minorHAnsi" w:eastAsiaTheme="minorEastAsia" w:hAnsiTheme="minorHAnsi" w:cstheme="minorBidi"/>
          <w:i w:val="0"/>
          <w:iCs w:val="0"/>
          <w:noProof/>
          <w:sz w:val="22"/>
          <w:szCs w:val="22"/>
          <w:lang w:eastAsia="lv-LV"/>
        </w:rPr>
        <w:tab/>
      </w:r>
      <w:r>
        <w:rPr>
          <w:noProof/>
        </w:rPr>
        <w:t>Likums „Par nodokļiem un nodevām”</w:t>
      </w:r>
      <w:r>
        <w:rPr>
          <w:noProof/>
        </w:rPr>
        <w:tab/>
      </w:r>
      <w:r>
        <w:rPr>
          <w:noProof/>
        </w:rPr>
        <w:fldChar w:fldCharType="begin"/>
      </w:r>
      <w:r>
        <w:rPr>
          <w:noProof/>
        </w:rPr>
        <w:instrText xml:space="preserve"> PAGEREF _Toc358978726 \h </w:instrText>
      </w:r>
      <w:r>
        <w:rPr>
          <w:noProof/>
        </w:rPr>
      </w:r>
      <w:r>
        <w:rPr>
          <w:noProof/>
        </w:rPr>
        <w:fldChar w:fldCharType="separate"/>
      </w:r>
      <w:r>
        <w:rPr>
          <w:noProof/>
        </w:rPr>
        <w:t>123</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8.2.8</w:t>
      </w:r>
      <w:r>
        <w:rPr>
          <w:rFonts w:asciiTheme="minorHAnsi" w:eastAsiaTheme="minorEastAsia" w:hAnsiTheme="minorHAnsi" w:cstheme="minorBidi"/>
          <w:i w:val="0"/>
          <w:iCs w:val="0"/>
          <w:noProof/>
          <w:sz w:val="22"/>
          <w:szCs w:val="22"/>
          <w:lang w:eastAsia="lv-LV"/>
        </w:rPr>
        <w:tab/>
      </w:r>
      <w:r>
        <w:rPr>
          <w:noProof/>
        </w:rPr>
        <w:t>Likums „Par nekustamā īpašuma nodokli”</w:t>
      </w:r>
      <w:r>
        <w:rPr>
          <w:noProof/>
        </w:rPr>
        <w:tab/>
      </w:r>
      <w:r>
        <w:rPr>
          <w:noProof/>
        </w:rPr>
        <w:fldChar w:fldCharType="begin"/>
      </w:r>
      <w:r>
        <w:rPr>
          <w:noProof/>
        </w:rPr>
        <w:instrText xml:space="preserve"> PAGEREF _Toc358978727 \h </w:instrText>
      </w:r>
      <w:r>
        <w:rPr>
          <w:noProof/>
        </w:rPr>
      </w:r>
      <w:r>
        <w:rPr>
          <w:noProof/>
        </w:rPr>
        <w:fldChar w:fldCharType="separate"/>
      </w:r>
      <w:r>
        <w:rPr>
          <w:noProof/>
        </w:rPr>
        <w:t>125</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sidRPr="001C0D5F">
        <w:rPr>
          <w:rFonts w:cs="Calibri"/>
          <w:noProof/>
        </w:rPr>
        <w:t>8.3</w:t>
      </w:r>
      <w:r>
        <w:rPr>
          <w:rFonts w:asciiTheme="minorHAnsi" w:eastAsiaTheme="minorEastAsia" w:hAnsiTheme="minorHAnsi" w:cstheme="minorBidi"/>
          <w:smallCaps w:val="0"/>
          <w:noProof/>
          <w:sz w:val="22"/>
          <w:szCs w:val="22"/>
          <w:lang w:eastAsia="lv-LV"/>
        </w:rPr>
        <w:tab/>
      </w:r>
      <w:r w:rsidRPr="001C0D5F">
        <w:rPr>
          <w:rFonts w:cs="Calibri"/>
          <w:noProof/>
        </w:rPr>
        <w:t>Citu ES dalībvalstu nodokļu atvieglojumu izvērstā analīze</w:t>
      </w:r>
      <w:r>
        <w:rPr>
          <w:noProof/>
        </w:rPr>
        <w:tab/>
      </w:r>
      <w:r>
        <w:rPr>
          <w:noProof/>
        </w:rPr>
        <w:fldChar w:fldCharType="begin"/>
      </w:r>
      <w:r>
        <w:rPr>
          <w:noProof/>
        </w:rPr>
        <w:instrText xml:space="preserve"> PAGEREF _Toc358978728 \h </w:instrText>
      </w:r>
      <w:r>
        <w:rPr>
          <w:noProof/>
        </w:rPr>
      </w:r>
      <w:r>
        <w:rPr>
          <w:noProof/>
        </w:rPr>
        <w:fldChar w:fldCharType="separate"/>
      </w:r>
      <w:r>
        <w:rPr>
          <w:noProof/>
        </w:rPr>
        <w:t>125</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8.3.1</w:t>
      </w:r>
      <w:r>
        <w:rPr>
          <w:rFonts w:asciiTheme="minorHAnsi" w:eastAsiaTheme="minorEastAsia" w:hAnsiTheme="minorHAnsi" w:cstheme="minorBidi"/>
          <w:i w:val="0"/>
          <w:iCs w:val="0"/>
          <w:noProof/>
          <w:sz w:val="22"/>
          <w:szCs w:val="22"/>
          <w:lang w:eastAsia="lv-LV"/>
        </w:rPr>
        <w:tab/>
      </w:r>
      <w:r>
        <w:rPr>
          <w:noProof/>
        </w:rPr>
        <w:t>Zviedrija</w:t>
      </w:r>
      <w:r>
        <w:rPr>
          <w:noProof/>
        </w:rPr>
        <w:tab/>
      </w:r>
      <w:r>
        <w:rPr>
          <w:noProof/>
        </w:rPr>
        <w:fldChar w:fldCharType="begin"/>
      </w:r>
      <w:r>
        <w:rPr>
          <w:noProof/>
        </w:rPr>
        <w:instrText xml:space="preserve"> PAGEREF _Toc358978729 \h </w:instrText>
      </w:r>
      <w:r>
        <w:rPr>
          <w:noProof/>
        </w:rPr>
      </w:r>
      <w:r>
        <w:rPr>
          <w:noProof/>
        </w:rPr>
        <w:fldChar w:fldCharType="separate"/>
      </w:r>
      <w:r>
        <w:rPr>
          <w:noProof/>
        </w:rPr>
        <w:t>125</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8.3.1.1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_Toc358978730 \h </w:instrText>
      </w:r>
      <w:r>
        <w:rPr>
          <w:noProof/>
        </w:rPr>
      </w:r>
      <w:r>
        <w:rPr>
          <w:noProof/>
        </w:rPr>
        <w:fldChar w:fldCharType="separate"/>
      </w:r>
      <w:r>
        <w:rPr>
          <w:noProof/>
        </w:rPr>
        <w:t>125</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8.3.1.2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_Toc358978731 \h </w:instrText>
      </w:r>
      <w:r>
        <w:rPr>
          <w:noProof/>
        </w:rPr>
      </w:r>
      <w:r>
        <w:rPr>
          <w:noProof/>
        </w:rPr>
        <w:fldChar w:fldCharType="separate"/>
      </w:r>
      <w:r>
        <w:rPr>
          <w:noProof/>
        </w:rPr>
        <w:t>125</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8.3.2</w:t>
      </w:r>
      <w:r>
        <w:rPr>
          <w:rFonts w:asciiTheme="minorHAnsi" w:eastAsiaTheme="minorEastAsia" w:hAnsiTheme="minorHAnsi" w:cstheme="minorBidi"/>
          <w:i w:val="0"/>
          <w:iCs w:val="0"/>
          <w:noProof/>
          <w:sz w:val="22"/>
          <w:szCs w:val="22"/>
          <w:lang w:eastAsia="lv-LV"/>
        </w:rPr>
        <w:tab/>
      </w:r>
      <w:r>
        <w:rPr>
          <w:noProof/>
        </w:rPr>
        <w:t>Vācija</w:t>
      </w:r>
      <w:r>
        <w:rPr>
          <w:noProof/>
        </w:rPr>
        <w:tab/>
      </w:r>
      <w:r>
        <w:rPr>
          <w:noProof/>
        </w:rPr>
        <w:fldChar w:fldCharType="begin"/>
      </w:r>
      <w:r>
        <w:rPr>
          <w:noProof/>
        </w:rPr>
        <w:instrText xml:space="preserve"> PAGEREF _Toc358978732 \h </w:instrText>
      </w:r>
      <w:r>
        <w:rPr>
          <w:noProof/>
        </w:rPr>
      </w:r>
      <w:r>
        <w:rPr>
          <w:noProof/>
        </w:rPr>
        <w:fldChar w:fldCharType="separate"/>
      </w:r>
      <w:r>
        <w:rPr>
          <w:noProof/>
        </w:rPr>
        <w:t>125</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8.3.2.1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_Toc358978733 \h </w:instrText>
      </w:r>
      <w:r>
        <w:rPr>
          <w:noProof/>
        </w:rPr>
      </w:r>
      <w:r>
        <w:rPr>
          <w:noProof/>
        </w:rPr>
        <w:fldChar w:fldCharType="separate"/>
      </w:r>
      <w:r>
        <w:rPr>
          <w:noProof/>
        </w:rPr>
        <w:t>125</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8.3.2.2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_Toc358978734 \h </w:instrText>
      </w:r>
      <w:r>
        <w:rPr>
          <w:noProof/>
        </w:rPr>
      </w:r>
      <w:r>
        <w:rPr>
          <w:noProof/>
        </w:rPr>
        <w:fldChar w:fldCharType="separate"/>
      </w:r>
      <w:r>
        <w:rPr>
          <w:noProof/>
        </w:rPr>
        <w:t>125</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8.3.3</w:t>
      </w:r>
      <w:r>
        <w:rPr>
          <w:rFonts w:asciiTheme="minorHAnsi" w:eastAsiaTheme="minorEastAsia" w:hAnsiTheme="minorHAnsi" w:cstheme="minorBidi"/>
          <w:i w:val="0"/>
          <w:iCs w:val="0"/>
          <w:noProof/>
          <w:sz w:val="22"/>
          <w:szCs w:val="22"/>
          <w:lang w:eastAsia="lv-LV"/>
        </w:rPr>
        <w:tab/>
      </w:r>
      <w:r>
        <w:rPr>
          <w:noProof/>
        </w:rPr>
        <w:t>Nīderlande</w:t>
      </w:r>
      <w:r>
        <w:rPr>
          <w:noProof/>
        </w:rPr>
        <w:tab/>
      </w:r>
      <w:r>
        <w:rPr>
          <w:noProof/>
        </w:rPr>
        <w:fldChar w:fldCharType="begin"/>
      </w:r>
      <w:r>
        <w:rPr>
          <w:noProof/>
        </w:rPr>
        <w:instrText xml:space="preserve"> PAGEREF _Toc358978735 \h </w:instrText>
      </w:r>
      <w:r>
        <w:rPr>
          <w:noProof/>
        </w:rPr>
      </w:r>
      <w:r>
        <w:rPr>
          <w:noProof/>
        </w:rPr>
        <w:fldChar w:fldCharType="separate"/>
      </w:r>
      <w:r>
        <w:rPr>
          <w:noProof/>
        </w:rPr>
        <w:t>125</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8.3.3.1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_Toc358978736 \h </w:instrText>
      </w:r>
      <w:r>
        <w:rPr>
          <w:noProof/>
        </w:rPr>
      </w:r>
      <w:r>
        <w:rPr>
          <w:noProof/>
        </w:rPr>
        <w:fldChar w:fldCharType="separate"/>
      </w:r>
      <w:r>
        <w:rPr>
          <w:noProof/>
        </w:rPr>
        <w:t>125</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8.3.3.2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_Toc358978737 \h </w:instrText>
      </w:r>
      <w:r>
        <w:rPr>
          <w:noProof/>
        </w:rPr>
      </w:r>
      <w:r>
        <w:rPr>
          <w:noProof/>
        </w:rPr>
        <w:fldChar w:fldCharType="separate"/>
      </w:r>
      <w:r>
        <w:rPr>
          <w:noProof/>
        </w:rPr>
        <w:t>126</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8.3.3.3</w:t>
      </w:r>
      <w:r>
        <w:rPr>
          <w:rFonts w:asciiTheme="minorHAnsi" w:eastAsiaTheme="minorEastAsia" w:hAnsiTheme="minorHAnsi" w:cstheme="minorBidi"/>
          <w:noProof/>
          <w:sz w:val="22"/>
          <w:szCs w:val="22"/>
          <w:lang w:eastAsia="lv-LV"/>
        </w:rPr>
        <w:tab/>
      </w:r>
      <w:r>
        <w:rPr>
          <w:noProof/>
        </w:rPr>
        <w:t>Citas prasības</w:t>
      </w:r>
      <w:r>
        <w:rPr>
          <w:noProof/>
        </w:rPr>
        <w:tab/>
      </w:r>
      <w:r>
        <w:rPr>
          <w:noProof/>
        </w:rPr>
        <w:fldChar w:fldCharType="begin"/>
      </w:r>
      <w:r>
        <w:rPr>
          <w:noProof/>
        </w:rPr>
        <w:instrText xml:space="preserve"> PAGEREF _Toc358978738 \h </w:instrText>
      </w:r>
      <w:r>
        <w:rPr>
          <w:noProof/>
        </w:rPr>
      </w:r>
      <w:r>
        <w:rPr>
          <w:noProof/>
        </w:rPr>
        <w:fldChar w:fldCharType="separate"/>
      </w:r>
      <w:r>
        <w:rPr>
          <w:noProof/>
        </w:rPr>
        <w:t>127</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8.3.4</w:t>
      </w:r>
      <w:r>
        <w:rPr>
          <w:rFonts w:asciiTheme="minorHAnsi" w:eastAsiaTheme="minorEastAsia" w:hAnsiTheme="minorHAnsi" w:cstheme="minorBidi"/>
          <w:i w:val="0"/>
          <w:iCs w:val="0"/>
          <w:noProof/>
          <w:sz w:val="22"/>
          <w:szCs w:val="22"/>
          <w:lang w:eastAsia="lv-LV"/>
        </w:rPr>
        <w:tab/>
      </w:r>
      <w:r>
        <w:rPr>
          <w:noProof/>
        </w:rPr>
        <w:t>Lielbritānija</w:t>
      </w:r>
      <w:r>
        <w:rPr>
          <w:noProof/>
        </w:rPr>
        <w:tab/>
      </w:r>
      <w:r>
        <w:rPr>
          <w:noProof/>
        </w:rPr>
        <w:fldChar w:fldCharType="begin"/>
      </w:r>
      <w:r>
        <w:rPr>
          <w:noProof/>
        </w:rPr>
        <w:instrText xml:space="preserve"> PAGEREF _Toc358978739 \h </w:instrText>
      </w:r>
      <w:r>
        <w:rPr>
          <w:noProof/>
        </w:rPr>
      </w:r>
      <w:r>
        <w:rPr>
          <w:noProof/>
        </w:rPr>
        <w:fldChar w:fldCharType="separate"/>
      </w:r>
      <w:r>
        <w:rPr>
          <w:noProof/>
        </w:rPr>
        <w:t>127</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8.3.4.1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_Toc358978740 \h </w:instrText>
      </w:r>
      <w:r>
        <w:rPr>
          <w:noProof/>
        </w:rPr>
      </w:r>
      <w:r>
        <w:rPr>
          <w:noProof/>
        </w:rPr>
        <w:fldChar w:fldCharType="separate"/>
      </w:r>
      <w:r>
        <w:rPr>
          <w:noProof/>
        </w:rPr>
        <w:t>127</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8.3.4.2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_Toc358978741 \h </w:instrText>
      </w:r>
      <w:r>
        <w:rPr>
          <w:noProof/>
        </w:rPr>
      </w:r>
      <w:r>
        <w:rPr>
          <w:noProof/>
        </w:rPr>
        <w:fldChar w:fldCharType="separate"/>
      </w:r>
      <w:r>
        <w:rPr>
          <w:noProof/>
        </w:rPr>
        <w:t>127</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8.3.4.3</w:t>
      </w:r>
      <w:r>
        <w:rPr>
          <w:rFonts w:asciiTheme="minorHAnsi" w:eastAsiaTheme="minorEastAsia" w:hAnsiTheme="minorHAnsi" w:cstheme="minorBidi"/>
          <w:noProof/>
          <w:sz w:val="22"/>
          <w:szCs w:val="22"/>
          <w:lang w:eastAsia="lv-LV"/>
        </w:rPr>
        <w:tab/>
      </w:r>
      <w:r>
        <w:rPr>
          <w:noProof/>
        </w:rPr>
        <w:t>Citas prasības</w:t>
      </w:r>
      <w:r>
        <w:rPr>
          <w:noProof/>
        </w:rPr>
        <w:tab/>
      </w:r>
      <w:r>
        <w:rPr>
          <w:noProof/>
        </w:rPr>
        <w:fldChar w:fldCharType="begin"/>
      </w:r>
      <w:r>
        <w:rPr>
          <w:noProof/>
        </w:rPr>
        <w:instrText xml:space="preserve"> PAGEREF _Toc358978742 \h </w:instrText>
      </w:r>
      <w:r>
        <w:rPr>
          <w:noProof/>
        </w:rPr>
      </w:r>
      <w:r>
        <w:rPr>
          <w:noProof/>
        </w:rPr>
        <w:fldChar w:fldCharType="separate"/>
      </w:r>
      <w:r>
        <w:rPr>
          <w:noProof/>
        </w:rPr>
        <w:t>129</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8.3.4.4</w:t>
      </w:r>
      <w:r>
        <w:rPr>
          <w:rFonts w:asciiTheme="minorHAnsi" w:eastAsiaTheme="minorEastAsia" w:hAnsiTheme="minorHAnsi" w:cstheme="minorBidi"/>
          <w:noProof/>
          <w:sz w:val="22"/>
          <w:szCs w:val="22"/>
          <w:lang w:eastAsia="lv-LV"/>
        </w:rPr>
        <w:tab/>
      </w:r>
      <w:r>
        <w:rPr>
          <w:noProof/>
        </w:rPr>
        <w:t>Atvieglojumu izmantošanas intensitāte</w:t>
      </w:r>
      <w:r>
        <w:rPr>
          <w:noProof/>
        </w:rPr>
        <w:tab/>
      </w:r>
      <w:r>
        <w:rPr>
          <w:noProof/>
        </w:rPr>
        <w:fldChar w:fldCharType="begin"/>
      </w:r>
      <w:r>
        <w:rPr>
          <w:noProof/>
        </w:rPr>
        <w:instrText xml:space="preserve"> PAGEREF _Toc358978743 \h </w:instrText>
      </w:r>
      <w:r>
        <w:rPr>
          <w:noProof/>
        </w:rPr>
      </w:r>
      <w:r>
        <w:rPr>
          <w:noProof/>
        </w:rPr>
        <w:fldChar w:fldCharType="separate"/>
      </w:r>
      <w:r>
        <w:rPr>
          <w:noProof/>
        </w:rPr>
        <w:t>130</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8.3.5</w:t>
      </w:r>
      <w:r>
        <w:rPr>
          <w:rFonts w:asciiTheme="minorHAnsi" w:eastAsiaTheme="minorEastAsia" w:hAnsiTheme="minorHAnsi" w:cstheme="minorBidi"/>
          <w:i w:val="0"/>
          <w:iCs w:val="0"/>
          <w:noProof/>
          <w:sz w:val="22"/>
          <w:szCs w:val="22"/>
          <w:lang w:eastAsia="lv-LV"/>
        </w:rPr>
        <w:tab/>
      </w:r>
      <w:r>
        <w:rPr>
          <w:noProof/>
        </w:rPr>
        <w:t>Francija</w:t>
      </w:r>
      <w:r>
        <w:rPr>
          <w:noProof/>
        </w:rPr>
        <w:tab/>
      </w:r>
      <w:r>
        <w:rPr>
          <w:noProof/>
        </w:rPr>
        <w:fldChar w:fldCharType="begin"/>
      </w:r>
      <w:r>
        <w:rPr>
          <w:noProof/>
        </w:rPr>
        <w:instrText xml:space="preserve"> PAGEREF _Toc358978744 \h </w:instrText>
      </w:r>
      <w:r>
        <w:rPr>
          <w:noProof/>
        </w:rPr>
      </w:r>
      <w:r>
        <w:rPr>
          <w:noProof/>
        </w:rPr>
        <w:fldChar w:fldCharType="separate"/>
      </w:r>
      <w:r>
        <w:rPr>
          <w:noProof/>
        </w:rPr>
        <w:t>130</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8.3.5.1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_Toc358978745 \h </w:instrText>
      </w:r>
      <w:r>
        <w:rPr>
          <w:noProof/>
        </w:rPr>
      </w:r>
      <w:r>
        <w:rPr>
          <w:noProof/>
        </w:rPr>
        <w:fldChar w:fldCharType="separate"/>
      </w:r>
      <w:r>
        <w:rPr>
          <w:noProof/>
        </w:rPr>
        <w:t>130</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8.3.5.2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_Toc358978746 \h </w:instrText>
      </w:r>
      <w:r>
        <w:rPr>
          <w:noProof/>
        </w:rPr>
      </w:r>
      <w:r>
        <w:rPr>
          <w:noProof/>
        </w:rPr>
        <w:fldChar w:fldCharType="separate"/>
      </w:r>
      <w:r>
        <w:rPr>
          <w:noProof/>
        </w:rPr>
        <w:t>130</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8.3.5.3</w:t>
      </w:r>
      <w:r>
        <w:rPr>
          <w:rFonts w:asciiTheme="minorHAnsi" w:eastAsiaTheme="minorEastAsia" w:hAnsiTheme="minorHAnsi" w:cstheme="minorBidi"/>
          <w:noProof/>
          <w:sz w:val="22"/>
          <w:szCs w:val="22"/>
          <w:lang w:eastAsia="lv-LV"/>
        </w:rPr>
        <w:tab/>
      </w:r>
      <w:r>
        <w:rPr>
          <w:noProof/>
        </w:rPr>
        <w:t>Citas prasības</w:t>
      </w:r>
      <w:r>
        <w:rPr>
          <w:noProof/>
        </w:rPr>
        <w:tab/>
      </w:r>
      <w:r>
        <w:rPr>
          <w:noProof/>
        </w:rPr>
        <w:fldChar w:fldCharType="begin"/>
      </w:r>
      <w:r>
        <w:rPr>
          <w:noProof/>
        </w:rPr>
        <w:instrText xml:space="preserve"> PAGEREF _Toc358978747 \h </w:instrText>
      </w:r>
      <w:r>
        <w:rPr>
          <w:noProof/>
        </w:rPr>
      </w:r>
      <w:r>
        <w:rPr>
          <w:noProof/>
        </w:rPr>
        <w:fldChar w:fldCharType="separate"/>
      </w:r>
      <w:r>
        <w:rPr>
          <w:noProof/>
        </w:rPr>
        <w:t>132</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8.3.6</w:t>
      </w:r>
      <w:r>
        <w:rPr>
          <w:rFonts w:asciiTheme="minorHAnsi" w:eastAsiaTheme="minorEastAsia" w:hAnsiTheme="minorHAnsi" w:cstheme="minorBidi"/>
          <w:i w:val="0"/>
          <w:iCs w:val="0"/>
          <w:noProof/>
          <w:sz w:val="22"/>
          <w:szCs w:val="22"/>
          <w:lang w:eastAsia="lv-LV"/>
        </w:rPr>
        <w:tab/>
      </w:r>
      <w:r>
        <w:rPr>
          <w:noProof/>
        </w:rPr>
        <w:t>Igaunija</w:t>
      </w:r>
      <w:r>
        <w:rPr>
          <w:noProof/>
        </w:rPr>
        <w:tab/>
      </w:r>
      <w:r>
        <w:rPr>
          <w:noProof/>
        </w:rPr>
        <w:fldChar w:fldCharType="begin"/>
      </w:r>
      <w:r>
        <w:rPr>
          <w:noProof/>
        </w:rPr>
        <w:instrText xml:space="preserve"> PAGEREF _Toc358978748 \h </w:instrText>
      </w:r>
      <w:r>
        <w:rPr>
          <w:noProof/>
        </w:rPr>
      </w:r>
      <w:r>
        <w:rPr>
          <w:noProof/>
        </w:rPr>
        <w:fldChar w:fldCharType="separate"/>
      </w:r>
      <w:r>
        <w:rPr>
          <w:noProof/>
        </w:rPr>
        <w:t>132</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8.3.6.1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_Toc358978749 \h </w:instrText>
      </w:r>
      <w:r>
        <w:rPr>
          <w:noProof/>
        </w:rPr>
      </w:r>
      <w:r>
        <w:rPr>
          <w:noProof/>
        </w:rPr>
        <w:fldChar w:fldCharType="separate"/>
      </w:r>
      <w:r>
        <w:rPr>
          <w:noProof/>
        </w:rPr>
        <w:t>132</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8.3.6.2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_Toc358978750 \h </w:instrText>
      </w:r>
      <w:r>
        <w:rPr>
          <w:noProof/>
        </w:rPr>
      </w:r>
      <w:r>
        <w:rPr>
          <w:noProof/>
        </w:rPr>
        <w:fldChar w:fldCharType="separate"/>
      </w:r>
      <w:r>
        <w:rPr>
          <w:noProof/>
        </w:rPr>
        <w:t>132</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8.3.7</w:t>
      </w:r>
      <w:r>
        <w:rPr>
          <w:rFonts w:asciiTheme="minorHAnsi" w:eastAsiaTheme="minorEastAsia" w:hAnsiTheme="minorHAnsi" w:cstheme="minorBidi"/>
          <w:i w:val="0"/>
          <w:iCs w:val="0"/>
          <w:noProof/>
          <w:sz w:val="22"/>
          <w:szCs w:val="22"/>
          <w:lang w:eastAsia="lv-LV"/>
        </w:rPr>
        <w:tab/>
      </w:r>
      <w:r>
        <w:rPr>
          <w:noProof/>
        </w:rPr>
        <w:t>Itālija</w:t>
      </w:r>
      <w:r>
        <w:rPr>
          <w:noProof/>
        </w:rPr>
        <w:tab/>
      </w:r>
      <w:r>
        <w:rPr>
          <w:noProof/>
        </w:rPr>
        <w:fldChar w:fldCharType="begin"/>
      </w:r>
      <w:r>
        <w:rPr>
          <w:noProof/>
        </w:rPr>
        <w:instrText xml:space="preserve"> PAGEREF _Toc358978751 \h </w:instrText>
      </w:r>
      <w:r>
        <w:rPr>
          <w:noProof/>
        </w:rPr>
      </w:r>
      <w:r>
        <w:rPr>
          <w:noProof/>
        </w:rPr>
        <w:fldChar w:fldCharType="separate"/>
      </w:r>
      <w:r>
        <w:rPr>
          <w:noProof/>
        </w:rPr>
        <w:t>132</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8.3.7.1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_Toc358978752 \h </w:instrText>
      </w:r>
      <w:r>
        <w:rPr>
          <w:noProof/>
        </w:rPr>
      </w:r>
      <w:r>
        <w:rPr>
          <w:noProof/>
        </w:rPr>
        <w:fldChar w:fldCharType="separate"/>
      </w:r>
      <w:r>
        <w:rPr>
          <w:noProof/>
        </w:rPr>
        <w:t>132</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8.3.7.2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_Toc358978753 \h </w:instrText>
      </w:r>
      <w:r>
        <w:rPr>
          <w:noProof/>
        </w:rPr>
      </w:r>
      <w:r>
        <w:rPr>
          <w:noProof/>
        </w:rPr>
        <w:fldChar w:fldCharType="separate"/>
      </w:r>
      <w:r>
        <w:rPr>
          <w:noProof/>
        </w:rPr>
        <w:t>132</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8.3.7.3</w:t>
      </w:r>
      <w:r>
        <w:rPr>
          <w:rFonts w:asciiTheme="minorHAnsi" w:eastAsiaTheme="minorEastAsia" w:hAnsiTheme="minorHAnsi" w:cstheme="minorBidi"/>
          <w:noProof/>
          <w:sz w:val="22"/>
          <w:szCs w:val="22"/>
          <w:lang w:eastAsia="lv-LV"/>
        </w:rPr>
        <w:tab/>
      </w:r>
      <w:r>
        <w:rPr>
          <w:noProof/>
        </w:rPr>
        <w:t>Citas prasības</w:t>
      </w:r>
      <w:r>
        <w:rPr>
          <w:noProof/>
        </w:rPr>
        <w:tab/>
      </w:r>
      <w:r>
        <w:rPr>
          <w:noProof/>
        </w:rPr>
        <w:fldChar w:fldCharType="begin"/>
      </w:r>
      <w:r>
        <w:rPr>
          <w:noProof/>
        </w:rPr>
        <w:instrText xml:space="preserve"> PAGEREF _Toc358978754 \h </w:instrText>
      </w:r>
      <w:r>
        <w:rPr>
          <w:noProof/>
        </w:rPr>
      </w:r>
      <w:r>
        <w:rPr>
          <w:noProof/>
        </w:rPr>
        <w:fldChar w:fldCharType="separate"/>
      </w:r>
      <w:r>
        <w:rPr>
          <w:noProof/>
        </w:rPr>
        <w:t>134</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8.3.8</w:t>
      </w:r>
      <w:r>
        <w:rPr>
          <w:rFonts w:asciiTheme="minorHAnsi" w:eastAsiaTheme="minorEastAsia" w:hAnsiTheme="minorHAnsi" w:cstheme="minorBidi"/>
          <w:i w:val="0"/>
          <w:iCs w:val="0"/>
          <w:noProof/>
          <w:sz w:val="22"/>
          <w:szCs w:val="22"/>
          <w:lang w:eastAsia="lv-LV"/>
        </w:rPr>
        <w:tab/>
      </w:r>
      <w:r>
        <w:rPr>
          <w:noProof/>
        </w:rPr>
        <w:t>Spānija</w:t>
      </w:r>
      <w:r>
        <w:rPr>
          <w:noProof/>
        </w:rPr>
        <w:tab/>
      </w:r>
      <w:r>
        <w:rPr>
          <w:noProof/>
        </w:rPr>
        <w:fldChar w:fldCharType="begin"/>
      </w:r>
      <w:r>
        <w:rPr>
          <w:noProof/>
        </w:rPr>
        <w:instrText xml:space="preserve"> PAGEREF _Toc358978755 \h </w:instrText>
      </w:r>
      <w:r>
        <w:rPr>
          <w:noProof/>
        </w:rPr>
      </w:r>
      <w:r>
        <w:rPr>
          <w:noProof/>
        </w:rPr>
        <w:fldChar w:fldCharType="separate"/>
      </w:r>
      <w:r>
        <w:rPr>
          <w:noProof/>
        </w:rPr>
        <w:t>134</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8.3.8.1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_Toc358978756 \h </w:instrText>
      </w:r>
      <w:r>
        <w:rPr>
          <w:noProof/>
        </w:rPr>
      </w:r>
      <w:r>
        <w:rPr>
          <w:noProof/>
        </w:rPr>
        <w:fldChar w:fldCharType="separate"/>
      </w:r>
      <w:r>
        <w:rPr>
          <w:noProof/>
        </w:rPr>
        <w:t>134</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8.3.8.2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_Toc358978757 \h </w:instrText>
      </w:r>
      <w:r>
        <w:rPr>
          <w:noProof/>
        </w:rPr>
      </w:r>
      <w:r>
        <w:rPr>
          <w:noProof/>
        </w:rPr>
        <w:fldChar w:fldCharType="separate"/>
      </w:r>
      <w:r>
        <w:rPr>
          <w:noProof/>
        </w:rPr>
        <w:t>134</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8.3.8.3</w:t>
      </w:r>
      <w:r>
        <w:rPr>
          <w:rFonts w:asciiTheme="minorHAnsi" w:eastAsiaTheme="minorEastAsia" w:hAnsiTheme="minorHAnsi" w:cstheme="minorBidi"/>
          <w:noProof/>
          <w:sz w:val="22"/>
          <w:szCs w:val="22"/>
          <w:lang w:eastAsia="lv-LV"/>
        </w:rPr>
        <w:tab/>
      </w:r>
      <w:r>
        <w:rPr>
          <w:noProof/>
        </w:rPr>
        <w:t>Citas prasības</w:t>
      </w:r>
      <w:r>
        <w:rPr>
          <w:noProof/>
        </w:rPr>
        <w:tab/>
      </w:r>
      <w:r>
        <w:rPr>
          <w:noProof/>
        </w:rPr>
        <w:fldChar w:fldCharType="begin"/>
      </w:r>
      <w:r>
        <w:rPr>
          <w:noProof/>
        </w:rPr>
        <w:instrText xml:space="preserve"> PAGEREF _Toc358978758 \h </w:instrText>
      </w:r>
      <w:r>
        <w:rPr>
          <w:noProof/>
        </w:rPr>
      </w:r>
      <w:r>
        <w:rPr>
          <w:noProof/>
        </w:rPr>
        <w:fldChar w:fldCharType="separate"/>
      </w:r>
      <w:r>
        <w:rPr>
          <w:noProof/>
        </w:rPr>
        <w:t>135</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8.3.9</w:t>
      </w:r>
      <w:r>
        <w:rPr>
          <w:rFonts w:asciiTheme="minorHAnsi" w:eastAsiaTheme="minorEastAsia" w:hAnsiTheme="minorHAnsi" w:cstheme="minorBidi"/>
          <w:i w:val="0"/>
          <w:iCs w:val="0"/>
          <w:noProof/>
          <w:sz w:val="22"/>
          <w:szCs w:val="22"/>
          <w:lang w:eastAsia="lv-LV"/>
        </w:rPr>
        <w:tab/>
      </w:r>
      <w:r>
        <w:rPr>
          <w:noProof/>
        </w:rPr>
        <w:t>Grieķija</w:t>
      </w:r>
      <w:r>
        <w:rPr>
          <w:noProof/>
        </w:rPr>
        <w:tab/>
      </w:r>
      <w:r>
        <w:rPr>
          <w:noProof/>
        </w:rPr>
        <w:fldChar w:fldCharType="begin"/>
      </w:r>
      <w:r>
        <w:rPr>
          <w:noProof/>
        </w:rPr>
        <w:instrText xml:space="preserve"> PAGEREF _Toc358978759 \h </w:instrText>
      </w:r>
      <w:r>
        <w:rPr>
          <w:noProof/>
        </w:rPr>
      </w:r>
      <w:r>
        <w:rPr>
          <w:noProof/>
        </w:rPr>
        <w:fldChar w:fldCharType="separate"/>
      </w:r>
      <w:r>
        <w:rPr>
          <w:noProof/>
        </w:rPr>
        <w:t>136</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8.3.9.1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_Toc358978760 \h </w:instrText>
      </w:r>
      <w:r>
        <w:rPr>
          <w:noProof/>
        </w:rPr>
      </w:r>
      <w:r>
        <w:rPr>
          <w:noProof/>
        </w:rPr>
        <w:fldChar w:fldCharType="separate"/>
      </w:r>
      <w:r>
        <w:rPr>
          <w:noProof/>
        </w:rPr>
        <w:t>136</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8.3.9.2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_Toc358978761 \h </w:instrText>
      </w:r>
      <w:r>
        <w:rPr>
          <w:noProof/>
        </w:rPr>
      </w:r>
      <w:r>
        <w:rPr>
          <w:noProof/>
        </w:rPr>
        <w:fldChar w:fldCharType="separate"/>
      </w:r>
      <w:r>
        <w:rPr>
          <w:noProof/>
        </w:rPr>
        <w:t>136</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8.3.9.3</w:t>
      </w:r>
      <w:r>
        <w:rPr>
          <w:rFonts w:asciiTheme="minorHAnsi" w:eastAsiaTheme="minorEastAsia" w:hAnsiTheme="minorHAnsi" w:cstheme="minorBidi"/>
          <w:noProof/>
          <w:sz w:val="22"/>
          <w:szCs w:val="22"/>
          <w:lang w:eastAsia="lv-LV"/>
        </w:rPr>
        <w:tab/>
      </w:r>
      <w:r>
        <w:rPr>
          <w:noProof/>
        </w:rPr>
        <w:t>Citas prasības</w:t>
      </w:r>
      <w:r>
        <w:rPr>
          <w:noProof/>
        </w:rPr>
        <w:tab/>
      </w:r>
      <w:r>
        <w:rPr>
          <w:noProof/>
        </w:rPr>
        <w:fldChar w:fldCharType="begin"/>
      </w:r>
      <w:r>
        <w:rPr>
          <w:noProof/>
        </w:rPr>
        <w:instrText xml:space="preserve"> PAGEREF _Toc358978762 \h </w:instrText>
      </w:r>
      <w:r>
        <w:rPr>
          <w:noProof/>
        </w:rPr>
      </w:r>
      <w:r>
        <w:rPr>
          <w:noProof/>
        </w:rPr>
        <w:fldChar w:fldCharType="separate"/>
      </w:r>
      <w:r>
        <w:rPr>
          <w:noProof/>
        </w:rPr>
        <w:t>136</w:t>
      </w:r>
      <w:r>
        <w:rPr>
          <w:noProof/>
        </w:rPr>
        <w:fldChar w:fldCharType="end"/>
      </w:r>
    </w:p>
    <w:p w:rsidR="00987517" w:rsidRDefault="00987517">
      <w:pPr>
        <w:pStyle w:val="TOC3"/>
        <w:tabs>
          <w:tab w:val="left" w:pos="1320"/>
          <w:tab w:val="right" w:leader="dot" w:pos="9395"/>
        </w:tabs>
        <w:rPr>
          <w:rFonts w:asciiTheme="minorHAnsi" w:eastAsiaTheme="minorEastAsia" w:hAnsiTheme="minorHAnsi" w:cstheme="minorBidi"/>
          <w:i w:val="0"/>
          <w:iCs w:val="0"/>
          <w:noProof/>
          <w:sz w:val="22"/>
          <w:szCs w:val="22"/>
          <w:lang w:eastAsia="lv-LV"/>
        </w:rPr>
      </w:pPr>
      <w:r>
        <w:rPr>
          <w:noProof/>
        </w:rPr>
        <w:t>8.3.10</w:t>
      </w:r>
      <w:r>
        <w:rPr>
          <w:rFonts w:asciiTheme="minorHAnsi" w:eastAsiaTheme="minorEastAsia" w:hAnsiTheme="minorHAnsi" w:cstheme="minorBidi"/>
          <w:i w:val="0"/>
          <w:iCs w:val="0"/>
          <w:noProof/>
          <w:sz w:val="22"/>
          <w:szCs w:val="22"/>
          <w:lang w:eastAsia="lv-LV"/>
        </w:rPr>
        <w:tab/>
      </w:r>
      <w:r>
        <w:rPr>
          <w:noProof/>
        </w:rPr>
        <w:t>Lietuva</w:t>
      </w:r>
      <w:r>
        <w:rPr>
          <w:noProof/>
        </w:rPr>
        <w:tab/>
      </w:r>
      <w:r>
        <w:rPr>
          <w:noProof/>
        </w:rPr>
        <w:fldChar w:fldCharType="begin"/>
      </w:r>
      <w:r>
        <w:rPr>
          <w:noProof/>
        </w:rPr>
        <w:instrText xml:space="preserve"> PAGEREF _Toc358978763 \h </w:instrText>
      </w:r>
      <w:r>
        <w:rPr>
          <w:noProof/>
        </w:rPr>
      </w:r>
      <w:r>
        <w:rPr>
          <w:noProof/>
        </w:rPr>
        <w:fldChar w:fldCharType="separate"/>
      </w:r>
      <w:r>
        <w:rPr>
          <w:noProof/>
        </w:rPr>
        <w:t>137</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8.3.10.1</w:t>
      </w:r>
      <w:r>
        <w:rPr>
          <w:rFonts w:asciiTheme="minorHAnsi" w:eastAsiaTheme="minorEastAsia" w:hAnsiTheme="minorHAnsi" w:cstheme="minorBidi"/>
          <w:noProof/>
          <w:sz w:val="22"/>
          <w:szCs w:val="22"/>
          <w:lang w:eastAsia="lv-LV"/>
        </w:rPr>
        <w:tab/>
      </w:r>
      <w:r>
        <w:rPr>
          <w:noProof/>
        </w:rPr>
        <w:t>Pamatinformācija</w:t>
      </w:r>
      <w:r>
        <w:rPr>
          <w:noProof/>
        </w:rPr>
        <w:tab/>
      </w:r>
      <w:r>
        <w:rPr>
          <w:noProof/>
        </w:rPr>
        <w:fldChar w:fldCharType="begin"/>
      </w:r>
      <w:r>
        <w:rPr>
          <w:noProof/>
        </w:rPr>
        <w:instrText xml:space="preserve"> PAGEREF _Toc358978764 \h </w:instrText>
      </w:r>
      <w:r>
        <w:rPr>
          <w:noProof/>
        </w:rPr>
      </w:r>
      <w:r>
        <w:rPr>
          <w:noProof/>
        </w:rPr>
        <w:fldChar w:fldCharType="separate"/>
      </w:r>
      <w:r>
        <w:rPr>
          <w:noProof/>
        </w:rPr>
        <w:t>137</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8.3.10.2</w:t>
      </w:r>
      <w:r>
        <w:rPr>
          <w:rFonts w:asciiTheme="minorHAnsi" w:eastAsiaTheme="minorEastAsia" w:hAnsiTheme="minorHAnsi" w:cstheme="minorBidi"/>
          <w:noProof/>
          <w:sz w:val="22"/>
          <w:szCs w:val="22"/>
          <w:lang w:eastAsia="lv-LV"/>
        </w:rPr>
        <w:tab/>
      </w:r>
      <w:r>
        <w:rPr>
          <w:noProof/>
        </w:rPr>
        <w:t>R&amp;D nodokļu atvieglojumi</w:t>
      </w:r>
      <w:r>
        <w:rPr>
          <w:noProof/>
        </w:rPr>
        <w:tab/>
      </w:r>
      <w:r>
        <w:rPr>
          <w:noProof/>
        </w:rPr>
        <w:fldChar w:fldCharType="begin"/>
      </w:r>
      <w:r>
        <w:rPr>
          <w:noProof/>
        </w:rPr>
        <w:instrText xml:space="preserve"> PAGEREF _Toc358978765 \h </w:instrText>
      </w:r>
      <w:r>
        <w:rPr>
          <w:noProof/>
        </w:rPr>
      </w:r>
      <w:r>
        <w:rPr>
          <w:noProof/>
        </w:rPr>
        <w:fldChar w:fldCharType="separate"/>
      </w:r>
      <w:r>
        <w:rPr>
          <w:noProof/>
        </w:rPr>
        <w:t>137</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8.3.10.3</w:t>
      </w:r>
      <w:r>
        <w:rPr>
          <w:rFonts w:asciiTheme="minorHAnsi" w:eastAsiaTheme="minorEastAsia" w:hAnsiTheme="minorHAnsi" w:cstheme="minorBidi"/>
          <w:noProof/>
          <w:sz w:val="22"/>
          <w:szCs w:val="22"/>
          <w:lang w:eastAsia="lv-LV"/>
        </w:rPr>
        <w:tab/>
      </w:r>
      <w:r>
        <w:rPr>
          <w:noProof/>
        </w:rPr>
        <w:t>Citas prasības</w:t>
      </w:r>
      <w:r>
        <w:rPr>
          <w:noProof/>
        </w:rPr>
        <w:tab/>
      </w:r>
      <w:r>
        <w:rPr>
          <w:noProof/>
        </w:rPr>
        <w:fldChar w:fldCharType="begin"/>
      </w:r>
      <w:r>
        <w:rPr>
          <w:noProof/>
        </w:rPr>
        <w:instrText xml:space="preserve"> PAGEREF _Toc358978766 \h </w:instrText>
      </w:r>
      <w:r>
        <w:rPr>
          <w:noProof/>
        </w:rPr>
      </w:r>
      <w:r>
        <w:rPr>
          <w:noProof/>
        </w:rPr>
        <w:fldChar w:fldCharType="separate"/>
      </w:r>
      <w:r>
        <w:rPr>
          <w:noProof/>
        </w:rPr>
        <w:t>138</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8.3.10.4</w:t>
      </w:r>
      <w:r>
        <w:rPr>
          <w:rFonts w:asciiTheme="minorHAnsi" w:eastAsiaTheme="minorEastAsia" w:hAnsiTheme="minorHAnsi" w:cstheme="minorBidi"/>
          <w:noProof/>
          <w:sz w:val="22"/>
          <w:szCs w:val="22"/>
          <w:lang w:eastAsia="lv-LV"/>
        </w:rPr>
        <w:tab/>
      </w:r>
      <w:r>
        <w:rPr>
          <w:noProof/>
        </w:rPr>
        <w:t>Atvieglojumu izmantošanas intensitāte</w:t>
      </w:r>
      <w:r>
        <w:rPr>
          <w:noProof/>
        </w:rPr>
        <w:tab/>
      </w:r>
      <w:r>
        <w:rPr>
          <w:noProof/>
        </w:rPr>
        <w:fldChar w:fldCharType="begin"/>
      </w:r>
      <w:r>
        <w:rPr>
          <w:noProof/>
        </w:rPr>
        <w:instrText xml:space="preserve"> PAGEREF _Toc358978767 \h </w:instrText>
      </w:r>
      <w:r>
        <w:rPr>
          <w:noProof/>
        </w:rPr>
      </w:r>
      <w:r>
        <w:rPr>
          <w:noProof/>
        </w:rPr>
        <w:fldChar w:fldCharType="separate"/>
      </w:r>
      <w:r>
        <w:rPr>
          <w:noProof/>
        </w:rPr>
        <w:t>138</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8.4</w:t>
      </w:r>
      <w:r>
        <w:rPr>
          <w:rFonts w:asciiTheme="minorHAnsi" w:eastAsiaTheme="minorEastAsia" w:hAnsiTheme="minorHAnsi" w:cstheme="minorBidi"/>
          <w:smallCaps w:val="0"/>
          <w:noProof/>
          <w:sz w:val="22"/>
          <w:szCs w:val="22"/>
          <w:lang w:eastAsia="lv-LV"/>
        </w:rPr>
        <w:tab/>
      </w:r>
      <w:r>
        <w:rPr>
          <w:noProof/>
        </w:rPr>
        <w:t>Atbalsta instrumentus regulējošo normatīvo aktu izvērstā analīze un projektu rezultātu un programmu rādītāju sakarību un atbilstības izvērstais vērtējums</w:t>
      </w:r>
      <w:r>
        <w:rPr>
          <w:noProof/>
        </w:rPr>
        <w:tab/>
      </w:r>
      <w:r>
        <w:rPr>
          <w:noProof/>
        </w:rPr>
        <w:fldChar w:fldCharType="begin"/>
      </w:r>
      <w:r>
        <w:rPr>
          <w:noProof/>
        </w:rPr>
        <w:instrText xml:space="preserve"> PAGEREF _Toc358978768 \h </w:instrText>
      </w:r>
      <w:r>
        <w:rPr>
          <w:noProof/>
        </w:rPr>
      </w:r>
      <w:r>
        <w:rPr>
          <w:noProof/>
        </w:rPr>
        <w:fldChar w:fldCharType="separate"/>
      </w:r>
      <w:r>
        <w:rPr>
          <w:noProof/>
        </w:rPr>
        <w:t>138</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8.4.1</w:t>
      </w:r>
      <w:r>
        <w:rPr>
          <w:rFonts w:asciiTheme="minorHAnsi" w:eastAsiaTheme="minorEastAsia" w:hAnsiTheme="minorHAnsi" w:cstheme="minorBidi"/>
          <w:i w:val="0"/>
          <w:iCs w:val="0"/>
          <w:noProof/>
          <w:sz w:val="22"/>
          <w:szCs w:val="22"/>
          <w:lang w:eastAsia="lv-LV"/>
        </w:rPr>
        <w:tab/>
      </w:r>
      <w:r>
        <w:rPr>
          <w:noProof/>
        </w:rPr>
        <w:t>ES Struktūrfondu aktivitātes</w:t>
      </w:r>
      <w:r>
        <w:rPr>
          <w:noProof/>
        </w:rPr>
        <w:tab/>
      </w:r>
      <w:r>
        <w:rPr>
          <w:noProof/>
        </w:rPr>
        <w:fldChar w:fldCharType="begin"/>
      </w:r>
      <w:r>
        <w:rPr>
          <w:noProof/>
        </w:rPr>
        <w:instrText xml:space="preserve"> PAGEREF _Toc358978769 \h </w:instrText>
      </w:r>
      <w:r>
        <w:rPr>
          <w:noProof/>
        </w:rPr>
      </w:r>
      <w:r>
        <w:rPr>
          <w:noProof/>
        </w:rPr>
        <w:fldChar w:fldCharType="separate"/>
      </w:r>
      <w:r>
        <w:rPr>
          <w:noProof/>
        </w:rPr>
        <w:t>138</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8.4.1.1</w:t>
      </w:r>
      <w:r>
        <w:rPr>
          <w:rFonts w:asciiTheme="minorHAnsi" w:eastAsiaTheme="minorEastAsia" w:hAnsiTheme="minorHAnsi" w:cstheme="minorBidi"/>
          <w:noProof/>
          <w:sz w:val="22"/>
          <w:szCs w:val="22"/>
          <w:lang w:eastAsia="lv-LV"/>
        </w:rPr>
        <w:tab/>
      </w:r>
      <w:r>
        <w:rPr>
          <w:noProof/>
        </w:rPr>
        <w:t>1.3. prioritāte „Nodarbinātības veicināšana un veselība darbā”</w:t>
      </w:r>
      <w:r>
        <w:rPr>
          <w:noProof/>
        </w:rPr>
        <w:tab/>
      </w:r>
      <w:r>
        <w:rPr>
          <w:noProof/>
        </w:rPr>
        <w:fldChar w:fldCharType="begin"/>
      </w:r>
      <w:r>
        <w:rPr>
          <w:noProof/>
        </w:rPr>
        <w:instrText xml:space="preserve"> PAGEREF _Toc358978770 \h </w:instrText>
      </w:r>
      <w:r>
        <w:rPr>
          <w:noProof/>
        </w:rPr>
      </w:r>
      <w:r>
        <w:rPr>
          <w:noProof/>
        </w:rPr>
        <w:fldChar w:fldCharType="separate"/>
      </w:r>
      <w:r>
        <w:rPr>
          <w:noProof/>
        </w:rPr>
        <w:t>138</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8.4.1.2</w:t>
      </w:r>
      <w:r>
        <w:rPr>
          <w:rFonts w:asciiTheme="minorHAnsi" w:eastAsiaTheme="minorEastAsia" w:hAnsiTheme="minorHAnsi" w:cstheme="minorBidi"/>
          <w:noProof/>
          <w:sz w:val="22"/>
          <w:szCs w:val="22"/>
          <w:lang w:eastAsia="lv-LV"/>
        </w:rPr>
        <w:tab/>
      </w:r>
      <w:r>
        <w:rPr>
          <w:noProof/>
        </w:rPr>
        <w:t>2.1. prioritāte „Zinātne un inovācijas”</w:t>
      </w:r>
      <w:r>
        <w:rPr>
          <w:noProof/>
        </w:rPr>
        <w:tab/>
      </w:r>
      <w:r>
        <w:rPr>
          <w:noProof/>
        </w:rPr>
        <w:fldChar w:fldCharType="begin"/>
      </w:r>
      <w:r>
        <w:rPr>
          <w:noProof/>
        </w:rPr>
        <w:instrText xml:space="preserve"> PAGEREF _Toc358978771 \h </w:instrText>
      </w:r>
      <w:r>
        <w:rPr>
          <w:noProof/>
        </w:rPr>
      </w:r>
      <w:r>
        <w:rPr>
          <w:noProof/>
        </w:rPr>
        <w:fldChar w:fldCharType="separate"/>
      </w:r>
      <w:r>
        <w:rPr>
          <w:noProof/>
        </w:rPr>
        <w:t>142</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8.4.1.3</w:t>
      </w:r>
      <w:r>
        <w:rPr>
          <w:rFonts w:asciiTheme="minorHAnsi" w:eastAsiaTheme="minorEastAsia" w:hAnsiTheme="minorHAnsi" w:cstheme="minorBidi"/>
          <w:noProof/>
          <w:sz w:val="22"/>
          <w:szCs w:val="22"/>
          <w:lang w:eastAsia="lv-LV"/>
        </w:rPr>
        <w:tab/>
      </w:r>
      <w:r>
        <w:rPr>
          <w:noProof/>
        </w:rPr>
        <w:t>2.3. prioritāte „Uzņēmējdarbības veicināšana”</w:t>
      </w:r>
      <w:r>
        <w:rPr>
          <w:noProof/>
        </w:rPr>
        <w:tab/>
      </w:r>
      <w:r>
        <w:rPr>
          <w:noProof/>
        </w:rPr>
        <w:fldChar w:fldCharType="begin"/>
      </w:r>
      <w:r>
        <w:rPr>
          <w:noProof/>
        </w:rPr>
        <w:instrText xml:space="preserve"> PAGEREF _Toc358978772 \h </w:instrText>
      </w:r>
      <w:r>
        <w:rPr>
          <w:noProof/>
        </w:rPr>
      </w:r>
      <w:r>
        <w:rPr>
          <w:noProof/>
        </w:rPr>
        <w:fldChar w:fldCharType="separate"/>
      </w:r>
      <w:r>
        <w:rPr>
          <w:noProof/>
        </w:rPr>
        <w:t>162</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8.4.2</w:t>
      </w:r>
      <w:r>
        <w:rPr>
          <w:rFonts w:asciiTheme="minorHAnsi" w:eastAsiaTheme="minorEastAsia" w:hAnsiTheme="minorHAnsi" w:cstheme="minorBidi"/>
          <w:i w:val="0"/>
          <w:iCs w:val="0"/>
          <w:noProof/>
          <w:sz w:val="22"/>
          <w:szCs w:val="22"/>
          <w:lang w:eastAsia="lv-LV"/>
        </w:rPr>
        <w:tab/>
      </w:r>
      <w:r>
        <w:rPr>
          <w:noProof/>
        </w:rPr>
        <w:t>Finanšu atbalsta instrumenti</w:t>
      </w:r>
      <w:r>
        <w:rPr>
          <w:noProof/>
        </w:rPr>
        <w:tab/>
      </w:r>
      <w:r>
        <w:rPr>
          <w:noProof/>
        </w:rPr>
        <w:fldChar w:fldCharType="begin"/>
      </w:r>
      <w:r>
        <w:rPr>
          <w:noProof/>
        </w:rPr>
        <w:instrText xml:space="preserve"> PAGEREF _Toc358978773 \h </w:instrText>
      </w:r>
      <w:r>
        <w:rPr>
          <w:noProof/>
        </w:rPr>
      </w:r>
      <w:r>
        <w:rPr>
          <w:noProof/>
        </w:rPr>
        <w:fldChar w:fldCharType="separate"/>
      </w:r>
      <w:r>
        <w:rPr>
          <w:noProof/>
        </w:rPr>
        <w:t>168</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8.4.2.1</w:t>
      </w:r>
      <w:r>
        <w:rPr>
          <w:rFonts w:asciiTheme="minorHAnsi" w:eastAsiaTheme="minorEastAsia" w:hAnsiTheme="minorHAnsi" w:cstheme="minorBidi"/>
          <w:noProof/>
          <w:sz w:val="22"/>
          <w:szCs w:val="22"/>
          <w:lang w:eastAsia="lv-LV"/>
        </w:rPr>
        <w:tab/>
      </w:r>
      <w:r>
        <w:rPr>
          <w:noProof/>
        </w:rPr>
        <w:t>Riska kapitāla fondu investīcijas</w:t>
      </w:r>
      <w:r>
        <w:rPr>
          <w:noProof/>
        </w:rPr>
        <w:tab/>
      </w:r>
      <w:r>
        <w:rPr>
          <w:noProof/>
        </w:rPr>
        <w:fldChar w:fldCharType="begin"/>
      </w:r>
      <w:r>
        <w:rPr>
          <w:noProof/>
        </w:rPr>
        <w:instrText xml:space="preserve"> PAGEREF _Toc358978774 \h </w:instrText>
      </w:r>
      <w:r>
        <w:rPr>
          <w:noProof/>
        </w:rPr>
      </w:r>
      <w:r>
        <w:rPr>
          <w:noProof/>
        </w:rPr>
        <w:fldChar w:fldCharType="separate"/>
      </w:r>
      <w:r>
        <w:rPr>
          <w:noProof/>
        </w:rPr>
        <w:t>168</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8.4.2.2</w:t>
      </w:r>
      <w:r>
        <w:rPr>
          <w:rFonts w:asciiTheme="minorHAnsi" w:eastAsiaTheme="minorEastAsia" w:hAnsiTheme="minorHAnsi" w:cstheme="minorBidi"/>
          <w:noProof/>
          <w:sz w:val="22"/>
          <w:szCs w:val="22"/>
          <w:lang w:eastAsia="lv-LV"/>
        </w:rPr>
        <w:tab/>
      </w:r>
      <w:r>
        <w:rPr>
          <w:noProof/>
        </w:rPr>
        <w:t>Aizdevumi</w:t>
      </w:r>
      <w:r>
        <w:rPr>
          <w:noProof/>
        </w:rPr>
        <w:tab/>
      </w:r>
      <w:r>
        <w:rPr>
          <w:noProof/>
        </w:rPr>
        <w:fldChar w:fldCharType="begin"/>
      </w:r>
      <w:r>
        <w:rPr>
          <w:noProof/>
        </w:rPr>
        <w:instrText xml:space="preserve"> PAGEREF _Toc358978775 \h </w:instrText>
      </w:r>
      <w:r>
        <w:rPr>
          <w:noProof/>
        </w:rPr>
      </w:r>
      <w:r>
        <w:rPr>
          <w:noProof/>
        </w:rPr>
        <w:fldChar w:fldCharType="separate"/>
      </w:r>
      <w:r>
        <w:rPr>
          <w:noProof/>
        </w:rPr>
        <w:t>171</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8.4.2.3</w:t>
      </w:r>
      <w:r>
        <w:rPr>
          <w:rFonts w:asciiTheme="minorHAnsi" w:eastAsiaTheme="minorEastAsia" w:hAnsiTheme="minorHAnsi" w:cstheme="minorBidi"/>
          <w:noProof/>
          <w:sz w:val="22"/>
          <w:szCs w:val="22"/>
          <w:lang w:eastAsia="lv-LV"/>
        </w:rPr>
        <w:tab/>
      </w:r>
      <w:r>
        <w:rPr>
          <w:noProof/>
        </w:rPr>
        <w:t>Valsts subsīdijas</w:t>
      </w:r>
      <w:r>
        <w:rPr>
          <w:noProof/>
        </w:rPr>
        <w:tab/>
      </w:r>
      <w:r>
        <w:rPr>
          <w:noProof/>
        </w:rPr>
        <w:fldChar w:fldCharType="begin"/>
      </w:r>
      <w:r>
        <w:rPr>
          <w:noProof/>
        </w:rPr>
        <w:instrText xml:space="preserve"> PAGEREF _Toc358978776 \h </w:instrText>
      </w:r>
      <w:r>
        <w:rPr>
          <w:noProof/>
        </w:rPr>
      </w:r>
      <w:r>
        <w:rPr>
          <w:noProof/>
        </w:rPr>
        <w:fldChar w:fldCharType="separate"/>
      </w:r>
      <w:r>
        <w:rPr>
          <w:noProof/>
        </w:rPr>
        <w:t>176</w:t>
      </w:r>
      <w:r>
        <w:rPr>
          <w:noProof/>
        </w:rPr>
        <w:fldChar w:fldCharType="end"/>
      </w:r>
    </w:p>
    <w:p w:rsidR="00987517" w:rsidRDefault="00987517">
      <w:pPr>
        <w:pStyle w:val="TOC4"/>
        <w:tabs>
          <w:tab w:val="left" w:pos="1540"/>
          <w:tab w:val="right" w:leader="dot" w:pos="9395"/>
        </w:tabs>
        <w:rPr>
          <w:rFonts w:asciiTheme="minorHAnsi" w:eastAsiaTheme="minorEastAsia" w:hAnsiTheme="minorHAnsi" w:cstheme="minorBidi"/>
          <w:noProof/>
          <w:sz w:val="22"/>
          <w:szCs w:val="22"/>
          <w:lang w:eastAsia="lv-LV"/>
        </w:rPr>
      </w:pPr>
      <w:r>
        <w:rPr>
          <w:noProof/>
        </w:rPr>
        <w:t>8.4.2.4</w:t>
      </w:r>
      <w:r>
        <w:rPr>
          <w:rFonts w:asciiTheme="minorHAnsi" w:eastAsiaTheme="minorEastAsia" w:hAnsiTheme="minorHAnsi" w:cstheme="minorBidi"/>
          <w:noProof/>
          <w:sz w:val="22"/>
          <w:szCs w:val="22"/>
          <w:lang w:eastAsia="lv-LV"/>
        </w:rPr>
        <w:tab/>
      </w:r>
      <w:r>
        <w:rPr>
          <w:noProof/>
        </w:rPr>
        <w:t>Valsts aizdevumi</w:t>
      </w:r>
      <w:r>
        <w:rPr>
          <w:noProof/>
        </w:rPr>
        <w:tab/>
      </w:r>
      <w:r>
        <w:rPr>
          <w:noProof/>
        </w:rPr>
        <w:fldChar w:fldCharType="begin"/>
      </w:r>
      <w:r>
        <w:rPr>
          <w:noProof/>
        </w:rPr>
        <w:instrText xml:space="preserve"> PAGEREF _Toc358978777 \h </w:instrText>
      </w:r>
      <w:r>
        <w:rPr>
          <w:noProof/>
        </w:rPr>
      </w:r>
      <w:r>
        <w:rPr>
          <w:noProof/>
        </w:rPr>
        <w:fldChar w:fldCharType="separate"/>
      </w:r>
      <w:r>
        <w:rPr>
          <w:noProof/>
        </w:rPr>
        <w:t>176</w:t>
      </w:r>
      <w:r>
        <w:rPr>
          <w:noProof/>
        </w:rPr>
        <w:fldChar w:fldCharType="end"/>
      </w:r>
    </w:p>
    <w:p w:rsidR="00987517" w:rsidRDefault="00987517">
      <w:pPr>
        <w:pStyle w:val="TOC2"/>
        <w:tabs>
          <w:tab w:val="left" w:pos="880"/>
          <w:tab w:val="right" w:leader="dot" w:pos="9395"/>
        </w:tabs>
        <w:rPr>
          <w:rFonts w:asciiTheme="minorHAnsi" w:eastAsiaTheme="minorEastAsia" w:hAnsiTheme="minorHAnsi" w:cstheme="minorBidi"/>
          <w:smallCaps w:val="0"/>
          <w:noProof/>
          <w:sz w:val="22"/>
          <w:szCs w:val="22"/>
          <w:lang w:eastAsia="lv-LV"/>
        </w:rPr>
      </w:pPr>
      <w:r>
        <w:rPr>
          <w:noProof/>
        </w:rPr>
        <w:t>8.5</w:t>
      </w:r>
      <w:r>
        <w:rPr>
          <w:rFonts w:asciiTheme="minorHAnsi" w:eastAsiaTheme="minorEastAsia" w:hAnsiTheme="minorHAnsi" w:cstheme="minorBidi"/>
          <w:smallCaps w:val="0"/>
          <w:noProof/>
          <w:sz w:val="22"/>
          <w:szCs w:val="22"/>
          <w:lang w:eastAsia="lv-LV"/>
        </w:rPr>
        <w:tab/>
      </w:r>
      <w:r>
        <w:rPr>
          <w:noProof/>
        </w:rPr>
        <w:t>Izvērstā ārvalstu pieredzes analīze atbalsta instrumentu izmantošanā privātā sektora ieguldījumu pētniecības un attīstības sekmēšanai</w:t>
      </w:r>
      <w:r>
        <w:rPr>
          <w:noProof/>
        </w:rPr>
        <w:tab/>
      </w:r>
      <w:r>
        <w:rPr>
          <w:noProof/>
        </w:rPr>
        <w:fldChar w:fldCharType="begin"/>
      </w:r>
      <w:r>
        <w:rPr>
          <w:noProof/>
        </w:rPr>
        <w:instrText xml:space="preserve"> PAGEREF _Toc358978778 \h </w:instrText>
      </w:r>
      <w:r>
        <w:rPr>
          <w:noProof/>
        </w:rPr>
      </w:r>
      <w:r>
        <w:rPr>
          <w:noProof/>
        </w:rPr>
        <w:fldChar w:fldCharType="separate"/>
      </w:r>
      <w:r>
        <w:rPr>
          <w:noProof/>
        </w:rPr>
        <w:t>177</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8.5.1</w:t>
      </w:r>
      <w:r>
        <w:rPr>
          <w:rFonts w:asciiTheme="minorHAnsi" w:eastAsiaTheme="minorEastAsia" w:hAnsiTheme="minorHAnsi" w:cstheme="minorBidi"/>
          <w:i w:val="0"/>
          <w:iCs w:val="0"/>
          <w:noProof/>
          <w:sz w:val="22"/>
          <w:szCs w:val="22"/>
          <w:lang w:eastAsia="lv-LV"/>
        </w:rPr>
        <w:tab/>
      </w:r>
      <w:r>
        <w:rPr>
          <w:noProof/>
        </w:rPr>
        <w:t>Lietuva</w:t>
      </w:r>
      <w:r>
        <w:rPr>
          <w:noProof/>
        </w:rPr>
        <w:tab/>
      </w:r>
      <w:r>
        <w:rPr>
          <w:noProof/>
        </w:rPr>
        <w:fldChar w:fldCharType="begin"/>
      </w:r>
      <w:r>
        <w:rPr>
          <w:noProof/>
        </w:rPr>
        <w:instrText xml:space="preserve"> PAGEREF _Toc358978779 \h </w:instrText>
      </w:r>
      <w:r>
        <w:rPr>
          <w:noProof/>
        </w:rPr>
      </w:r>
      <w:r>
        <w:rPr>
          <w:noProof/>
        </w:rPr>
        <w:fldChar w:fldCharType="separate"/>
      </w:r>
      <w:r>
        <w:rPr>
          <w:noProof/>
        </w:rPr>
        <w:t>177</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8.5.2</w:t>
      </w:r>
      <w:r>
        <w:rPr>
          <w:rFonts w:asciiTheme="minorHAnsi" w:eastAsiaTheme="minorEastAsia" w:hAnsiTheme="minorHAnsi" w:cstheme="minorBidi"/>
          <w:i w:val="0"/>
          <w:iCs w:val="0"/>
          <w:noProof/>
          <w:sz w:val="22"/>
          <w:szCs w:val="22"/>
          <w:lang w:eastAsia="lv-LV"/>
        </w:rPr>
        <w:tab/>
      </w:r>
      <w:r>
        <w:rPr>
          <w:noProof/>
        </w:rPr>
        <w:t>Igaunija</w:t>
      </w:r>
      <w:r>
        <w:rPr>
          <w:noProof/>
        </w:rPr>
        <w:tab/>
      </w:r>
      <w:r>
        <w:rPr>
          <w:noProof/>
        </w:rPr>
        <w:fldChar w:fldCharType="begin"/>
      </w:r>
      <w:r>
        <w:rPr>
          <w:noProof/>
        </w:rPr>
        <w:instrText xml:space="preserve"> PAGEREF _Toc358978780 \h </w:instrText>
      </w:r>
      <w:r>
        <w:rPr>
          <w:noProof/>
        </w:rPr>
      </w:r>
      <w:r>
        <w:rPr>
          <w:noProof/>
        </w:rPr>
        <w:fldChar w:fldCharType="separate"/>
      </w:r>
      <w:r>
        <w:rPr>
          <w:noProof/>
        </w:rPr>
        <w:t>180</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8.5.3</w:t>
      </w:r>
      <w:r>
        <w:rPr>
          <w:rFonts w:asciiTheme="minorHAnsi" w:eastAsiaTheme="minorEastAsia" w:hAnsiTheme="minorHAnsi" w:cstheme="minorBidi"/>
          <w:i w:val="0"/>
          <w:iCs w:val="0"/>
          <w:noProof/>
          <w:sz w:val="22"/>
          <w:szCs w:val="22"/>
          <w:lang w:eastAsia="lv-LV"/>
        </w:rPr>
        <w:tab/>
      </w:r>
      <w:r>
        <w:rPr>
          <w:noProof/>
        </w:rPr>
        <w:t>Grieķija</w:t>
      </w:r>
      <w:r>
        <w:rPr>
          <w:noProof/>
        </w:rPr>
        <w:tab/>
      </w:r>
      <w:r>
        <w:rPr>
          <w:noProof/>
        </w:rPr>
        <w:fldChar w:fldCharType="begin"/>
      </w:r>
      <w:r>
        <w:rPr>
          <w:noProof/>
        </w:rPr>
        <w:instrText xml:space="preserve"> PAGEREF _Toc358978781 \h </w:instrText>
      </w:r>
      <w:r>
        <w:rPr>
          <w:noProof/>
        </w:rPr>
      </w:r>
      <w:r>
        <w:rPr>
          <w:noProof/>
        </w:rPr>
        <w:fldChar w:fldCharType="separate"/>
      </w:r>
      <w:r>
        <w:rPr>
          <w:noProof/>
        </w:rPr>
        <w:t>182</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8.5.4</w:t>
      </w:r>
      <w:r>
        <w:rPr>
          <w:rFonts w:asciiTheme="minorHAnsi" w:eastAsiaTheme="minorEastAsia" w:hAnsiTheme="minorHAnsi" w:cstheme="minorBidi"/>
          <w:i w:val="0"/>
          <w:iCs w:val="0"/>
          <w:noProof/>
          <w:sz w:val="22"/>
          <w:szCs w:val="22"/>
          <w:lang w:eastAsia="lv-LV"/>
        </w:rPr>
        <w:tab/>
      </w:r>
      <w:r>
        <w:rPr>
          <w:noProof/>
        </w:rPr>
        <w:t>Spānija</w:t>
      </w:r>
      <w:r>
        <w:rPr>
          <w:noProof/>
        </w:rPr>
        <w:tab/>
      </w:r>
      <w:r>
        <w:rPr>
          <w:noProof/>
        </w:rPr>
        <w:fldChar w:fldCharType="begin"/>
      </w:r>
      <w:r>
        <w:rPr>
          <w:noProof/>
        </w:rPr>
        <w:instrText xml:space="preserve"> PAGEREF _Toc358978782 \h </w:instrText>
      </w:r>
      <w:r>
        <w:rPr>
          <w:noProof/>
        </w:rPr>
      </w:r>
      <w:r>
        <w:rPr>
          <w:noProof/>
        </w:rPr>
        <w:fldChar w:fldCharType="separate"/>
      </w:r>
      <w:r>
        <w:rPr>
          <w:noProof/>
        </w:rPr>
        <w:t>184</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8.5.5</w:t>
      </w:r>
      <w:r>
        <w:rPr>
          <w:rFonts w:asciiTheme="minorHAnsi" w:eastAsiaTheme="minorEastAsia" w:hAnsiTheme="minorHAnsi" w:cstheme="minorBidi"/>
          <w:i w:val="0"/>
          <w:iCs w:val="0"/>
          <w:noProof/>
          <w:sz w:val="22"/>
          <w:szCs w:val="22"/>
          <w:lang w:eastAsia="lv-LV"/>
        </w:rPr>
        <w:tab/>
      </w:r>
      <w:r>
        <w:rPr>
          <w:noProof/>
        </w:rPr>
        <w:t>Itālija</w:t>
      </w:r>
      <w:r>
        <w:rPr>
          <w:noProof/>
        </w:rPr>
        <w:tab/>
      </w:r>
      <w:r>
        <w:rPr>
          <w:noProof/>
        </w:rPr>
        <w:fldChar w:fldCharType="begin"/>
      </w:r>
      <w:r>
        <w:rPr>
          <w:noProof/>
        </w:rPr>
        <w:instrText xml:space="preserve"> PAGEREF _Toc358978783 \h </w:instrText>
      </w:r>
      <w:r>
        <w:rPr>
          <w:noProof/>
        </w:rPr>
      </w:r>
      <w:r>
        <w:rPr>
          <w:noProof/>
        </w:rPr>
        <w:fldChar w:fldCharType="separate"/>
      </w:r>
      <w:r>
        <w:rPr>
          <w:noProof/>
        </w:rPr>
        <w:t>186</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8.5.6</w:t>
      </w:r>
      <w:r>
        <w:rPr>
          <w:rFonts w:asciiTheme="minorHAnsi" w:eastAsiaTheme="minorEastAsia" w:hAnsiTheme="minorHAnsi" w:cstheme="minorBidi"/>
          <w:i w:val="0"/>
          <w:iCs w:val="0"/>
          <w:noProof/>
          <w:sz w:val="22"/>
          <w:szCs w:val="22"/>
          <w:lang w:eastAsia="lv-LV"/>
        </w:rPr>
        <w:tab/>
      </w:r>
      <w:r>
        <w:rPr>
          <w:noProof/>
        </w:rPr>
        <w:t>Zviedrija</w:t>
      </w:r>
      <w:r>
        <w:rPr>
          <w:noProof/>
        </w:rPr>
        <w:tab/>
      </w:r>
      <w:r>
        <w:rPr>
          <w:noProof/>
        </w:rPr>
        <w:fldChar w:fldCharType="begin"/>
      </w:r>
      <w:r>
        <w:rPr>
          <w:noProof/>
        </w:rPr>
        <w:instrText xml:space="preserve"> PAGEREF _Toc358978784 \h </w:instrText>
      </w:r>
      <w:r>
        <w:rPr>
          <w:noProof/>
        </w:rPr>
      </w:r>
      <w:r>
        <w:rPr>
          <w:noProof/>
        </w:rPr>
        <w:fldChar w:fldCharType="separate"/>
      </w:r>
      <w:r>
        <w:rPr>
          <w:noProof/>
        </w:rPr>
        <w:t>188</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8.5.7</w:t>
      </w:r>
      <w:r>
        <w:rPr>
          <w:rFonts w:asciiTheme="minorHAnsi" w:eastAsiaTheme="minorEastAsia" w:hAnsiTheme="minorHAnsi" w:cstheme="minorBidi"/>
          <w:i w:val="0"/>
          <w:iCs w:val="0"/>
          <w:noProof/>
          <w:sz w:val="22"/>
          <w:szCs w:val="22"/>
          <w:lang w:eastAsia="lv-LV"/>
        </w:rPr>
        <w:tab/>
      </w:r>
      <w:r>
        <w:rPr>
          <w:noProof/>
        </w:rPr>
        <w:t>Vācija</w:t>
      </w:r>
      <w:r>
        <w:rPr>
          <w:noProof/>
        </w:rPr>
        <w:tab/>
      </w:r>
      <w:r>
        <w:rPr>
          <w:noProof/>
        </w:rPr>
        <w:fldChar w:fldCharType="begin"/>
      </w:r>
      <w:r>
        <w:rPr>
          <w:noProof/>
        </w:rPr>
        <w:instrText xml:space="preserve"> PAGEREF _Toc358978785 \h </w:instrText>
      </w:r>
      <w:r>
        <w:rPr>
          <w:noProof/>
        </w:rPr>
      </w:r>
      <w:r>
        <w:rPr>
          <w:noProof/>
        </w:rPr>
        <w:fldChar w:fldCharType="separate"/>
      </w:r>
      <w:r>
        <w:rPr>
          <w:noProof/>
        </w:rPr>
        <w:t>190</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8.5.8</w:t>
      </w:r>
      <w:r>
        <w:rPr>
          <w:rFonts w:asciiTheme="minorHAnsi" w:eastAsiaTheme="minorEastAsia" w:hAnsiTheme="minorHAnsi" w:cstheme="minorBidi"/>
          <w:i w:val="0"/>
          <w:iCs w:val="0"/>
          <w:noProof/>
          <w:sz w:val="22"/>
          <w:szCs w:val="22"/>
          <w:lang w:eastAsia="lv-LV"/>
        </w:rPr>
        <w:tab/>
      </w:r>
      <w:r>
        <w:rPr>
          <w:noProof/>
        </w:rPr>
        <w:t>Lielbritānija</w:t>
      </w:r>
      <w:r>
        <w:rPr>
          <w:noProof/>
        </w:rPr>
        <w:tab/>
      </w:r>
      <w:r>
        <w:rPr>
          <w:noProof/>
        </w:rPr>
        <w:fldChar w:fldCharType="begin"/>
      </w:r>
      <w:r>
        <w:rPr>
          <w:noProof/>
        </w:rPr>
        <w:instrText xml:space="preserve"> PAGEREF _Toc358978786 \h </w:instrText>
      </w:r>
      <w:r>
        <w:rPr>
          <w:noProof/>
        </w:rPr>
      </w:r>
      <w:r>
        <w:rPr>
          <w:noProof/>
        </w:rPr>
        <w:fldChar w:fldCharType="separate"/>
      </w:r>
      <w:r>
        <w:rPr>
          <w:noProof/>
        </w:rPr>
        <w:t>193</w:t>
      </w:r>
      <w:r>
        <w:rPr>
          <w:noProof/>
        </w:rPr>
        <w:fldChar w:fldCharType="end"/>
      </w:r>
    </w:p>
    <w:p w:rsidR="00987517" w:rsidRDefault="00987517">
      <w:pPr>
        <w:pStyle w:val="TOC3"/>
        <w:tabs>
          <w:tab w:val="left" w:pos="1100"/>
          <w:tab w:val="right" w:leader="dot" w:pos="9395"/>
        </w:tabs>
        <w:rPr>
          <w:rFonts w:asciiTheme="minorHAnsi" w:eastAsiaTheme="minorEastAsia" w:hAnsiTheme="minorHAnsi" w:cstheme="minorBidi"/>
          <w:i w:val="0"/>
          <w:iCs w:val="0"/>
          <w:noProof/>
          <w:sz w:val="22"/>
          <w:szCs w:val="22"/>
          <w:lang w:eastAsia="lv-LV"/>
        </w:rPr>
      </w:pPr>
      <w:r>
        <w:rPr>
          <w:noProof/>
        </w:rPr>
        <w:t>8.5.9</w:t>
      </w:r>
      <w:r>
        <w:rPr>
          <w:rFonts w:asciiTheme="minorHAnsi" w:eastAsiaTheme="minorEastAsia" w:hAnsiTheme="minorHAnsi" w:cstheme="minorBidi"/>
          <w:i w:val="0"/>
          <w:iCs w:val="0"/>
          <w:noProof/>
          <w:sz w:val="22"/>
          <w:szCs w:val="22"/>
          <w:lang w:eastAsia="lv-LV"/>
        </w:rPr>
        <w:tab/>
      </w:r>
      <w:r>
        <w:rPr>
          <w:noProof/>
        </w:rPr>
        <w:t>Nīderlande</w:t>
      </w:r>
      <w:r>
        <w:rPr>
          <w:noProof/>
        </w:rPr>
        <w:tab/>
      </w:r>
      <w:r>
        <w:rPr>
          <w:noProof/>
        </w:rPr>
        <w:fldChar w:fldCharType="begin"/>
      </w:r>
      <w:r>
        <w:rPr>
          <w:noProof/>
        </w:rPr>
        <w:instrText xml:space="preserve"> PAGEREF _Toc358978787 \h </w:instrText>
      </w:r>
      <w:r>
        <w:rPr>
          <w:noProof/>
        </w:rPr>
      </w:r>
      <w:r>
        <w:rPr>
          <w:noProof/>
        </w:rPr>
        <w:fldChar w:fldCharType="separate"/>
      </w:r>
      <w:r>
        <w:rPr>
          <w:noProof/>
        </w:rPr>
        <w:t>195</w:t>
      </w:r>
      <w:r>
        <w:rPr>
          <w:noProof/>
        </w:rPr>
        <w:fldChar w:fldCharType="end"/>
      </w:r>
    </w:p>
    <w:p w:rsidR="00987517" w:rsidRDefault="00987517">
      <w:pPr>
        <w:pStyle w:val="TOC3"/>
        <w:tabs>
          <w:tab w:val="left" w:pos="1320"/>
          <w:tab w:val="right" w:leader="dot" w:pos="9395"/>
        </w:tabs>
        <w:rPr>
          <w:rFonts w:asciiTheme="minorHAnsi" w:eastAsiaTheme="minorEastAsia" w:hAnsiTheme="minorHAnsi" w:cstheme="minorBidi"/>
          <w:i w:val="0"/>
          <w:iCs w:val="0"/>
          <w:noProof/>
          <w:sz w:val="22"/>
          <w:szCs w:val="22"/>
          <w:lang w:eastAsia="lv-LV"/>
        </w:rPr>
      </w:pPr>
      <w:r>
        <w:rPr>
          <w:noProof/>
        </w:rPr>
        <w:t>8.5.10</w:t>
      </w:r>
      <w:r>
        <w:rPr>
          <w:rFonts w:asciiTheme="minorHAnsi" w:eastAsiaTheme="minorEastAsia" w:hAnsiTheme="minorHAnsi" w:cstheme="minorBidi"/>
          <w:i w:val="0"/>
          <w:iCs w:val="0"/>
          <w:noProof/>
          <w:sz w:val="22"/>
          <w:szCs w:val="22"/>
          <w:lang w:eastAsia="lv-LV"/>
        </w:rPr>
        <w:tab/>
      </w:r>
      <w:r>
        <w:rPr>
          <w:noProof/>
        </w:rPr>
        <w:t>Francija</w:t>
      </w:r>
      <w:r>
        <w:rPr>
          <w:noProof/>
        </w:rPr>
        <w:tab/>
      </w:r>
      <w:r>
        <w:rPr>
          <w:noProof/>
        </w:rPr>
        <w:fldChar w:fldCharType="begin"/>
      </w:r>
      <w:r>
        <w:rPr>
          <w:noProof/>
        </w:rPr>
        <w:instrText xml:space="preserve"> PAGEREF _Toc358978788 \h </w:instrText>
      </w:r>
      <w:r>
        <w:rPr>
          <w:noProof/>
        </w:rPr>
      </w:r>
      <w:r>
        <w:rPr>
          <w:noProof/>
        </w:rPr>
        <w:fldChar w:fldCharType="separate"/>
      </w:r>
      <w:r>
        <w:rPr>
          <w:noProof/>
        </w:rPr>
        <w:t>196</w:t>
      </w:r>
      <w:r>
        <w:rPr>
          <w:noProof/>
        </w:rPr>
        <w:fldChar w:fldCharType="end"/>
      </w:r>
    </w:p>
    <w:p w:rsidR="005766E8" w:rsidRPr="00DB426E" w:rsidRDefault="00893B8C" w:rsidP="005766E8">
      <w:pPr>
        <w:pStyle w:val="TOC2"/>
        <w:sectPr w:rsidR="005766E8" w:rsidRPr="00DB426E" w:rsidSect="007702F3">
          <w:headerReference w:type="default" r:id="rId10"/>
          <w:footerReference w:type="default" r:id="rId11"/>
          <w:pgSz w:w="12240" w:h="15840"/>
          <w:pgMar w:top="1245" w:right="1134" w:bottom="1134" w:left="1701" w:header="0" w:footer="0" w:gutter="0"/>
          <w:cols w:space="720"/>
          <w:titlePg/>
          <w:docGrid w:linePitch="360"/>
        </w:sectPr>
      </w:pPr>
      <w:r w:rsidRPr="00DB426E">
        <w:fldChar w:fldCharType="end"/>
      </w:r>
    </w:p>
    <w:p w:rsidR="00244A0D" w:rsidRPr="00DB426E" w:rsidRDefault="005766E8" w:rsidP="005766E8">
      <w:pPr>
        <w:pStyle w:val="Heading1"/>
        <w:spacing w:line="360" w:lineRule="auto"/>
      </w:pPr>
      <w:bookmarkStart w:id="0" w:name="_Toc358978678"/>
      <w:r w:rsidRPr="00DB426E">
        <w:t>Ievads</w:t>
      </w:r>
      <w:bookmarkEnd w:id="0"/>
    </w:p>
    <w:p w:rsidR="005766E8" w:rsidRDefault="00BB2220" w:rsidP="005766E8">
      <w:pPr>
        <w:rPr>
          <w:lang w:eastAsia="ar-SA"/>
        </w:rPr>
      </w:pPr>
      <w:r>
        <w:rPr>
          <w:lang w:eastAsia="ar-SA"/>
        </w:rPr>
        <w:t>Šī p</w:t>
      </w:r>
      <w:r w:rsidR="006D3AB5" w:rsidRPr="00DB426E">
        <w:rPr>
          <w:lang w:eastAsia="ar-SA"/>
        </w:rPr>
        <w:t xml:space="preserve">ētījuma mērķis ir analizēt Latvijas uzņēmumu biznesa praksi pētniecības un inovāciju jomā, identificēt galvenos trūkumus un izstrādāt priekšlikumus privātā sektora ieguldījumu </w:t>
      </w:r>
      <w:r w:rsidR="004D57E8" w:rsidRPr="00DB426E">
        <w:rPr>
          <w:lang w:eastAsia="ar-SA"/>
        </w:rPr>
        <w:t xml:space="preserve">pētījumu un attīstības </w:t>
      </w:r>
      <w:r w:rsidR="004D57E8">
        <w:rPr>
          <w:lang w:eastAsia="ar-SA"/>
        </w:rPr>
        <w:t>(</w:t>
      </w:r>
      <w:r w:rsidR="006D3AB5" w:rsidRPr="00DB426E">
        <w:rPr>
          <w:lang w:eastAsia="ar-SA"/>
        </w:rPr>
        <w:t>R&amp;D) sekmēšanai, jo īpaši izvērtējot nodokļu atvieglojumu ietekmi uz investīcijām R&amp;D.</w:t>
      </w:r>
    </w:p>
    <w:p w:rsidR="00250B7A" w:rsidRDefault="00BB2220" w:rsidP="005766E8">
      <w:pPr>
        <w:rPr>
          <w:lang w:eastAsia="ar-SA"/>
        </w:rPr>
      </w:pPr>
      <w:r>
        <w:rPr>
          <w:lang w:eastAsia="ar-SA"/>
        </w:rPr>
        <w:t xml:space="preserve">Ziņojumā ietverts vispārējs esošās situācijas novērtējums, kas raksturo tendences </w:t>
      </w:r>
      <w:r w:rsidR="004D57E8">
        <w:rPr>
          <w:lang w:eastAsia="ar-SA"/>
        </w:rPr>
        <w:t xml:space="preserve">pētniecības un attīstības </w:t>
      </w:r>
      <w:r>
        <w:rPr>
          <w:lang w:eastAsia="ar-SA"/>
        </w:rPr>
        <w:t>jomā Latvijā, salīdzinot ar ES rādītājiem, raksturotas uzņēmumu biznesa prakses ieguldījumu veikšanā un attīstībām identificējot būtiskākos faktorus un šķēršļus, kas ietekmē privātā sektora ieguldījumus pētniecībā un attīstībā, raksturoti esošie valsts atbalsta instrumenti, kuru mērķis ir tieši vai netieši sekmēt ieguldījumus pētniecībā, kā arī novērtēta to ietekme un atbilstība intervences jomai</w:t>
      </w:r>
      <w:r w:rsidR="004D57E8">
        <w:rPr>
          <w:lang w:eastAsia="ar-SA"/>
        </w:rPr>
        <w:t xml:space="preserve">, sniegti priekšlikumi par nepieciešamajiem pasākumiem esošo instrumentu pilnveidošanai un jaunu ieviešanai, sniegti priekšlikumi par nodokļu atvieglojumiem privātā sektora investīciju pētniecības un attīstības sekmēšanai. Pētījumā ir analizēta arī ārvalstu pieredze atbalsta instrumentu izmantošanā privātā sektora ieguldījumu pētniecības un attīstības sekmēšanai. </w:t>
      </w:r>
    </w:p>
    <w:p w:rsidR="00250B7A" w:rsidRDefault="004D57E8" w:rsidP="005766E8">
      <w:pPr>
        <w:rPr>
          <w:lang w:eastAsia="ar-SA"/>
        </w:rPr>
      </w:pPr>
      <w:r>
        <w:rPr>
          <w:lang w:eastAsia="ar-SA"/>
        </w:rPr>
        <w:t>Pētījum</w:t>
      </w:r>
      <w:r w:rsidR="00774603">
        <w:rPr>
          <w:lang w:eastAsia="ar-SA"/>
        </w:rPr>
        <w:t xml:space="preserve">a ietvaros </w:t>
      </w:r>
      <w:r w:rsidR="00BB2220">
        <w:rPr>
          <w:lang w:eastAsia="ar-SA"/>
        </w:rPr>
        <w:t>t</w:t>
      </w:r>
      <w:r w:rsidR="00250B7A">
        <w:rPr>
          <w:lang w:eastAsia="ar-SA"/>
        </w:rPr>
        <w:t>ika veiktas aptaujas par uzņēmumu biznesa praksi pētniecības un inovācij</w:t>
      </w:r>
      <w:r w:rsidR="00774603">
        <w:rPr>
          <w:lang w:eastAsia="ar-SA"/>
        </w:rPr>
        <w:t>u</w:t>
      </w:r>
      <w:r w:rsidR="00250B7A">
        <w:rPr>
          <w:lang w:eastAsia="ar-SA"/>
        </w:rPr>
        <w:t xml:space="preserve"> jomā</w:t>
      </w:r>
      <w:r w:rsidR="00097DBA">
        <w:rPr>
          <w:lang w:eastAsia="ar-SA"/>
        </w:rPr>
        <w:t>, kuru rezultāti ir apkopi atsevišķā sējumā.</w:t>
      </w:r>
      <w:r w:rsidR="00250B7A">
        <w:rPr>
          <w:lang w:eastAsia="ar-SA"/>
        </w:rPr>
        <w:t xml:space="preserve"> Šajā sējumā ir sniegts minēto aptauju kopsavilkums (2.nodaļa). </w:t>
      </w:r>
    </w:p>
    <w:p w:rsidR="00250B7A" w:rsidRPr="00DB426E" w:rsidRDefault="00250B7A" w:rsidP="005766E8">
      <w:pPr>
        <w:rPr>
          <w:lang w:eastAsia="ar-SA"/>
        </w:rPr>
      </w:pPr>
      <w:r>
        <w:rPr>
          <w:lang w:eastAsia="ar-SA"/>
        </w:rPr>
        <w:t>Pētījumu veica SIA „Baltijas Konsultācijas” un SIA „</w:t>
      </w:r>
      <w:proofErr w:type="spellStart"/>
      <w:r>
        <w:rPr>
          <w:lang w:eastAsia="ar-SA"/>
        </w:rPr>
        <w:t>Konsorts</w:t>
      </w:r>
      <w:proofErr w:type="spellEnd"/>
      <w:r>
        <w:rPr>
          <w:lang w:eastAsia="ar-SA"/>
        </w:rPr>
        <w:t xml:space="preserve">” atbilstoši 27.12.2012. Līgumam Nr. 112 Strukturālo reformu ietekmes novērtējumu veikšana 4.daļa „Pētījums par privātā sektora investīcijām pētniecībā un attīstībā un priekšlikumu izstrāde atbalsta pasākumiem investīciju sekmēšanai” (iepirkuma identifikācijas numurs </w:t>
      </w:r>
      <w:r w:rsidRPr="00250B7A">
        <w:rPr>
          <w:lang w:eastAsia="ar-SA"/>
        </w:rPr>
        <w:t>MK VK 2012/4 ESF</w:t>
      </w:r>
      <w:r>
        <w:rPr>
          <w:lang w:eastAsia="ar-SA"/>
        </w:rPr>
        <w:t>)</w:t>
      </w:r>
      <w:r w:rsidR="00987517">
        <w:rPr>
          <w:lang w:eastAsia="ar-SA"/>
        </w:rPr>
        <w:t>, kas noslēgts starp minētajām kompānijām un Valsts kanceleju</w:t>
      </w:r>
      <w:r>
        <w:rPr>
          <w:lang w:eastAsia="ar-SA"/>
        </w:rPr>
        <w:t>.</w:t>
      </w:r>
    </w:p>
    <w:p w:rsidR="006D3AB5" w:rsidRPr="00DB426E" w:rsidRDefault="006D3AB5" w:rsidP="00475128">
      <w:pPr>
        <w:pStyle w:val="Heading1"/>
        <w:pageBreakBefore/>
        <w:widowControl/>
        <w:numPr>
          <w:ilvl w:val="0"/>
          <w:numId w:val="4"/>
        </w:numPr>
        <w:tabs>
          <w:tab w:val="clear" w:pos="284"/>
        </w:tabs>
        <w:suppressAutoHyphens w:val="0"/>
        <w:snapToGrid/>
        <w:spacing w:before="240" w:after="60"/>
        <w:ind w:left="431" w:hanging="431"/>
        <w:jc w:val="both"/>
      </w:pPr>
      <w:bookmarkStart w:id="1" w:name="_Toc355007906"/>
      <w:bookmarkStart w:id="2" w:name="_Toc355008069"/>
      <w:bookmarkStart w:id="3" w:name="_Toc356472816"/>
      <w:bookmarkStart w:id="4" w:name="_Toc358978679"/>
      <w:r w:rsidRPr="00DB426E">
        <w:t>Zinātniskie pētījumi, inovācija un ekonomiskā izaugsme</w:t>
      </w:r>
      <w:bookmarkEnd w:id="1"/>
      <w:bookmarkEnd w:id="2"/>
      <w:bookmarkEnd w:id="3"/>
      <w:bookmarkEnd w:id="4"/>
    </w:p>
    <w:p w:rsidR="006D3AB5" w:rsidRPr="00DB426E" w:rsidRDefault="006D3AB5" w:rsidP="006D3AB5">
      <w:r w:rsidRPr="00DB426E">
        <w:t>Eiropas Savienības izaugsmes stratēģijā līdz 2020.gadam („EIROPA 2020”) zinātniskie pētījumi, jaunās tehnoloģijas, inovācija tiek uzskatīti par galveno ekonomikas izaugsmes virzītājspēku.</w:t>
      </w:r>
    </w:p>
    <w:p w:rsidR="006D3AB5" w:rsidRPr="00DB426E" w:rsidRDefault="006D3AB5" w:rsidP="006D3AB5">
      <w:pPr>
        <w:rPr>
          <w:lang w:eastAsia="lv-LV"/>
        </w:rPr>
      </w:pPr>
      <w:r w:rsidRPr="00DB426E">
        <w:rPr>
          <w:lang w:eastAsia="lv-LV"/>
        </w:rPr>
        <w:t>Ekonomikas nozaru un jomu attīstības intensitāti lielā mērā nosaka to investīciju ieguldījumu apjoms un struktūra, kas tiek veikti, lai izveidotu jaunus produktus, ieviestu jaunas tehnoloģijas, izmantotu mūsdienīgas metodes produkcijas ražošanai un noietam, sniegtu kvalitatīvus pakalpojumus.</w:t>
      </w:r>
    </w:p>
    <w:p w:rsidR="006D3AB5" w:rsidRPr="00DB426E" w:rsidRDefault="006D3AB5" w:rsidP="006D3AB5">
      <w:pPr>
        <w:rPr>
          <w:rFonts w:eastAsia="Times New Roman"/>
          <w:color w:val="000000"/>
          <w:lang w:eastAsia="lv-LV"/>
        </w:rPr>
      </w:pPr>
      <w:r w:rsidRPr="00DB426E">
        <w:rPr>
          <w:rFonts w:eastAsia="Times New Roman"/>
          <w:color w:val="000000"/>
          <w:lang w:eastAsia="lv-LV"/>
        </w:rPr>
        <w:t>Šajā nodaļā:</w:t>
      </w:r>
    </w:p>
    <w:p w:rsidR="006D3AB5" w:rsidRPr="00DB426E" w:rsidRDefault="006D3AB5" w:rsidP="00475128">
      <w:pPr>
        <w:numPr>
          <w:ilvl w:val="0"/>
          <w:numId w:val="3"/>
        </w:numPr>
        <w:spacing w:before="120" w:after="0" w:line="240" w:lineRule="auto"/>
        <w:rPr>
          <w:rFonts w:eastAsia="Times New Roman"/>
          <w:color w:val="000000"/>
          <w:lang w:eastAsia="lv-LV"/>
        </w:rPr>
      </w:pPr>
      <w:r w:rsidRPr="00DB426E">
        <w:rPr>
          <w:rFonts w:eastAsia="Times New Roman"/>
          <w:color w:val="000000"/>
          <w:lang w:eastAsia="lv-LV"/>
        </w:rPr>
        <w:t>tiek izskatīta Eiropas Savienības dalībvalstu dalība globālos zinātniskos pētījumos;</w:t>
      </w:r>
    </w:p>
    <w:p w:rsidR="006D3AB5" w:rsidRPr="00DB426E" w:rsidRDefault="006D3AB5" w:rsidP="00475128">
      <w:pPr>
        <w:numPr>
          <w:ilvl w:val="0"/>
          <w:numId w:val="3"/>
        </w:numPr>
        <w:spacing w:before="120" w:after="0" w:line="240" w:lineRule="auto"/>
        <w:ind w:left="714" w:hanging="357"/>
        <w:rPr>
          <w:rFonts w:eastAsia="Times New Roman"/>
          <w:color w:val="000000"/>
          <w:lang w:eastAsia="lv-LV"/>
        </w:rPr>
      </w:pPr>
      <w:r w:rsidRPr="00DB426E">
        <w:rPr>
          <w:rFonts w:eastAsia="Times New Roman"/>
          <w:color w:val="000000"/>
          <w:lang w:eastAsia="lv-LV"/>
        </w:rPr>
        <w:t xml:space="preserve">tiek analizēta zinātniski pētniecisko darbu, kas tiek izstrādāti Eiropas valstīs ar dažādu inovācijas līmeni, izmaksu dinamika un struktūra; </w:t>
      </w:r>
    </w:p>
    <w:p w:rsidR="006D3AB5" w:rsidRPr="00DB426E" w:rsidRDefault="006D3AB5" w:rsidP="00475128">
      <w:pPr>
        <w:numPr>
          <w:ilvl w:val="0"/>
          <w:numId w:val="1"/>
        </w:numPr>
        <w:spacing w:before="120" w:after="0" w:line="240" w:lineRule="auto"/>
        <w:ind w:left="714" w:hanging="357"/>
        <w:rPr>
          <w:rFonts w:ascii="Verdana" w:hAnsi="Verdana"/>
          <w:lang w:eastAsia="lv-LV"/>
        </w:rPr>
      </w:pPr>
      <w:r w:rsidRPr="00DB426E">
        <w:rPr>
          <w:rFonts w:eastAsia="Times New Roman"/>
          <w:color w:val="000000"/>
          <w:lang w:eastAsia="lv-LV"/>
        </w:rPr>
        <w:t>tiek atrastas likumsakarības un identificētas savstarpējās sakarības starp zinātniskajiem pētījumiem, inovāciju un ekonomikas izaugsmi</w:t>
      </w:r>
      <w:r w:rsidRPr="00DB426E">
        <w:rPr>
          <w:lang w:eastAsia="lv-LV"/>
        </w:rPr>
        <w:t xml:space="preserve">; </w:t>
      </w:r>
    </w:p>
    <w:p w:rsidR="006D3AB5" w:rsidRPr="00DB426E" w:rsidRDefault="006D3AB5" w:rsidP="00475128">
      <w:pPr>
        <w:numPr>
          <w:ilvl w:val="0"/>
          <w:numId w:val="1"/>
        </w:numPr>
        <w:spacing w:before="120" w:after="0" w:line="240" w:lineRule="auto"/>
        <w:ind w:left="714" w:hanging="357"/>
        <w:rPr>
          <w:lang w:eastAsia="lv-LV"/>
        </w:rPr>
      </w:pPr>
      <w:r w:rsidRPr="00DB426E">
        <w:rPr>
          <w:rFonts w:eastAsia="Times New Roman"/>
          <w:color w:val="000000"/>
          <w:lang w:eastAsia="lv-LV"/>
        </w:rPr>
        <w:t>tiek analizēta zinātnisko pētījumu un inovācijas procesu finansēšanas sistēma Latvijā</w:t>
      </w:r>
      <w:r w:rsidRPr="00DB426E">
        <w:rPr>
          <w:lang w:eastAsia="lv-LV"/>
        </w:rPr>
        <w:t>.</w:t>
      </w:r>
    </w:p>
    <w:p w:rsidR="006D3AB5" w:rsidRPr="00DB426E" w:rsidRDefault="006D3AB5" w:rsidP="00475128">
      <w:pPr>
        <w:pStyle w:val="Heading2"/>
        <w:numPr>
          <w:ilvl w:val="1"/>
          <w:numId w:val="4"/>
        </w:numPr>
        <w:suppressAutoHyphens w:val="0"/>
        <w:spacing w:before="240" w:after="60"/>
        <w:jc w:val="both"/>
        <w:rPr>
          <w:lang w:eastAsia="lv-LV"/>
        </w:rPr>
      </w:pPr>
      <w:bookmarkStart w:id="5" w:name="_Toc355007907"/>
      <w:bookmarkStart w:id="6" w:name="_Toc355008070"/>
      <w:bookmarkStart w:id="7" w:name="_Toc356472817"/>
      <w:bookmarkStart w:id="8" w:name="_Toc358978680"/>
      <w:r w:rsidRPr="00DB426E">
        <w:rPr>
          <w:lang w:eastAsia="lv-LV"/>
        </w:rPr>
        <w:t>Eiropas Savienības pozīcijas un konkurētspēja pasaules zinātniskajos sasniegumos un inovācijā</w:t>
      </w:r>
      <w:bookmarkEnd w:id="5"/>
      <w:bookmarkEnd w:id="6"/>
      <w:bookmarkEnd w:id="7"/>
      <w:bookmarkEnd w:id="8"/>
    </w:p>
    <w:p w:rsidR="006D3AB5" w:rsidRPr="00DB426E" w:rsidRDefault="006D3AB5" w:rsidP="006D3AB5">
      <w:pPr>
        <w:rPr>
          <w:lang w:eastAsia="lv-LV"/>
        </w:rPr>
      </w:pPr>
      <w:r w:rsidRPr="00DB426E">
        <w:rPr>
          <w:lang w:eastAsia="lv-LV"/>
        </w:rPr>
        <w:t xml:space="preserve">Eiropas Savienības pozīcijas starp vadošajām </w:t>
      </w:r>
      <w:proofErr w:type="spellStart"/>
      <w:r w:rsidRPr="00DB426E">
        <w:rPr>
          <w:lang w:eastAsia="lv-LV"/>
        </w:rPr>
        <w:t>ekonomikām</w:t>
      </w:r>
      <w:proofErr w:type="spellEnd"/>
      <w:r w:rsidRPr="00DB426E">
        <w:rPr>
          <w:lang w:eastAsia="lv-LV"/>
        </w:rPr>
        <w:t xml:space="preserve"> un ekonomiskajām savienībām zinātnisko pētījumu un inovācijas jomā tika analizētas speciālā pētījumā „Inovācijas savienības konkurētspējas ziņojums par 2011. gadu” (“</w:t>
      </w:r>
      <w:proofErr w:type="spellStart"/>
      <w:r w:rsidRPr="00DB426E">
        <w:rPr>
          <w:lang w:eastAsia="lv-LV"/>
        </w:rPr>
        <w:t>Innovation</w:t>
      </w:r>
      <w:proofErr w:type="spellEnd"/>
      <w:r w:rsidRPr="00DB426E">
        <w:rPr>
          <w:lang w:eastAsia="lv-LV"/>
        </w:rPr>
        <w:t xml:space="preserve"> </w:t>
      </w:r>
      <w:proofErr w:type="spellStart"/>
      <w:r w:rsidRPr="00DB426E">
        <w:rPr>
          <w:lang w:eastAsia="lv-LV"/>
        </w:rPr>
        <w:t>Union</w:t>
      </w:r>
      <w:proofErr w:type="spellEnd"/>
      <w:r w:rsidRPr="00DB426E">
        <w:rPr>
          <w:lang w:eastAsia="lv-LV"/>
        </w:rPr>
        <w:t xml:space="preserve"> </w:t>
      </w:r>
      <w:proofErr w:type="spellStart"/>
      <w:r w:rsidRPr="00DB426E">
        <w:rPr>
          <w:lang w:eastAsia="lv-LV"/>
        </w:rPr>
        <w:t>Competitiveness</w:t>
      </w:r>
      <w:proofErr w:type="spellEnd"/>
      <w:r w:rsidRPr="00DB426E">
        <w:rPr>
          <w:lang w:eastAsia="lv-LV"/>
        </w:rPr>
        <w:t xml:space="preserve"> </w:t>
      </w:r>
      <w:proofErr w:type="spellStart"/>
      <w:r w:rsidRPr="00DB426E">
        <w:rPr>
          <w:lang w:eastAsia="lv-LV"/>
        </w:rPr>
        <w:t>Report</w:t>
      </w:r>
      <w:proofErr w:type="spellEnd"/>
      <w:r w:rsidRPr="00DB426E">
        <w:rPr>
          <w:lang w:eastAsia="lv-LV"/>
        </w:rPr>
        <w:t xml:space="preserve"> 2011“).</w:t>
      </w:r>
    </w:p>
    <w:p w:rsidR="006D3AB5" w:rsidRPr="00DB426E" w:rsidRDefault="006D3AB5" w:rsidP="006D3AB5">
      <w:pPr>
        <w:rPr>
          <w:lang w:eastAsia="lv-LV"/>
        </w:rPr>
      </w:pPr>
      <w:r w:rsidRPr="00DB426E">
        <w:rPr>
          <w:lang w:eastAsia="lv-LV"/>
        </w:rPr>
        <w:t xml:space="preserve">Attēls 1-1 ir diagramma, kas atspoguļo, kāds īpatsvars globālajos zinātniskajos pētījumos ir vadošajām valstīm, savienībām un grupām: ASV, Ķīnai, Eiropas Savienībai; attīstītākajām Āzijas valstu </w:t>
      </w:r>
      <w:proofErr w:type="spellStart"/>
      <w:r w:rsidRPr="00DB426E">
        <w:rPr>
          <w:lang w:eastAsia="lv-LV"/>
        </w:rPr>
        <w:t>ekonomikām</w:t>
      </w:r>
      <w:proofErr w:type="spellEnd"/>
      <w:r w:rsidRPr="00DB426E">
        <w:rPr>
          <w:lang w:eastAsia="lv-LV"/>
        </w:rPr>
        <w:t xml:space="preserve"> (Japānai, Dienvidkorejai, Singapūrai, Taivānai), lielākajām jaunattīstības valstīm (Brazīlijai, Krievijai, Indijai, Dienvidāfrikas Republikai) un pārējām valstīm.</w:t>
      </w:r>
    </w:p>
    <w:p w:rsidR="006D3AB5" w:rsidRPr="00DB426E" w:rsidRDefault="006D3AB5" w:rsidP="006D3AB5">
      <w:pPr>
        <w:rPr>
          <w:lang w:eastAsia="lv-LV"/>
        </w:rPr>
      </w:pPr>
      <w:r w:rsidRPr="00DB426E">
        <w:rPr>
          <w:lang w:eastAsia="lv-LV"/>
        </w:rPr>
        <w:t xml:space="preserve">Izvērtējums ir veikts 4 pamata kategorijās: </w:t>
      </w:r>
    </w:p>
    <w:p w:rsidR="006D3AB5" w:rsidRPr="00DB426E" w:rsidRDefault="006D3AB5" w:rsidP="00475128">
      <w:pPr>
        <w:numPr>
          <w:ilvl w:val="0"/>
          <w:numId w:val="5"/>
        </w:numPr>
        <w:spacing w:before="120" w:after="0" w:line="240" w:lineRule="auto"/>
        <w:ind w:left="714" w:hanging="357"/>
        <w:contextualSpacing/>
        <w:rPr>
          <w:lang w:eastAsia="lv-LV"/>
        </w:rPr>
      </w:pPr>
      <w:r w:rsidRPr="00DB426E">
        <w:rPr>
          <w:lang w:eastAsia="lv-LV"/>
        </w:rPr>
        <w:t xml:space="preserve">zinātnisko pētījumu un izstrāžu finansēšanas apjoms, </w:t>
      </w:r>
    </w:p>
    <w:p w:rsidR="006D3AB5" w:rsidRPr="00DB426E" w:rsidRDefault="006D3AB5" w:rsidP="00475128">
      <w:pPr>
        <w:numPr>
          <w:ilvl w:val="0"/>
          <w:numId w:val="5"/>
        </w:numPr>
        <w:spacing w:before="120" w:after="0" w:line="240" w:lineRule="auto"/>
        <w:ind w:left="714" w:hanging="357"/>
        <w:contextualSpacing/>
        <w:rPr>
          <w:lang w:eastAsia="lv-LV"/>
        </w:rPr>
      </w:pPr>
      <w:r w:rsidRPr="00DB426E">
        <w:rPr>
          <w:lang w:eastAsia="lv-LV"/>
        </w:rPr>
        <w:t xml:space="preserve">augsti kvalificētu zinātnieku skaits, </w:t>
      </w:r>
    </w:p>
    <w:p w:rsidR="006D3AB5" w:rsidRPr="00DB426E" w:rsidRDefault="006D3AB5" w:rsidP="00475128">
      <w:pPr>
        <w:numPr>
          <w:ilvl w:val="0"/>
          <w:numId w:val="5"/>
        </w:numPr>
        <w:spacing w:before="120" w:after="0" w:line="240" w:lineRule="auto"/>
        <w:ind w:left="714" w:hanging="357"/>
        <w:contextualSpacing/>
        <w:rPr>
          <w:lang w:eastAsia="lv-LV"/>
        </w:rPr>
      </w:pPr>
      <w:r w:rsidRPr="00DB426E">
        <w:rPr>
          <w:lang w:eastAsia="lv-LV"/>
        </w:rPr>
        <w:t xml:space="preserve">zinātniskajā pasaulē zināmākās publikācijas, </w:t>
      </w:r>
    </w:p>
    <w:p w:rsidR="006D3AB5" w:rsidRPr="00DB426E" w:rsidRDefault="006D3AB5" w:rsidP="00475128">
      <w:pPr>
        <w:numPr>
          <w:ilvl w:val="0"/>
          <w:numId w:val="5"/>
        </w:numPr>
        <w:spacing w:before="120" w:after="0" w:line="240" w:lineRule="auto"/>
        <w:ind w:left="714" w:hanging="357"/>
        <w:contextualSpacing/>
        <w:rPr>
          <w:lang w:eastAsia="lv-LV"/>
        </w:rPr>
      </w:pPr>
      <w:r w:rsidRPr="00DB426E">
        <w:rPr>
          <w:lang w:eastAsia="lv-LV"/>
        </w:rPr>
        <w:t>patentēto atklājumu un izgudrojumu skaits.</w:t>
      </w:r>
    </w:p>
    <w:p w:rsidR="006D3AB5" w:rsidRPr="00DB426E" w:rsidRDefault="006D3AB5" w:rsidP="00987517">
      <w:pPr>
        <w:spacing w:before="240"/>
        <w:rPr>
          <w:lang w:eastAsia="lv-LV"/>
        </w:rPr>
      </w:pPr>
      <w:r w:rsidRPr="00DB426E">
        <w:rPr>
          <w:lang w:eastAsia="lv-LV"/>
        </w:rPr>
        <w:t xml:space="preserve">Neapšaubāms pasaules līderis veikto zinātnisko pētījumu mērogu un rezultativitātes ziņā ir Amerikas Savienotās Valstis. </w:t>
      </w:r>
    </w:p>
    <w:p w:rsidR="006D3AB5" w:rsidRPr="00DB426E" w:rsidRDefault="006D3AB5" w:rsidP="006D3AB5">
      <w:pPr>
        <w:rPr>
          <w:lang w:eastAsia="lv-LV"/>
        </w:rPr>
      </w:pPr>
      <w:r w:rsidRPr="00DB426E">
        <w:rPr>
          <w:lang w:eastAsia="lv-LV"/>
        </w:rPr>
        <w:t xml:space="preserve">Eiropas Savienība ieņem stabilu otro pozīciju zinātniski pētniecisko izstrāžu pasaules rangā. </w:t>
      </w:r>
    </w:p>
    <w:p w:rsidR="006D3AB5" w:rsidRPr="00DB426E" w:rsidRDefault="006D3AB5" w:rsidP="006D3AB5">
      <w:pPr>
        <w:rPr>
          <w:lang w:eastAsia="lv-LV"/>
        </w:rPr>
      </w:pPr>
      <w:r w:rsidRPr="00DB426E">
        <w:rPr>
          <w:lang w:eastAsia="lv-LV"/>
        </w:rPr>
        <w:t>Strukturālas izmaiņas no 2000. līdz 2008.gadam notika galvenokārt, samazinoties ASV līdzdalības īpatsvaram un pastiprinoties Ķīnas ietekmei. Eiropas Savienība zinātniskajā pasaulē saglabā stipras pozīcijas. Pēc 2007.-2008.gada datiem 24.3% no visām investīcijām zinātnē izdarītas Eiropas Savienības valstīs, kur sakoncentrējušies gandrīz 22% no vadošajiem zinātniekiem), publicēti vairāk kā 32% no nozīmīgākajiem (vairāk citētajiem) zinātniskajiem darbiem, reģistrēts 31.5% no visiem patentiem.</w:t>
      </w:r>
    </w:p>
    <w:p w:rsidR="006D3AB5" w:rsidRPr="00DB426E" w:rsidRDefault="006D3AB5" w:rsidP="006D3AB5">
      <w:pPr>
        <w:pStyle w:val="Caption"/>
        <w:rPr>
          <w:lang w:eastAsia="lv-LV"/>
        </w:rPr>
      </w:pPr>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w:t>
      </w:r>
      <w:r w:rsidR="009B0188">
        <w:rPr>
          <w:noProof/>
        </w:rPr>
        <w:fldChar w:fldCharType="end"/>
      </w:r>
      <w:r w:rsidRPr="00DB426E">
        <w:t>. Valstu līdzdalības īpatsvars globālajos zinātniskajos pētījumos</w:t>
      </w:r>
      <w:r w:rsidRPr="00DB426E">
        <w:rPr>
          <w:lang w:eastAsia="lv-LV"/>
        </w:rPr>
        <w:t xml:space="preserve"> </w:t>
      </w:r>
    </w:p>
    <w:p w:rsidR="006D3AB5" w:rsidRPr="00DB426E" w:rsidRDefault="006C3F27" w:rsidP="006D3AB5">
      <w:pPr>
        <w:rPr>
          <w:lang w:eastAsia="lv-LV"/>
        </w:rPr>
      </w:pPr>
      <w:r>
        <w:rPr>
          <w:noProof/>
          <w:lang w:eastAsia="lv-LV"/>
        </w:rPr>
        <w:drawing>
          <wp:inline distT="0" distB="0" distL="0" distR="0" wp14:anchorId="1E59A681" wp14:editId="70557282">
            <wp:extent cx="5261348" cy="2243591"/>
            <wp:effectExtent l="5846" t="5843" r="5846" b="6086"/>
            <wp:docPr id="4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D3AB5" w:rsidRPr="00DB426E" w:rsidRDefault="006C3F27" w:rsidP="006D3AB5">
      <w:pPr>
        <w:rPr>
          <w:lang w:eastAsia="lv-LV"/>
        </w:rPr>
      </w:pPr>
      <w:r>
        <w:rPr>
          <w:noProof/>
          <w:lang w:eastAsia="lv-LV"/>
        </w:rPr>
        <w:drawing>
          <wp:inline distT="0" distB="0" distL="0" distR="0" wp14:anchorId="1916E8A7" wp14:editId="1EE81913">
            <wp:extent cx="5261348" cy="2253970"/>
            <wp:effectExtent l="5846" t="5855" r="5846" b="5855"/>
            <wp:docPr id="30" name="Pictur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D3AB5" w:rsidRPr="00DB426E" w:rsidRDefault="006D3AB5" w:rsidP="006D3AB5">
      <w:pPr>
        <w:pStyle w:val="Caption"/>
        <w:spacing w:before="0"/>
        <w:jc w:val="left"/>
        <w:rPr>
          <w:lang w:eastAsia="lv-LV"/>
        </w:rPr>
      </w:pPr>
      <w:r w:rsidRPr="00DB426E">
        <w:rPr>
          <w:b w:val="0"/>
          <w:lang w:eastAsia="lv-LV"/>
        </w:rPr>
        <w:t>Avots:</w:t>
      </w:r>
      <w:r w:rsidRPr="00DB426E">
        <w:rPr>
          <w:lang w:eastAsia="lv-LV"/>
        </w:rPr>
        <w:t xml:space="preserve"> </w:t>
      </w:r>
      <w:proofErr w:type="spellStart"/>
      <w:r w:rsidRPr="00DB426E">
        <w:rPr>
          <w:b w:val="0"/>
          <w:lang w:eastAsia="lv-LV"/>
        </w:rPr>
        <w:t>Innovation</w:t>
      </w:r>
      <w:proofErr w:type="spellEnd"/>
      <w:r w:rsidRPr="00DB426E">
        <w:rPr>
          <w:b w:val="0"/>
          <w:lang w:eastAsia="lv-LV"/>
        </w:rPr>
        <w:t xml:space="preserve"> </w:t>
      </w:r>
      <w:proofErr w:type="spellStart"/>
      <w:r w:rsidRPr="00DB426E">
        <w:rPr>
          <w:b w:val="0"/>
          <w:lang w:eastAsia="lv-LV"/>
        </w:rPr>
        <w:t>Union</w:t>
      </w:r>
      <w:proofErr w:type="spellEnd"/>
      <w:r w:rsidRPr="00DB426E">
        <w:rPr>
          <w:b w:val="0"/>
          <w:lang w:eastAsia="lv-LV"/>
        </w:rPr>
        <w:t xml:space="preserve"> </w:t>
      </w:r>
      <w:proofErr w:type="spellStart"/>
      <w:r w:rsidRPr="00DB426E">
        <w:rPr>
          <w:b w:val="0"/>
          <w:lang w:eastAsia="lv-LV"/>
        </w:rPr>
        <w:t>Competitiveness</w:t>
      </w:r>
      <w:proofErr w:type="spellEnd"/>
      <w:r w:rsidRPr="00DB426E">
        <w:rPr>
          <w:b w:val="0"/>
          <w:lang w:eastAsia="lv-LV"/>
        </w:rPr>
        <w:t xml:space="preserve"> </w:t>
      </w:r>
      <w:proofErr w:type="spellStart"/>
      <w:r w:rsidRPr="00DB426E">
        <w:rPr>
          <w:b w:val="0"/>
          <w:lang w:eastAsia="lv-LV"/>
        </w:rPr>
        <w:t>report</w:t>
      </w:r>
      <w:proofErr w:type="spellEnd"/>
      <w:r w:rsidRPr="00DB426E">
        <w:rPr>
          <w:b w:val="0"/>
          <w:lang w:eastAsia="lv-LV"/>
        </w:rPr>
        <w:t xml:space="preserve"> 2011</w:t>
      </w:r>
    </w:p>
    <w:p w:rsidR="006D3AB5" w:rsidRPr="00DB426E" w:rsidRDefault="006D3AB5" w:rsidP="006D3AB5">
      <w:pPr>
        <w:rPr>
          <w:lang w:eastAsia="lv-LV"/>
        </w:rPr>
      </w:pPr>
      <w:r w:rsidRPr="00DB426E">
        <w:rPr>
          <w:lang w:eastAsia="lv-LV"/>
        </w:rPr>
        <w:t xml:space="preserve">Straujā Āzijas valstu attīstība un stagnācija Eiropā ļauj ar lielu ticamības pakāpi prognozēt, ka ekonomiskās un zinātniskās aktivitātes gravitācijas centrs jau 2020.gadā pārvietosies uz Āziju. </w:t>
      </w:r>
    </w:p>
    <w:p w:rsidR="006D3AB5" w:rsidRPr="00DB426E" w:rsidRDefault="006D3AB5" w:rsidP="006D3AB5">
      <w:pPr>
        <w:rPr>
          <w:lang w:eastAsia="lv-LV"/>
        </w:rPr>
      </w:pPr>
      <w:r w:rsidRPr="00DB426E">
        <w:rPr>
          <w:lang w:eastAsia="lv-LV"/>
        </w:rPr>
        <w:t xml:space="preserve">Pieņemot, ka investīcijas zinātnē, inovācijā un izglītībā ir </w:t>
      </w:r>
      <w:r w:rsidRPr="00DB426E">
        <w:rPr>
          <w:i/>
          <w:lang w:eastAsia="lv-LV"/>
        </w:rPr>
        <w:t>zināšanu radošas un izmantojošas sistēmas</w:t>
      </w:r>
      <w:r w:rsidRPr="00DB426E">
        <w:rPr>
          <w:lang w:eastAsia="lv-LV"/>
        </w:rPr>
        <w:t xml:space="preserve"> efektīvas darbības pamats, tālāk tiek analizēta šīs sfēras finansēšanas struktūra un dinamika, kā arī zinātnisko pētījumu rezultativitāte starp galvenajiem Eiropas Savienības konkurentiem (un tās iekšienē). </w:t>
      </w:r>
    </w:p>
    <w:p w:rsidR="006D3AB5" w:rsidRPr="00DB426E" w:rsidRDefault="006D3AB5" w:rsidP="00475128">
      <w:pPr>
        <w:pStyle w:val="Heading2"/>
        <w:numPr>
          <w:ilvl w:val="1"/>
          <w:numId w:val="4"/>
        </w:numPr>
        <w:suppressAutoHyphens w:val="0"/>
        <w:spacing w:before="240" w:after="60"/>
        <w:jc w:val="both"/>
        <w:rPr>
          <w:lang w:eastAsia="lv-LV"/>
        </w:rPr>
      </w:pPr>
      <w:bookmarkStart w:id="9" w:name="_Toc355007908"/>
      <w:bookmarkStart w:id="10" w:name="_Toc355008071"/>
      <w:bookmarkStart w:id="11" w:name="_Toc356472818"/>
      <w:bookmarkStart w:id="12" w:name="_Toc358978681"/>
      <w:r w:rsidRPr="00DB426E">
        <w:rPr>
          <w:lang w:eastAsia="lv-LV"/>
        </w:rPr>
        <w:t>Zinātniski pētniecisko darbu finansēšana Eiropas Savienībā, attīstītajās valstīs un Krievijā</w:t>
      </w:r>
      <w:bookmarkEnd w:id="9"/>
      <w:bookmarkEnd w:id="10"/>
      <w:bookmarkEnd w:id="11"/>
      <w:bookmarkEnd w:id="12"/>
    </w:p>
    <w:p w:rsidR="006D3AB5" w:rsidRPr="00DB426E" w:rsidRDefault="006D3AB5" w:rsidP="006D3AB5">
      <w:pPr>
        <w:rPr>
          <w:rFonts w:eastAsia="Times New Roman"/>
          <w:color w:val="000000"/>
          <w:lang w:eastAsia="lv-LV"/>
        </w:rPr>
      </w:pPr>
      <w:r w:rsidRPr="00DB426E">
        <w:rPr>
          <w:rFonts w:eastAsia="Times New Roman"/>
          <w:color w:val="000000"/>
          <w:lang w:eastAsia="lv-LV"/>
        </w:rPr>
        <w:t>Pēdējās desmitgades laikā atbilstoši apkopotajiem datiem Eiropas Savienība zinātnisko pētījumu attīstībai tērē 1.8-2.0% no summārā IKP (</w:t>
      </w:r>
      <w:r w:rsidR="00893B8C" w:rsidRPr="00DB426E">
        <w:rPr>
          <w:rFonts w:eastAsia="Times New Roman"/>
          <w:color w:val="000000"/>
          <w:lang w:eastAsia="lv-LV"/>
        </w:rPr>
        <w:fldChar w:fldCharType="begin"/>
      </w:r>
      <w:r w:rsidRPr="00DB426E">
        <w:rPr>
          <w:rFonts w:eastAsia="Times New Roman"/>
          <w:color w:val="000000"/>
          <w:lang w:eastAsia="lv-LV"/>
        </w:rPr>
        <w:instrText xml:space="preserve"> REF _Ref352769082 \h </w:instrText>
      </w:r>
      <w:r w:rsidR="00893B8C" w:rsidRPr="00DB426E">
        <w:rPr>
          <w:rFonts w:eastAsia="Times New Roman"/>
          <w:color w:val="000000"/>
          <w:lang w:eastAsia="lv-LV"/>
        </w:rPr>
      </w:r>
      <w:r w:rsidR="00893B8C" w:rsidRPr="00DB426E">
        <w:rPr>
          <w:rFonts w:eastAsia="Times New Roman"/>
          <w:color w:val="000000"/>
          <w:lang w:eastAsia="lv-LV"/>
        </w:rPr>
        <w:fldChar w:fldCharType="separate"/>
      </w:r>
      <w:r w:rsidR="00BA3CB7" w:rsidRPr="00DB426E">
        <w:t xml:space="preserve">Attēls </w:t>
      </w:r>
      <w:r w:rsidR="00BA3CB7">
        <w:rPr>
          <w:noProof/>
        </w:rPr>
        <w:t>1</w:t>
      </w:r>
      <w:r w:rsidR="00BA3CB7" w:rsidRPr="00DB426E">
        <w:noBreakHyphen/>
      </w:r>
      <w:r w:rsidR="00BA3CB7">
        <w:rPr>
          <w:noProof/>
        </w:rPr>
        <w:t>2</w:t>
      </w:r>
      <w:r w:rsidR="00893B8C" w:rsidRPr="00DB426E">
        <w:rPr>
          <w:rFonts w:eastAsia="Times New Roman"/>
          <w:color w:val="000000"/>
          <w:lang w:eastAsia="lv-LV"/>
        </w:rPr>
        <w:fldChar w:fldCharType="end"/>
      </w:r>
      <w:r w:rsidRPr="00DB426E">
        <w:rPr>
          <w:rFonts w:eastAsia="Times New Roman"/>
          <w:color w:val="000000"/>
          <w:lang w:eastAsia="lv-LV"/>
        </w:rPr>
        <w:t>). Ņemot vērā vispārējās ekonomiskās attīstības palēnināšanos, sākot no 2008.gada, nenozīmīgo izdevumu palielinājumu zinātnei pēc speciālistu domām</w:t>
      </w:r>
      <w:r w:rsidRPr="00DB426E">
        <w:rPr>
          <w:rStyle w:val="FootnoteReference"/>
          <w:rFonts w:eastAsia="Times New Roman"/>
          <w:color w:val="000000"/>
          <w:lang w:eastAsia="lv-LV"/>
        </w:rPr>
        <w:footnoteReference w:id="1"/>
      </w:r>
      <w:r w:rsidRPr="00DB426E">
        <w:rPr>
          <w:rFonts w:eastAsia="Times New Roman"/>
          <w:color w:val="000000"/>
          <w:lang w:eastAsia="lv-LV"/>
        </w:rPr>
        <w:t xml:space="preserve"> var uzskatīt par </w:t>
      </w:r>
      <w:proofErr w:type="spellStart"/>
      <w:r w:rsidRPr="00DB426E">
        <w:rPr>
          <w:rFonts w:eastAsia="Times New Roman"/>
          <w:color w:val="000000"/>
          <w:lang w:eastAsia="lv-LV"/>
        </w:rPr>
        <w:t>kvazi-stagnāciju.</w:t>
      </w:r>
      <w:proofErr w:type="spellEnd"/>
    </w:p>
    <w:p w:rsidR="006D3AB5" w:rsidRPr="00DB426E" w:rsidRDefault="006D3AB5" w:rsidP="006D3AB5">
      <w:pPr>
        <w:pStyle w:val="Caption"/>
        <w:rPr>
          <w:rFonts w:eastAsia="Times New Roman"/>
          <w:color w:val="000000"/>
          <w:lang w:eastAsia="lv-LV"/>
        </w:rPr>
      </w:pPr>
      <w:bookmarkStart w:id="13" w:name="_Ref352769082"/>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2</w:t>
      </w:r>
      <w:r w:rsidR="009B0188">
        <w:rPr>
          <w:noProof/>
        </w:rPr>
        <w:fldChar w:fldCharType="end"/>
      </w:r>
      <w:bookmarkEnd w:id="13"/>
      <w:r w:rsidRPr="00DB426E">
        <w:t>. Zinātniski pētniecisko darbu finansēšanas dinamika, % no IKP, 2002.-2011.</w:t>
      </w:r>
      <w:r w:rsidRPr="00DB426E">
        <w:rPr>
          <w:b w:val="0"/>
          <w:i w:val="0"/>
        </w:rPr>
        <w:t xml:space="preserve"> </w:t>
      </w:r>
    </w:p>
    <w:p w:rsidR="006D3AB5" w:rsidRPr="00DB426E" w:rsidRDefault="006C3F27" w:rsidP="006D3AB5">
      <w:pPr>
        <w:rPr>
          <w:rFonts w:eastAsia="Times New Roman"/>
          <w:color w:val="000000"/>
          <w:lang w:eastAsia="lv-LV"/>
        </w:rPr>
      </w:pPr>
      <w:r>
        <w:rPr>
          <w:noProof/>
          <w:lang w:eastAsia="lv-LV"/>
        </w:rPr>
        <w:drawing>
          <wp:inline distT="0" distB="0" distL="0" distR="0" wp14:anchorId="4916AF8A" wp14:editId="06591F79">
            <wp:extent cx="5261348" cy="2424877"/>
            <wp:effectExtent l="5846" t="5848" r="5846" b="7675"/>
            <wp:docPr id="29" name="Pictur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D3AB5" w:rsidRPr="00DB426E" w:rsidRDefault="006D3AB5" w:rsidP="006D3AB5">
      <w:pPr>
        <w:rPr>
          <w:rFonts w:eastAsia="Times New Roman"/>
          <w:color w:val="000000"/>
          <w:lang w:eastAsia="lv-LV"/>
        </w:rPr>
      </w:pPr>
      <w:r w:rsidRPr="00DB426E">
        <w:rPr>
          <w:i/>
        </w:rPr>
        <w:t>Avots: Eurostat</w:t>
      </w:r>
    </w:p>
    <w:p w:rsidR="006D3AB5" w:rsidRPr="00DB426E" w:rsidRDefault="006D3AB5" w:rsidP="006D3AB5">
      <w:pPr>
        <w:rPr>
          <w:rFonts w:eastAsia="Times New Roman"/>
          <w:color w:val="000000"/>
          <w:lang w:eastAsia="lv-LV"/>
        </w:rPr>
      </w:pPr>
      <w:r w:rsidRPr="00DB426E">
        <w:rPr>
          <w:rFonts w:eastAsia="Times New Roman"/>
          <w:color w:val="000000"/>
          <w:lang w:eastAsia="lv-LV"/>
        </w:rPr>
        <w:t xml:space="preserve">Analoģiska tendence izdevumiem zinātnei ir vērojama Savienotajās Valstīs, kur pēc 2005.gada ir iezīmējies nenozīmīgs pieaugums līdz 2.87% 2009.gadā. Šajā periodā vērojams būtisks izdevumu pieaugums zinātniskā potenciāla veidošanai Dienvidkorejā un Ķīnā. 2010.gadā līdzekļu īpatsvars, ko Dienvidkoreja piešķīra zinātniski pētnieciskajiem darbiem, sasniedza 4% no IKP. </w:t>
      </w:r>
    </w:p>
    <w:p w:rsidR="006D3AB5" w:rsidRPr="00DB426E" w:rsidRDefault="006D3AB5" w:rsidP="006D3AB5">
      <w:pPr>
        <w:rPr>
          <w:rFonts w:eastAsia="Times New Roman"/>
          <w:color w:val="000000"/>
          <w:lang w:eastAsia="lv-LV"/>
        </w:rPr>
      </w:pPr>
      <w:r w:rsidRPr="00DB426E">
        <w:rPr>
          <w:rFonts w:eastAsia="Times New Roman"/>
          <w:color w:val="000000"/>
          <w:lang w:eastAsia="lv-LV"/>
        </w:rPr>
        <w:t>Absolūtos skaitļos izdevumi zinātniskajiem pētījumiem ASV 2011.gadā pārsniedza 400 miljardus dolāru</w:t>
      </w:r>
      <w:r w:rsidRPr="00DB426E">
        <w:rPr>
          <w:rStyle w:val="FootnoteReference"/>
          <w:rFonts w:eastAsia="Times New Roman"/>
          <w:color w:val="000000"/>
          <w:lang w:eastAsia="lv-LV"/>
        </w:rPr>
        <w:footnoteReference w:id="2"/>
      </w:r>
      <w:r w:rsidRPr="00DB426E">
        <w:rPr>
          <w:rFonts w:eastAsia="Times New Roman"/>
          <w:color w:val="000000"/>
          <w:lang w:eastAsia="lv-LV"/>
        </w:rPr>
        <w:t xml:space="preserve"> (</w:t>
      </w:r>
      <w:r w:rsidR="00893B8C" w:rsidRPr="00DB426E">
        <w:rPr>
          <w:rFonts w:eastAsia="Times New Roman"/>
          <w:color w:val="000000"/>
          <w:lang w:eastAsia="lv-LV"/>
        </w:rPr>
        <w:fldChar w:fldCharType="begin"/>
      </w:r>
      <w:r w:rsidRPr="00DB426E">
        <w:rPr>
          <w:rFonts w:eastAsia="Times New Roman"/>
          <w:color w:val="000000"/>
          <w:lang w:eastAsia="lv-LV"/>
        </w:rPr>
        <w:instrText xml:space="preserve"> REF _Ref354497405 \h </w:instrText>
      </w:r>
      <w:r w:rsidR="00893B8C" w:rsidRPr="00DB426E">
        <w:rPr>
          <w:rFonts w:eastAsia="Times New Roman"/>
          <w:color w:val="000000"/>
          <w:lang w:eastAsia="lv-LV"/>
        </w:rPr>
      </w:r>
      <w:r w:rsidR="00893B8C" w:rsidRPr="00DB426E">
        <w:rPr>
          <w:rFonts w:eastAsia="Times New Roman"/>
          <w:color w:val="000000"/>
          <w:lang w:eastAsia="lv-LV"/>
        </w:rPr>
        <w:fldChar w:fldCharType="separate"/>
      </w:r>
      <w:r w:rsidR="00BA3CB7" w:rsidRPr="00DB426E">
        <w:t xml:space="preserve">Attēls </w:t>
      </w:r>
      <w:r w:rsidR="00BA3CB7">
        <w:rPr>
          <w:noProof/>
        </w:rPr>
        <w:t>1</w:t>
      </w:r>
      <w:r w:rsidR="00BA3CB7" w:rsidRPr="00DB426E">
        <w:noBreakHyphen/>
      </w:r>
      <w:r w:rsidR="00BA3CB7">
        <w:rPr>
          <w:noProof/>
        </w:rPr>
        <w:t>3</w:t>
      </w:r>
      <w:r w:rsidR="00893B8C" w:rsidRPr="00DB426E">
        <w:rPr>
          <w:rFonts w:eastAsia="Times New Roman"/>
          <w:color w:val="000000"/>
          <w:lang w:eastAsia="lv-LV"/>
        </w:rPr>
        <w:fldChar w:fldCharType="end"/>
      </w:r>
      <w:r w:rsidRPr="00DB426E">
        <w:rPr>
          <w:rFonts w:eastAsia="Times New Roman"/>
          <w:color w:val="000000"/>
          <w:lang w:eastAsia="lv-LV"/>
        </w:rPr>
        <w:t xml:space="preserve">), kas par 23% pārsniedz summāro analoģisku investīciju apjomu ES dalībvalstīs. Atbilstoši ekspertu vērtējumam Eiropas Savienības izdevumi 2011.gadā bija 330 miljardi dolāru. Ķīnā šis rādītājs ir pietuvojies 300 miljardiem dolāru. Japāna zinātniekiem pētījumiem tērē 160 miljardus gadā, Dienvidkoreja – 56 miljardus dolāru. No vadošajām </w:t>
      </w:r>
      <w:proofErr w:type="spellStart"/>
      <w:r w:rsidRPr="00DB426E">
        <w:rPr>
          <w:rFonts w:eastAsia="Times New Roman"/>
          <w:color w:val="000000"/>
          <w:lang w:eastAsia="lv-LV"/>
        </w:rPr>
        <w:t>ekonomikām</w:t>
      </w:r>
      <w:proofErr w:type="spellEnd"/>
      <w:r w:rsidRPr="00DB426E">
        <w:rPr>
          <w:rFonts w:eastAsia="Times New Roman"/>
          <w:color w:val="000000"/>
          <w:lang w:eastAsia="lv-LV"/>
        </w:rPr>
        <w:t xml:space="preserve"> būtiski atpaliek Krievija, kas zinātnes attīstībai atvēl aptuveni 1% no IKP vai aptuveni 24 miljardus dolāru. </w:t>
      </w:r>
    </w:p>
    <w:p w:rsidR="006D3AB5" w:rsidRPr="00DB426E" w:rsidRDefault="006D3AB5" w:rsidP="006D3AB5">
      <w:pPr>
        <w:rPr>
          <w:rFonts w:eastAsia="Times New Roman"/>
          <w:color w:val="000000"/>
          <w:lang w:eastAsia="lv-LV"/>
        </w:rPr>
      </w:pPr>
    </w:p>
    <w:p w:rsidR="006D3AB5" w:rsidRPr="00DB426E" w:rsidRDefault="006D3AB5" w:rsidP="006D3AB5">
      <w:pPr>
        <w:rPr>
          <w:rFonts w:eastAsia="Times New Roman"/>
          <w:color w:val="000000"/>
          <w:lang w:eastAsia="lv-LV"/>
        </w:rPr>
      </w:pPr>
    </w:p>
    <w:p w:rsidR="006D3AB5" w:rsidRDefault="006D3AB5" w:rsidP="006D3AB5">
      <w:pPr>
        <w:rPr>
          <w:rFonts w:eastAsia="Times New Roman"/>
          <w:color w:val="000000"/>
          <w:lang w:eastAsia="lv-LV"/>
        </w:rPr>
      </w:pPr>
    </w:p>
    <w:p w:rsidR="00A57024" w:rsidRPr="00DB426E" w:rsidRDefault="00A57024" w:rsidP="006D3AB5">
      <w:pPr>
        <w:rPr>
          <w:rFonts w:eastAsia="Times New Roman"/>
          <w:color w:val="000000"/>
          <w:lang w:eastAsia="lv-LV"/>
        </w:rPr>
      </w:pPr>
    </w:p>
    <w:p w:rsidR="006D3AB5" w:rsidRPr="00DB426E" w:rsidRDefault="006D3AB5" w:rsidP="006D3AB5">
      <w:pPr>
        <w:rPr>
          <w:rFonts w:eastAsia="Times New Roman"/>
          <w:color w:val="000000"/>
          <w:lang w:eastAsia="lv-LV"/>
        </w:rPr>
      </w:pPr>
    </w:p>
    <w:p w:rsidR="006D3AB5" w:rsidRPr="00DB426E" w:rsidRDefault="006D3AB5" w:rsidP="006D3AB5">
      <w:pPr>
        <w:rPr>
          <w:rFonts w:eastAsia="Times New Roman"/>
          <w:color w:val="000000"/>
          <w:lang w:eastAsia="lv-LV"/>
        </w:rPr>
      </w:pPr>
    </w:p>
    <w:p w:rsidR="006D3AB5" w:rsidRPr="00DB426E" w:rsidRDefault="006D3AB5" w:rsidP="006D3AB5">
      <w:pPr>
        <w:pStyle w:val="Caption"/>
        <w:rPr>
          <w:rFonts w:eastAsia="Times New Roman"/>
          <w:color w:val="000000"/>
          <w:lang w:eastAsia="lv-LV"/>
        </w:rPr>
      </w:pPr>
      <w:bookmarkStart w:id="14" w:name="_Ref352842048"/>
      <w:bookmarkStart w:id="15" w:name="_Ref354497405"/>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3</w:t>
      </w:r>
      <w:r w:rsidR="009B0188">
        <w:rPr>
          <w:noProof/>
        </w:rPr>
        <w:fldChar w:fldCharType="end"/>
      </w:r>
      <w:bookmarkEnd w:id="14"/>
      <w:bookmarkEnd w:id="15"/>
      <w:r w:rsidRPr="00DB426E">
        <w:t>. Zinātniski pētniecisko darbu finansējuma apjoms, 2011</w:t>
      </w:r>
    </w:p>
    <w:p w:rsidR="006D3AB5" w:rsidRPr="00DB426E" w:rsidRDefault="006C3F27" w:rsidP="006D3AB5">
      <w:pPr>
        <w:jc w:val="center"/>
        <w:rPr>
          <w:rFonts w:eastAsia="Times New Roman"/>
          <w:color w:val="000000"/>
          <w:lang w:eastAsia="lv-LV"/>
        </w:rPr>
      </w:pPr>
      <w:r>
        <w:rPr>
          <w:noProof/>
          <w:lang w:eastAsia="lv-LV"/>
        </w:rPr>
        <w:drawing>
          <wp:inline distT="0" distB="0" distL="0" distR="0" wp14:anchorId="24190C5F" wp14:editId="6FFC60D1">
            <wp:extent cx="5055748" cy="2741176"/>
            <wp:effectExtent l="6094" t="6092" r="7998" b="6092"/>
            <wp:docPr id="5" name="Picture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D3AB5" w:rsidRPr="00DB426E" w:rsidRDefault="006D3AB5" w:rsidP="006D3AB5">
      <w:pPr>
        <w:rPr>
          <w:rFonts w:eastAsia="Times New Roman"/>
          <w:color w:val="000000"/>
          <w:lang w:eastAsia="lv-LV"/>
        </w:rPr>
      </w:pPr>
      <w:r w:rsidRPr="00DB426E">
        <w:rPr>
          <w:i/>
        </w:rPr>
        <w:t>Avots: www.census.gov, Eurostat, ekspertu vērtējums</w:t>
      </w:r>
    </w:p>
    <w:p w:rsidR="006D3AB5" w:rsidRPr="00DB426E" w:rsidRDefault="006D3AB5" w:rsidP="006D3AB5">
      <w:pPr>
        <w:rPr>
          <w:rFonts w:eastAsia="Times New Roman"/>
          <w:color w:val="000000"/>
          <w:lang w:eastAsia="lv-LV"/>
        </w:rPr>
      </w:pPr>
      <w:r w:rsidRPr="00DB426E">
        <w:rPr>
          <w:rFonts w:eastAsia="Times New Roman"/>
          <w:color w:val="000000"/>
          <w:lang w:eastAsia="lv-LV"/>
        </w:rPr>
        <w:t>Eiropas Savienībā kopumā vairāk kā pusi (54%) no ZP izdevumiem finansē biznesa struktūras, aptuveni 34% - valsts un atlikusī daļa tiek finansēta no citiem finanšu avotiem. Privāto investīciju īpatsvars zinātnes attīstībā dienvidaustrumu valstīs (Koreja, Japāna) ir ievērojami augstāks – 76-78%. ASV ir raksturīga attiecība: 64% - privātie ieguldījumi, 30% - publiskie resursi, 6% - līdzekļi no citiem avotiem.</w:t>
      </w:r>
    </w:p>
    <w:p w:rsidR="006D3AB5" w:rsidRPr="00DB426E" w:rsidRDefault="006D3AB5" w:rsidP="006D3AB5">
      <w:pPr>
        <w:pStyle w:val="Caption"/>
        <w:rPr>
          <w:lang w:eastAsia="lv-LV"/>
        </w:rPr>
      </w:pPr>
      <w:r w:rsidRPr="00DB426E">
        <w:t xml:space="preserve">Attēls </w:t>
      </w:r>
      <w:r w:rsidR="009B0188">
        <w:fldChar w:fldCharType="begin"/>
      </w:r>
      <w:r w:rsidR="009B0188">
        <w:instrText xml:space="preserve"> STYLEREF 1 \s</w:instrText>
      </w:r>
      <w:r w:rsidR="009B0188">
        <w:instrText xml:space="preserve">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4</w:t>
      </w:r>
      <w:r w:rsidR="009B0188">
        <w:rPr>
          <w:noProof/>
        </w:rPr>
        <w:fldChar w:fldCharType="end"/>
      </w:r>
      <w:r w:rsidRPr="00DB426E">
        <w:t>. Zinātniski pētniecisko darbu finansēšanas struktūra, 2002.-2010.g.</w:t>
      </w:r>
      <w:r w:rsidRPr="00DB426E">
        <w:rPr>
          <w:i w:val="0"/>
        </w:rPr>
        <w:t xml:space="preserve"> </w:t>
      </w:r>
    </w:p>
    <w:p w:rsidR="006D3AB5" w:rsidRPr="00DB426E" w:rsidRDefault="006C3F27" w:rsidP="006D3AB5">
      <w:pPr>
        <w:jc w:val="center"/>
        <w:rPr>
          <w:lang w:eastAsia="lv-LV"/>
        </w:rPr>
      </w:pPr>
      <w:r>
        <w:rPr>
          <w:noProof/>
          <w:lang w:eastAsia="lv-LV"/>
        </w:rPr>
        <w:drawing>
          <wp:inline distT="0" distB="0" distL="0" distR="0" wp14:anchorId="401B16A1" wp14:editId="6A3FFD1F">
            <wp:extent cx="5242807" cy="2733675"/>
            <wp:effectExtent l="6100" t="6096" r="3813" b="3429"/>
            <wp:docPr id="6" name="Pictur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D3AB5" w:rsidRPr="00DB426E" w:rsidRDefault="006D3AB5" w:rsidP="006D3AB5">
      <w:pPr>
        <w:rPr>
          <w:rFonts w:eastAsia="Times New Roman"/>
          <w:color w:val="000000"/>
          <w:lang w:eastAsia="lv-LV"/>
        </w:rPr>
      </w:pPr>
      <w:r w:rsidRPr="00DB426E">
        <w:rPr>
          <w:i/>
        </w:rPr>
        <w:t>Avots: Eurostat</w:t>
      </w:r>
    </w:p>
    <w:p w:rsidR="006D3AB5" w:rsidRPr="00DB426E" w:rsidRDefault="006D3AB5" w:rsidP="006D3AB5">
      <w:pPr>
        <w:rPr>
          <w:lang w:eastAsia="lv-LV"/>
        </w:rPr>
      </w:pPr>
      <w:r w:rsidRPr="00DB426E">
        <w:rPr>
          <w:lang w:eastAsia="lv-LV"/>
        </w:rPr>
        <w:t>Privāto un publisko resursu, kas tiek atvēlēti zinātniskajiem pētījumiem, attiecība krasi atšķiras Krievijā, kur 63% finansē valsts un tikai 29% - privātie investori.</w:t>
      </w:r>
    </w:p>
    <w:p w:rsidR="006D3AB5" w:rsidRPr="00DB426E" w:rsidRDefault="006D3AB5" w:rsidP="00475128">
      <w:pPr>
        <w:pStyle w:val="Heading2"/>
        <w:numPr>
          <w:ilvl w:val="1"/>
          <w:numId w:val="4"/>
        </w:numPr>
        <w:suppressAutoHyphens w:val="0"/>
        <w:spacing w:before="240" w:after="60"/>
        <w:jc w:val="both"/>
        <w:rPr>
          <w:lang w:eastAsia="lv-LV"/>
        </w:rPr>
      </w:pPr>
      <w:bookmarkStart w:id="16" w:name="_Toc355007909"/>
      <w:bookmarkStart w:id="17" w:name="_Toc355008072"/>
      <w:bookmarkStart w:id="18" w:name="_Toc356472819"/>
      <w:bookmarkStart w:id="19" w:name="_Toc358978682"/>
      <w:r w:rsidRPr="00DB426E">
        <w:rPr>
          <w:lang w:eastAsia="lv-LV"/>
        </w:rPr>
        <w:t>Zinātniski pētniecisko darbu finansēšana Eiropas valstīs</w:t>
      </w:r>
      <w:bookmarkEnd w:id="16"/>
      <w:bookmarkEnd w:id="17"/>
      <w:bookmarkEnd w:id="18"/>
      <w:bookmarkEnd w:id="19"/>
    </w:p>
    <w:p w:rsidR="006D3AB5" w:rsidRPr="00DB426E" w:rsidRDefault="006D3AB5" w:rsidP="006D3AB5">
      <w:pPr>
        <w:rPr>
          <w:lang w:eastAsia="lv-LV"/>
        </w:rPr>
      </w:pPr>
      <w:r w:rsidRPr="00DB426E">
        <w:rPr>
          <w:lang w:eastAsia="lv-LV"/>
        </w:rPr>
        <w:t>Atbilstoši Eiropas Savienībā</w:t>
      </w:r>
      <w:r w:rsidRPr="00DB426E">
        <w:rPr>
          <w:rStyle w:val="FootnoteReference"/>
          <w:lang w:eastAsia="lv-LV"/>
        </w:rPr>
        <w:footnoteReference w:id="3"/>
      </w:r>
      <w:r w:rsidRPr="00DB426E">
        <w:rPr>
          <w:lang w:eastAsia="lv-LV"/>
        </w:rPr>
        <w:t xml:space="preserve"> pieņemtajai izdevumu zinātniski pētnieciskajiem darbiem uzskaites metodoloģijai, tiek atsevišķi izdalīti:</w:t>
      </w:r>
    </w:p>
    <w:p w:rsidR="006D3AB5" w:rsidRPr="00DB426E" w:rsidRDefault="006D3AB5" w:rsidP="00475128">
      <w:pPr>
        <w:numPr>
          <w:ilvl w:val="0"/>
          <w:numId w:val="2"/>
        </w:numPr>
        <w:spacing w:before="120" w:after="0" w:line="240" w:lineRule="auto"/>
        <w:rPr>
          <w:lang w:eastAsia="lv-LV"/>
        </w:rPr>
      </w:pPr>
      <w:r w:rsidRPr="00DB426E">
        <w:rPr>
          <w:lang w:eastAsia="lv-LV"/>
        </w:rPr>
        <w:t xml:space="preserve">zinātniski pētniecisko darbu </w:t>
      </w:r>
      <w:r w:rsidRPr="00DB426E">
        <w:rPr>
          <w:u w:val="single"/>
          <w:lang w:eastAsia="lv-LV"/>
        </w:rPr>
        <w:t>finansēšanas avoti</w:t>
      </w:r>
      <w:r w:rsidRPr="00DB426E">
        <w:rPr>
          <w:lang w:eastAsia="lv-LV"/>
        </w:rPr>
        <w:t xml:space="preserve"> - uzņēmumu resursi, valsts resursi, ārvalstu resursi; </w:t>
      </w:r>
    </w:p>
    <w:p w:rsidR="006D3AB5" w:rsidRPr="00DB426E" w:rsidRDefault="006D3AB5" w:rsidP="00475128">
      <w:pPr>
        <w:numPr>
          <w:ilvl w:val="0"/>
          <w:numId w:val="2"/>
        </w:numPr>
        <w:spacing w:before="120" w:after="0" w:line="240" w:lineRule="auto"/>
        <w:rPr>
          <w:lang w:eastAsia="lv-LV"/>
        </w:rPr>
      </w:pPr>
      <w:r w:rsidRPr="00DB426E">
        <w:rPr>
          <w:lang w:eastAsia="lv-LV"/>
        </w:rPr>
        <w:t xml:space="preserve">zinātniski pētniecisko darbu </w:t>
      </w:r>
      <w:r w:rsidRPr="00DB426E">
        <w:rPr>
          <w:u w:val="single"/>
          <w:lang w:eastAsia="lv-LV"/>
        </w:rPr>
        <w:t>veikšanas sektori</w:t>
      </w:r>
      <w:r w:rsidRPr="00DB426E">
        <w:rPr>
          <w:lang w:eastAsia="lv-LV"/>
        </w:rPr>
        <w:t xml:space="preserve"> – uzņēmējdarbības sektors, valsts sektors, augstākās izglītības sektors.</w:t>
      </w:r>
    </w:p>
    <w:p w:rsidR="006D3AB5" w:rsidRPr="00DB426E" w:rsidRDefault="006D3AB5" w:rsidP="006D3AB5">
      <w:pPr>
        <w:pStyle w:val="Caption"/>
        <w:rPr>
          <w:rStyle w:val="Emphasis"/>
          <w:iCs w:val="0"/>
        </w:rPr>
      </w:pPr>
      <w:bookmarkStart w:id="20" w:name="_Ref352166502"/>
      <w:r w:rsidRPr="00DB426E">
        <w:rPr>
          <w:rStyle w:val="Emphasis"/>
          <w:iCs w:val="0"/>
        </w:rPr>
        <w:t xml:space="preserve">Attēls </w:t>
      </w:r>
      <w:r w:rsidR="00FC2687">
        <w:rPr>
          <w:rStyle w:val="Emphasis"/>
          <w:iCs w:val="0"/>
        </w:rPr>
        <w:fldChar w:fldCharType="begin"/>
      </w:r>
      <w:r w:rsidR="00FC2687">
        <w:rPr>
          <w:rStyle w:val="Emphasis"/>
          <w:iCs w:val="0"/>
        </w:rPr>
        <w:instrText xml:space="preserve"> STYLEREF 1 \s </w:instrText>
      </w:r>
      <w:r w:rsidR="00FC2687">
        <w:rPr>
          <w:rStyle w:val="Emphasis"/>
          <w:iCs w:val="0"/>
        </w:rPr>
        <w:fldChar w:fldCharType="separate"/>
      </w:r>
      <w:r w:rsidR="00FC2687">
        <w:rPr>
          <w:rStyle w:val="Emphasis"/>
          <w:iCs w:val="0"/>
          <w:noProof/>
        </w:rPr>
        <w:t>1</w:t>
      </w:r>
      <w:r w:rsidR="00FC2687">
        <w:rPr>
          <w:rStyle w:val="Emphasis"/>
          <w:iCs w:val="0"/>
        </w:rPr>
        <w:fldChar w:fldCharType="end"/>
      </w:r>
      <w:r w:rsidR="00FC2687">
        <w:rPr>
          <w:rStyle w:val="Emphasis"/>
          <w:iCs w:val="0"/>
        </w:rPr>
        <w:noBreakHyphen/>
      </w:r>
      <w:r w:rsidR="00FC2687">
        <w:rPr>
          <w:rStyle w:val="Emphasis"/>
          <w:iCs w:val="0"/>
        </w:rPr>
        <w:fldChar w:fldCharType="begin"/>
      </w:r>
      <w:r w:rsidR="00FC2687">
        <w:rPr>
          <w:rStyle w:val="Emphasis"/>
          <w:iCs w:val="0"/>
        </w:rPr>
        <w:instrText xml:space="preserve"> SEQ Attēls \* ARABIC \s 1 </w:instrText>
      </w:r>
      <w:r w:rsidR="00FC2687">
        <w:rPr>
          <w:rStyle w:val="Emphasis"/>
          <w:iCs w:val="0"/>
        </w:rPr>
        <w:fldChar w:fldCharType="separate"/>
      </w:r>
      <w:r w:rsidR="00FC2687">
        <w:rPr>
          <w:rStyle w:val="Emphasis"/>
          <w:iCs w:val="0"/>
          <w:noProof/>
        </w:rPr>
        <w:t>5</w:t>
      </w:r>
      <w:r w:rsidR="00FC2687">
        <w:rPr>
          <w:rStyle w:val="Emphasis"/>
          <w:iCs w:val="0"/>
        </w:rPr>
        <w:fldChar w:fldCharType="end"/>
      </w:r>
      <w:bookmarkEnd w:id="20"/>
      <w:r w:rsidRPr="00DB426E">
        <w:rPr>
          <w:rStyle w:val="Emphasis"/>
          <w:iCs w:val="0"/>
        </w:rPr>
        <w:t>. Zinātniski pētniecisko darbu finansēšanas principa shēma</w:t>
      </w:r>
    </w:p>
    <w:p w:rsidR="006D3AB5" w:rsidRPr="00DB426E" w:rsidRDefault="006C3F27" w:rsidP="006D3AB5">
      <w:pPr>
        <w:rPr>
          <w:rFonts w:eastAsia="Times New Roman"/>
          <w:color w:val="000000"/>
          <w:lang w:eastAsia="lv-LV"/>
        </w:rPr>
      </w:pPr>
      <w:r>
        <w:rPr>
          <w:rFonts w:eastAsia="Times New Roman"/>
          <w:noProof/>
          <w:color w:val="000000"/>
          <w:lang w:eastAsia="lv-LV"/>
        </w:rPr>
        <w:drawing>
          <wp:inline distT="0" distB="0" distL="0" distR="0" wp14:anchorId="33DE77E9" wp14:editId="78AB03D4">
            <wp:extent cx="5334000" cy="144272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334000" cy="1442720"/>
                    </a:xfrm>
                    <a:prstGeom prst="rect">
                      <a:avLst/>
                    </a:prstGeom>
                    <a:noFill/>
                    <a:ln w="9525">
                      <a:noFill/>
                      <a:miter lim="800000"/>
                      <a:headEnd/>
                      <a:tailEnd/>
                    </a:ln>
                  </pic:spPr>
                </pic:pic>
              </a:graphicData>
            </a:graphic>
          </wp:inline>
        </w:drawing>
      </w:r>
    </w:p>
    <w:p w:rsidR="006D3AB5" w:rsidRPr="00DB426E" w:rsidRDefault="006D3AB5" w:rsidP="00475128">
      <w:pPr>
        <w:pStyle w:val="Heading3"/>
        <w:numPr>
          <w:ilvl w:val="2"/>
          <w:numId w:val="4"/>
        </w:numPr>
        <w:rPr>
          <w:lang w:eastAsia="lv-LV"/>
        </w:rPr>
      </w:pPr>
      <w:bookmarkStart w:id="21" w:name="_Toc355007910"/>
      <w:bookmarkStart w:id="22" w:name="_Toc355008073"/>
      <w:bookmarkStart w:id="23" w:name="_Toc356472820"/>
      <w:bookmarkStart w:id="24" w:name="_Toc358978683"/>
      <w:r w:rsidRPr="00DB426E">
        <w:rPr>
          <w:lang w:eastAsia="lv-LV"/>
        </w:rPr>
        <w:t>Finansējuma avoti zinātniski pētnieciskajam darbam</w:t>
      </w:r>
      <w:bookmarkEnd w:id="21"/>
      <w:bookmarkEnd w:id="22"/>
      <w:bookmarkEnd w:id="23"/>
      <w:bookmarkEnd w:id="24"/>
    </w:p>
    <w:p w:rsidR="006D3AB5" w:rsidRPr="00DB426E" w:rsidRDefault="006D3AB5" w:rsidP="006D3AB5">
      <w:pPr>
        <w:rPr>
          <w:rFonts w:eastAsia="Times New Roman"/>
          <w:color w:val="000000"/>
          <w:lang w:eastAsia="lv-LV"/>
        </w:rPr>
      </w:pPr>
      <w:r w:rsidRPr="00DB426E">
        <w:rPr>
          <w:rFonts w:eastAsia="Times New Roman"/>
          <w:color w:val="000000"/>
          <w:lang w:eastAsia="lv-LV"/>
        </w:rPr>
        <w:t>Ņemot vērā kopējos izdevumus zinātniski pētnieciskajam darbam 2011.gadā, Eiropas valstu vidū līderis ir Skandināvijas valstis – Somija, Zviedrija, Dānija (ZP finansējums pārsniedz 3% no IKP), kam seko Vācija un Austrija. Šo valstu rādītāji pārsniedz 2.5% no IKP (</w:t>
      </w:r>
      <w:r w:rsidR="00893B8C" w:rsidRPr="00DB426E">
        <w:rPr>
          <w:rFonts w:eastAsia="Times New Roman"/>
          <w:color w:val="000000"/>
          <w:lang w:eastAsia="lv-LV"/>
        </w:rPr>
        <w:fldChar w:fldCharType="begin"/>
      </w:r>
      <w:r w:rsidRPr="00DB426E">
        <w:rPr>
          <w:rFonts w:eastAsia="Times New Roman"/>
          <w:color w:val="000000"/>
          <w:lang w:eastAsia="lv-LV"/>
        </w:rPr>
        <w:instrText xml:space="preserve"> REF _Ref351642560 \h </w:instrText>
      </w:r>
      <w:r w:rsidR="00893B8C" w:rsidRPr="00DB426E">
        <w:rPr>
          <w:rFonts w:eastAsia="Times New Roman"/>
          <w:color w:val="000000"/>
          <w:lang w:eastAsia="lv-LV"/>
        </w:rPr>
      </w:r>
      <w:r w:rsidR="00893B8C" w:rsidRPr="00DB426E">
        <w:rPr>
          <w:rFonts w:eastAsia="Times New Roman"/>
          <w:color w:val="000000"/>
          <w:lang w:eastAsia="lv-LV"/>
        </w:rPr>
        <w:fldChar w:fldCharType="separate"/>
      </w:r>
      <w:r w:rsidR="00BA3CB7" w:rsidRPr="00DB426E">
        <w:t xml:space="preserve">Attēls </w:t>
      </w:r>
      <w:r w:rsidR="00BA3CB7">
        <w:rPr>
          <w:noProof/>
        </w:rPr>
        <w:t>1</w:t>
      </w:r>
      <w:r w:rsidR="00BA3CB7" w:rsidRPr="00DB426E">
        <w:noBreakHyphen/>
      </w:r>
      <w:r w:rsidR="00BA3CB7">
        <w:rPr>
          <w:noProof/>
        </w:rPr>
        <w:t>6</w:t>
      </w:r>
      <w:r w:rsidR="00893B8C" w:rsidRPr="00DB426E">
        <w:rPr>
          <w:rFonts w:eastAsia="Times New Roman"/>
          <w:color w:val="000000"/>
          <w:lang w:eastAsia="lv-LV"/>
        </w:rPr>
        <w:fldChar w:fldCharType="end"/>
      </w:r>
      <w:r w:rsidRPr="00DB426E">
        <w:rPr>
          <w:rFonts w:eastAsia="Times New Roman"/>
          <w:color w:val="000000"/>
          <w:lang w:eastAsia="lv-LV"/>
        </w:rPr>
        <w:t>).</w:t>
      </w:r>
    </w:p>
    <w:p w:rsidR="006D3AB5" w:rsidRPr="00DB426E" w:rsidRDefault="006D3AB5" w:rsidP="006D3AB5">
      <w:pPr>
        <w:rPr>
          <w:rFonts w:eastAsia="Times New Roman"/>
          <w:color w:val="000000"/>
          <w:lang w:eastAsia="lv-LV"/>
        </w:rPr>
      </w:pPr>
      <w:r w:rsidRPr="00DB426E">
        <w:rPr>
          <w:rFonts w:eastAsia="Times New Roman"/>
          <w:color w:val="000000"/>
          <w:lang w:eastAsia="lv-LV"/>
        </w:rPr>
        <w:t>Valstu grupā ar vidēju izdevumu līmeni zinātnei (1.5% - 2.5% no IKP) ietilpst 9 valstis, starp kurām augstu pozīciju ieņem Igaunija (2.38%).</w:t>
      </w:r>
    </w:p>
    <w:p w:rsidR="006D3AB5" w:rsidRPr="00DB426E" w:rsidRDefault="006D3AB5" w:rsidP="006D3AB5">
      <w:pPr>
        <w:rPr>
          <w:rFonts w:eastAsia="Times New Roman"/>
          <w:color w:val="000000"/>
          <w:lang w:eastAsia="lv-LV"/>
        </w:rPr>
      </w:pPr>
      <w:r w:rsidRPr="00DB426E">
        <w:rPr>
          <w:rFonts w:eastAsia="Times New Roman"/>
          <w:color w:val="000000"/>
          <w:lang w:eastAsia="lv-LV"/>
        </w:rPr>
        <w:t>Latvija pieder pie valstīm ar salīdzinoši zemu finansējuma līmeni zinātniskajiem pētījumiem (0.7% no IKP) un ir vienīgā Eiropas valsts, kurā vairāk kā puse (51%) līdzekļu nāk no ārvalstīm (</w:t>
      </w:r>
      <w:r w:rsidR="00893B8C" w:rsidRPr="00DB426E">
        <w:rPr>
          <w:rFonts w:eastAsia="Times New Roman"/>
          <w:color w:val="000000"/>
          <w:lang w:eastAsia="lv-LV"/>
        </w:rPr>
        <w:fldChar w:fldCharType="begin"/>
      </w:r>
      <w:r w:rsidRPr="00DB426E">
        <w:rPr>
          <w:rFonts w:eastAsia="Times New Roman"/>
          <w:color w:val="000000"/>
          <w:lang w:eastAsia="lv-LV"/>
        </w:rPr>
        <w:instrText xml:space="preserve"> REF _Ref351710309 \h </w:instrText>
      </w:r>
      <w:r w:rsidR="00893B8C" w:rsidRPr="00DB426E">
        <w:rPr>
          <w:rFonts w:eastAsia="Times New Roman"/>
          <w:color w:val="000000"/>
          <w:lang w:eastAsia="lv-LV"/>
        </w:rPr>
      </w:r>
      <w:r w:rsidR="00893B8C" w:rsidRPr="00DB426E">
        <w:rPr>
          <w:rFonts w:eastAsia="Times New Roman"/>
          <w:color w:val="000000"/>
          <w:lang w:eastAsia="lv-LV"/>
        </w:rPr>
        <w:fldChar w:fldCharType="separate"/>
      </w:r>
      <w:r w:rsidR="00BA3CB7" w:rsidRPr="00DB426E">
        <w:t xml:space="preserve">Attēls </w:t>
      </w:r>
      <w:r w:rsidR="00BA3CB7">
        <w:rPr>
          <w:noProof/>
        </w:rPr>
        <w:t>1</w:t>
      </w:r>
      <w:r w:rsidR="00BA3CB7" w:rsidRPr="00DB426E">
        <w:noBreakHyphen/>
      </w:r>
      <w:r w:rsidR="00BA3CB7">
        <w:rPr>
          <w:noProof/>
        </w:rPr>
        <w:t>7</w:t>
      </w:r>
      <w:r w:rsidR="00893B8C" w:rsidRPr="00DB426E">
        <w:rPr>
          <w:rFonts w:eastAsia="Times New Roman"/>
          <w:color w:val="000000"/>
          <w:lang w:eastAsia="lv-LV"/>
        </w:rPr>
        <w:fldChar w:fldCharType="end"/>
      </w:r>
      <w:r w:rsidRPr="00DB426E">
        <w:rPr>
          <w:rFonts w:eastAsia="Times New Roman"/>
          <w:color w:val="000000"/>
          <w:lang w:eastAsia="lv-LV"/>
        </w:rPr>
        <w:t>). Zinātnisko pētījumu finansēšanas struktūras analīze Eiropā liecina par privātā kapitāla pārsvaru, īpaši šī attiecība ir raksturīga valstīm - inovāciju līderēm (</w:t>
      </w:r>
      <w:r w:rsidR="00893B8C" w:rsidRPr="00DB426E">
        <w:rPr>
          <w:rFonts w:eastAsia="Times New Roman"/>
          <w:color w:val="000000"/>
          <w:lang w:eastAsia="lv-LV"/>
        </w:rPr>
        <w:fldChar w:fldCharType="begin"/>
      </w:r>
      <w:r w:rsidRPr="00DB426E">
        <w:rPr>
          <w:rFonts w:eastAsia="Times New Roman"/>
          <w:color w:val="000000"/>
          <w:lang w:eastAsia="lv-LV"/>
        </w:rPr>
        <w:instrText xml:space="preserve"> REF _Ref352843655 \h </w:instrText>
      </w:r>
      <w:r w:rsidR="00893B8C" w:rsidRPr="00DB426E">
        <w:rPr>
          <w:rFonts w:eastAsia="Times New Roman"/>
          <w:color w:val="000000"/>
          <w:lang w:eastAsia="lv-LV"/>
        </w:rPr>
      </w:r>
      <w:r w:rsidR="00893B8C" w:rsidRPr="00DB426E">
        <w:rPr>
          <w:rFonts w:eastAsia="Times New Roman"/>
          <w:color w:val="000000"/>
          <w:lang w:eastAsia="lv-LV"/>
        </w:rPr>
        <w:fldChar w:fldCharType="separate"/>
      </w:r>
      <w:r w:rsidR="00BA3CB7" w:rsidRPr="00DB426E">
        <w:t xml:space="preserve">Attēls </w:t>
      </w:r>
      <w:r w:rsidR="00BA3CB7">
        <w:rPr>
          <w:noProof/>
        </w:rPr>
        <w:t>1</w:t>
      </w:r>
      <w:r w:rsidR="00BA3CB7" w:rsidRPr="00DB426E">
        <w:noBreakHyphen/>
      </w:r>
      <w:r w:rsidR="00BA3CB7">
        <w:rPr>
          <w:noProof/>
        </w:rPr>
        <w:t>8</w:t>
      </w:r>
      <w:r w:rsidR="00893B8C" w:rsidRPr="00DB426E">
        <w:rPr>
          <w:rFonts w:eastAsia="Times New Roman"/>
          <w:color w:val="000000"/>
          <w:lang w:eastAsia="lv-LV"/>
        </w:rPr>
        <w:fldChar w:fldCharType="end"/>
      </w:r>
      <w:r w:rsidRPr="00DB426E">
        <w:rPr>
          <w:rFonts w:eastAsia="Times New Roman"/>
          <w:color w:val="000000"/>
          <w:lang w:eastAsia="lv-LV"/>
        </w:rPr>
        <w:t>), pie kurām pieskaitāma Zviedrija, Dānija, Vācija un Somija.</w:t>
      </w:r>
    </w:p>
    <w:p w:rsidR="006D3AB5" w:rsidRPr="00DB426E" w:rsidRDefault="006D3AB5" w:rsidP="006D3AB5">
      <w:pPr>
        <w:rPr>
          <w:rFonts w:eastAsia="Times New Roman"/>
          <w:color w:val="000000"/>
          <w:lang w:eastAsia="lv-LV"/>
        </w:rPr>
      </w:pPr>
      <w:r w:rsidRPr="00DB426E">
        <w:rPr>
          <w:rFonts w:eastAsia="Times New Roman"/>
          <w:color w:val="000000"/>
          <w:lang w:eastAsia="lv-LV"/>
        </w:rPr>
        <w:t>Eiropas Komisijas uzdevumā veiktais pētījums</w:t>
      </w:r>
      <w:r w:rsidRPr="00DB426E">
        <w:t xml:space="preserve"> </w:t>
      </w:r>
      <w:r w:rsidRPr="00DB426E">
        <w:rPr>
          <w:rFonts w:eastAsia="Times New Roman"/>
          <w:color w:val="000000"/>
          <w:lang w:eastAsia="lv-LV"/>
        </w:rPr>
        <w:t>Inovācijas savienības rezultātu pārskats, 2011.gads (“</w:t>
      </w:r>
      <w:proofErr w:type="spellStart"/>
      <w:r w:rsidRPr="00DB426E">
        <w:rPr>
          <w:rFonts w:eastAsia="Times New Roman"/>
          <w:color w:val="000000"/>
          <w:lang w:eastAsia="lv-LV"/>
        </w:rPr>
        <w:t>Innovation</w:t>
      </w:r>
      <w:proofErr w:type="spellEnd"/>
      <w:r w:rsidRPr="00DB426E">
        <w:rPr>
          <w:rFonts w:eastAsia="Times New Roman"/>
          <w:color w:val="000000"/>
          <w:lang w:eastAsia="lv-LV"/>
        </w:rPr>
        <w:t xml:space="preserve"> </w:t>
      </w:r>
      <w:proofErr w:type="spellStart"/>
      <w:r w:rsidRPr="00DB426E">
        <w:rPr>
          <w:rFonts w:eastAsia="Times New Roman"/>
          <w:color w:val="000000"/>
          <w:lang w:eastAsia="lv-LV"/>
        </w:rPr>
        <w:t>Union</w:t>
      </w:r>
      <w:proofErr w:type="spellEnd"/>
      <w:r w:rsidRPr="00DB426E">
        <w:rPr>
          <w:rFonts w:eastAsia="Times New Roman"/>
          <w:color w:val="000000"/>
          <w:lang w:eastAsia="lv-LV"/>
        </w:rPr>
        <w:t xml:space="preserve"> </w:t>
      </w:r>
      <w:proofErr w:type="spellStart"/>
      <w:r w:rsidRPr="00DB426E">
        <w:rPr>
          <w:rFonts w:eastAsia="Times New Roman"/>
          <w:color w:val="000000"/>
          <w:lang w:eastAsia="lv-LV"/>
        </w:rPr>
        <w:t>Scoreboard</w:t>
      </w:r>
      <w:proofErr w:type="spellEnd"/>
      <w:r w:rsidRPr="00DB426E">
        <w:rPr>
          <w:rFonts w:eastAsia="Times New Roman"/>
          <w:color w:val="000000"/>
          <w:lang w:eastAsia="lv-LV"/>
        </w:rPr>
        <w:t xml:space="preserve"> 2011”) ļauj sarindot 27 Eiropas Savienības dalībvalstis pēc inovācijas līmeņa un iedalīt tās četrās grupās: pieticīgie novatori, mērenie novatori, inovācijas sekotāji un inovācijas līderi.</w:t>
      </w:r>
    </w:p>
    <w:p w:rsidR="006D3AB5" w:rsidRPr="00DB426E" w:rsidRDefault="006D3AB5" w:rsidP="006D3AB5">
      <w:pPr>
        <w:rPr>
          <w:rFonts w:eastAsia="Times New Roman"/>
          <w:color w:val="000000"/>
          <w:lang w:eastAsia="lv-LV"/>
        </w:rPr>
      </w:pPr>
    </w:p>
    <w:p w:rsidR="006D3AB5" w:rsidRPr="00DB426E" w:rsidRDefault="006D3AB5" w:rsidP="006D3AB5">
      <w:pPr>
        <w:rPr>
          <w:rFonts w:eastAsia="Times New Roman"/>
          <w:color w:val="000000"/>
          <w:lang w:eastAsia="lv-LV"/>
        </w:rPr>
      </w:pPr>
    </w:p>
    <w:p w:rsidR="006D3AB5" w:rsidRPr="00DB426E" w:rsidRDefault="006D3AB5" w:rsidP="006D3AB5">
      <w:pPr>
        <w:rPr>
          <w:rFonts w:eastAsia="Times New Roman"/>
          <w:color w:val="000000"/>
          <w:lang w:eastAsia="lv-LV"/>
        </w:rPr>
      </w:pPr>
    </w:p>
    <w:tbl>
      <w:tblPr>
        <w:tblW w:w="9613" w:type="dxa"/>
        <w:tblLook w:val="04A0" w:firstRow="1" w:lastRow="0" w:firstColumn="1" w:lastColumn="0" w:noHBand="0" w:noVBand="1"/>
      </w:tblPr>
      <w:tblGrid>
        <w:gridCol w:w="5016"/>
        <w:gridCol w:w="4656"/>
      </w:tblGrid>
      <w:tr w:rsidR="006D3AB5" w:rsidRPr="00DB426E" w:rsidTr="006D3AB5">
        <w:tc>
          <w:tcPr>
            <w:tcW w:w="4984" w:type="dxa"/>
            <w:shd w:val="clear" w:color="auto" w:fill="auto"/>
          </w:tcPr>
          <w:p w:rsidR="006D3AB5" w:rsidRPr="00DB426E" w:rsidRDefault="006D3AB5" w:rsidP="006D3AB5">
            <w:pPr>
              <w:pStyle w:val="Caption"/>
            </w:pPr>
            <w:bookmarkStart w:id="25" w:name="_Ref351642560"/>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6</w:t>
            </w:r>
            <w:r w:rsidR="009B0188">
              <w:rPr>
                <w:noProof/>
              </w:rPr>
              <w:fldChar w:fldCharType="end"/>
            </w:r>
            <w:bookmarkEnd w:id="25"/>
            <w:r w:rsidRPr="00DB426E">
              <w:t xml:space="preserve">. Zinātniski pētniecisko darbu finansējums (% no IKP), 2011.g. </w:t>
            </w:r>
          </w:p>
        </w:tc>
        <w:tc>
          <w:tcPr>
            <w:tcW w:w="4629" w:type="dxa"/>
            <w:shd w:val="clear" w:color="auto" w:fill="auto"/>
          </w:tcPr>
          <w:p w:rsidR="006D3AB5" w:rsidRPr="00DB426E" w:rsidRDefault="006D3AB5" w:rsidP="006D3AB5">
            <w:pPr>
              <w:pStyle w:val="Caption"/>
              <w:rPr>
                <w:rFonts w:eastAsia="Times New Roman"/>
                <w:color w:val="000000"/>
                <w:lang w:eastAsia="lv-LV"/>
              </w:rPr>
            </w:pPr>
            <w:bookmarkStart w:id="26" w:name="_Ref351710309"/>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7</w:t>
            </w:r>
            <w:r w:rsidR="009B0188">
              <w:rPr>
                <w:noProof/>
              </w:rPr>
              <w:fldChar w:fldCharType="end"/>
            </w:r>
            <w:bookmarkEnd w:id="26"/>
            <w:r w:rsidRPr="00DB426E">
              <w:t>. Zinātniski pētniecisko darbu finansējuma struktūra, 2011.g.</w:t>
            </w:r>
            <w:r w:rsidRPr="00DB426E">
              <w:rPr>
                <w:i w:val="0"/>
              </w:rPr>
              <w:t xml:space="preserve"> </w:t>
            </w:r>
          </w:p>
        </w:tc>
      </w:tr>
      <w:tr w:rsidR="006D3AB5" w:rsidRPr="00DB426E" w:rsidTr="006D3AB5">
        <w:tc>
          <w:tcPr>
            <w:tcW w:w="4984" w:type="dxa"/>
            <w:shd w:val="clear" w:color="auto" w:fill="auto"/>
          </w:tcPr>
          <w:p w:rsidR="006D3AB5" w:rsidRPr="00DB426E" w:rsidRDefault="006C3F27" w:rsidP="006D3AB5">
            <w:pPr>
              <w:rPr>
                <w:rFonts w:eastAsia="Times New Roman"/>
                <w:color w:val="000000"/>
                <w:lang w:eastAsia="lv-LV"/>
              </w:rPr>
            </w:pPr>
            <w:r>
              <w:rPr>
                <w:rFonts w:eastAsia="Times New Roman"/>
                <w:noProof/>
                <w:color w:val="000000"/>
                <w:lang w:eastAsia="lv-LV"/>
              </w:rPr>
              <w:drawing>
                <wp:inline distT="0" distB="0" distL="0" distR="0" wp14:anchorId="53BEC238" wp14:editId="582DAEE4">
                  <wp:extent cx="3027680" cy="4460240"/>
                  <wp:effectExtent l="1905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3027680" cy="4460240"/>
                          </a:xfrm>
                          <a:prstGeom prst="rect">
                            <a:avLst/>
                          </a:prstGeom>
                          <a:noFill/>
                          <a:ln w="9525">
                            <a:noFill/>
                            <a:miter lim="800000"/>
                            <a:headEnd/>
                            <a:tailEnd/>
                          </a:ln>
                        </pic:spPr>
                      </pic:pic>
                    </a:graphicData>
                  </a:graphic>
                </wp:inline>
              </w:drawing>
            </w:r>
          </w:p>
          <w:p w:rsidR="006D3AB5" w:rsidRPr="00DB426E" w:rsidRDefault="006D3AB5" w:rsidP="006D3AB5">
            <w:pPr>
              <w:rPr>
                <w:rFonts w:eastAsia="Times New Roman"/>
                <w:color w:val="000000"/>
                <w:lang w:eastAsia="lv-LV"/>
              </w:rPr>
            </w:pPr>
            <w:r w:rsidRPr="00DB426E">
              <w:rPr>
                <w:i/>
              </w:rPr>
              <w:t>Avots: Eurostat</w:t>
            </w:r>
          </w:p>
        </w:tc>
        <w:tc>
          <w:tcPr>
            <w:tcW w:w="4629" w:type="dxa"/>
            <w:shd w:val="clear" w:color="auto" w:fill="auto"/>
          </w:tcPr>
          <w:p w:rsidR="006D3AB5" w:rsidRPr="00DB426E" w:rsidRDefault="006C3F27" w:rsidP="006D3AB5">
            <w:pPr>
              <w:rPr>
                <w:rFonts w:eastAsia="Times New Roman"/>
                <w:color w:val="000000"/>
                <w:lang w:eastAsia="lv-LV"/>
              </w:rPr>
            </w:pPr>
            <w:r>
              <w:rPr>
                <w:rFonts w:eastAsia="Times New Roman"/>
                <w:noProof/>
                <w:color w:val="000000"/>
                <w:lang w:eastAsia="lv-LV"/>
              </w:rPr>
              <w:drawing>
                <wp:inline distT="0" distB="0" distL="0" distR="0" wp14:anchorId="6B9B44C8" wp14:editId="3EAA9256">
                  <wp:extent cx="2794000" cy="4460240"/>
                  <wp:effectExtent l="1905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2794000" cy="4460240"/>
                          </a:xfrm>
                          <a:prstGeom prst="rect">
                            <a:avLst/>
                          </a:prstGeom>
                          <a:noFill/>
                          <a:ln w="9525">
                            <a:noFill/>
                            <a:miter lim="800000"/>
                            <a:headEnd/>
                            <a:tailEnd/>
                          </a:ln>
                        </pic:spPr>
                      </pic:pic>
                    </a:graphicData>
                  </a:graphic>
                </wp:inline>
              </w:drawing>
            </w:r>
          </w:p>
          <w:p w:rsidR="006D3AB5" w:rsidRPr="00DB426E" w:rsidRDefault="006D3AB5" w:rsidP="006D3AB5">
            <w:pPr>
              <w:rPr>
                <w:rFonts w:eastAsia="Times New Roman"/>
                <w:color w:val="000000"/>
                <w:lang w:eastAsia="lv-LV"/>
              </w:rPr>
            </w:pPr>
            <w:r w:rsidRPr="00DB426E">
              <w:rPr>
                <w:i/>
              </w:rPr>
              <w:t>Avots: Eurostat</w:t>
            </w:r>
          </w:p>
        </w:tc>
      </w:tr>
    </w:tbl>
    <w:p w:rsidR="006D3AB5" w:rsidRPr="00DB426E" w:rsidRDefault="006D3AB5" w:rsidP="006D3AB5">
      <w:pPr>
        <w:pStyle w:val="Caption"/>
        <w:rPr>
          <w:b w:val="0"/>
          <w:i w:val="0"/>
        </w:rPr>
      </w:pPr>
      <w:bookmarkStart w:id="27" w:name="_Ref352843655"/>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8</w:t>
      </w:r>
      <w:r w:rsidR="009B0188">
        <w:rPr>
          <w:noProof/>
        </w:rPr>
        <w:fldChar w:fldCharType="end"/>
      </w:r>
      <w:bookmarkEnd w:id="27"/>
      <w:r w:rsidRPr="00DB426E">
        <w:t>. ES dalībvalstu inovācijas līmenis 2010.g.</w:t>
      </w:r>
      <w:r w:rsidRPr="00DB426E">
        <w:rPr>
          <w:b w:val="0"/>
          <w:i w:val="0"/>
        </w:rPr>
        <w:t xml:space="preserve"> </w:t>
      </w:r>
    </w:p>
    <w:p w:rsidR="006D3AB5" w:rsidRPr="00DB426E" w:rsidRDefault="006C3F27" w:rsidP="006D3AB5">
      <w:r>
        <w:rPr>
          <w:noProof/>
          <w:lang w:eastAsia="lv-LV"/>
        </w:rPr>
        <w:drawing>
          <wp:inline distT="0" distB="0" distL="0" distR="0" wp14:anchorId="30BCB374" wp14:editId="523D242F">
            <wp:extent cx="5139698" cy="2173968"/>
            <wp:effectExtent l="5711" t="5503" r="5711" b="4929"/>
            <wp:docPr id="10" name="Pictur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D3AB5" w:rsidRPr="00DB426E" w:rsidRDefault="006D3AB5" w:rsidP="006D3AB5">
      <w:pPr>
        <w:rPr>
          <w:b/>
        </w:rPr>
      </w:pPr>
      <w:r w:rsidRPr="00DB426E">
        <w:rPr>
          <w:i/>
        </w:rPr>
        <w:t>Avots: Eiropas Komisija</w:t>
      </w:r>
    </w:p>
    <w:p w:rsidR="006D3AB5" w:rsidRPr="00DB426E" w:rsidRDefault="006D3AB5" w:rsidP="00475128">
      <w:pPr>
        <w:pStyle w:val="Heading3"/>
        <w:numPr>
          <w:ilvl w:val="2"/>
          <w:numId w:val="4"/>
        </w:numPr>
      </w:pPr>
      <w:bookmarkStart w:id="28" w:name="_Toc355007911"/>
      <w:bookmarkStart w:id="29" w:name="_Toc355008074"/>
      <w:bookmarkStart w:id="30" w:name="_Toc356472821"/>
      <w:bookmarkStart w:id="31" w:name="_Toc358978684"/>
      <w:r w:rsidRPr="00DB426E">
        <w:t>Zinātniski pētniecisko darbu veikšanas sektori</w:t>
      </w:r>
      <w:bookmarkEnd w:id="28"/>
      <w:bookmarkEnd w:id="29"/>
      <w:bookmarkEnd w:id="30"/>
      <w:bookmarkEnd w:id="31"/>
    </w:p>
    <w:p w:rsidR="006D3AB5" w:rsidRPr="00DB426E" w:rsidRDefault="006D3AB5" w:rsidP="006D3AB5">
      <w:r w:rsidRPr="00DB426E">
        <w:t xml:space="preserve">Lielākajā daļā Eiropas valstu vairāk nekā puse finanšu resursu, kas atvēlēti zinātniskiem pētījumiem, tiek izmantoti uzņēmējdarbības sektorā. Tas nosaka augstu zinātnisko izstrāžu atdevi, to operatīvu ieviešanu, augstu ekonomikas konkurētspēju. </w:t>
      </w:r>
    </w:p>
    <w:p w:rsidR="006D3AB5" w:rsidRPr="00DB426E" w:rsidRDefault="006D3AB5" w:rsidP="006D3AB5">
      <w:r w:rsidRPr="00DB426E">
        <w:t>Principiāli atšķiras finansējuma sadale Kiprā, Latvijā un Lietuvā. Šajās valstīs akcents likts uz augstāko izglītību (</w:t>
      </w:r>
      <w:r w:rsidR="00893B8C" w:rsidRPr="00DB426E">
        <w:fldChar w:fldCharType="begin"/>
      </w:r>
      <w:r w:rsidRPr="00DB426E">
        <w:instrText xml:space="preserve"> REF _Ref352932813 \h </w:instrText>
      </w:r>
      <w:r w:rsidR="00893B8C" w:rsidRPr="00DB426E">
        <w:fldChar w:fldCharType="separate"/>
      </w:r>
      <w:r w:rsidR="00BA3CB7" w:rsidRPr="00DB426E">
        <w:t xml:space="preserve">Attēls </w:t>
      </w:r>
      <w:r w:rsidR="00BA3CB7">
        <w:rPr>
          <w:noProof/>
        </w:rPr>
        <w:t>1</w:t>
      </w:r>
      <w:r w:rsidR="00BA3CB7" w:rsidRPr="00DB426E">
        <w:noBreakHyphen/>
      </w:r>
      <w:r w:rsidR="00BA3CB7">
        <w:rPr>
          <w:noProof/>
        </w:rPr>
        <w:t>9</w:t>
      </w:r>
      <w:r w:rsidR="00893B8C" w:rsidRPr="00DB426E">
        <w:fldChar w:fldCharType="end"/>
      </w:r>
      <w:r w:rsidRPr="00DB426E">
        <w:t>). Polijā finanšu resursi ir vienmērīgi sadalīti starp privāto uzņēmējdarbību, valsts institūcijām un augstāko izglītību.</w:t>
      </w:r>
    </w:p>
    <w:p w:rsidR="006D3AB5" w:rsidRPr="00DB426E" w:rsidRDefault="006D3AB5" w:rsidP="006D3AB5">
      <w:pPr>
        <w:pStyle w:val="Caption"/>
      </w:pPr>
      <w:bookmarkStart w:id="32" w:name="_Ref352932813"/>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9</w:t>
      </w:r>
      <w:r w:rsidR="009B0188">
        <w:rPr>
          <w:noProof/>
        </w:rPr>
        <w:fldChar w:fldCharType="end"/>
      </w:r>
      <w:bookmarkEnd w:id="32"/>
      <w:r w:rsidRPr="00DB426E">
        <w:t>. Finanšu resursu sadale starp ZP darbu veikšanas sektoriem, 2011.g.</w:t>
      </w:r>
    </w:p>
    <w:p w:rsidR="006D3AB5" w:rsidRPr="00DB426E" w:rsidRDefault="006C3F27" w:rsidP="006D3AB5">
      <w:pPr>
        <w:jc w:val="center"/>
        <w:rPr>
          <w:lang w:eastAsia="lv-LV"/>
        </w:rPr>
      </w:pPr>
      <w:r>
        <w:rPr>
          <w:noProof/>
          <w:lang w:eastAsia="lv-LV"/>
        </w:rPr>
        <w:drawing>
          <wp:inline distT="0" distB="0" distL="0" distR="0" wp14:anchorId="0EA1FE03" wp14:editId="779A71E2">
            <wp:extent cx="4233152" cy="5718442"/>
            <wp:effectExtent l="6101" t="6089" r="7627" b="5709"/>
            <wp:docPr id="11" name="Picture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D3AB5" w:rsidRPr="00DB426E" w:rsidRDefault="006D3AB5" w:rsidP="006D3AB5">
      <w:pPr>
        <w:jc w:val="center"/>
        <w:rPr>
          <w:rFonts w:eastAsia="Times New Roman"/>
          <w:color w:val="000000"/>
          <w:lang w:eastAsia="lv-LV"/>
        </w:rPr>
      </w:pPr>
    </w:p>
    <w:p w:rsidR="006D3AB5" w:rsidRPr="00DB426E" w:rsidRDefault="006D3AB5" w:rsidP="006D3AB5">
      <w:pPr>
        <w:jc w:val="center"/>
        <w:rPr>
          <w:rFonts w:eastAsia="Times New Roman"/>
          <w:color w:val="000000"/>
          <w:lang w:eastAsia="lv-LV"/>
        </w:rPr>
      </w:pPr>
    </w:p>
    <w:p w:rsidR="006D3AB5" w:rsidRPr="00DB426E" w:rsidRDefault="006D3AB5" w:rsidP="00475128">
      <w:pPr>
        <w:pStyle w:val="Heading2"/>
        <w:numPr>
          <w:ilvl w:val="1"/>
          <w:numId w:val="4"/>
        </w:numPr>
        <w:suppressAutoHyphens w:val="0"/>
        <w:spacing w:before="240" w:after="60"/>
        <w:jc w:val="both"/>
        <w:rPr>
          <w:lang w:eastAsia="lv-LV"/>
        </w:rPr>
      </w:pPr>
      <w:bookmarkStart w:id="33" w:name="_Toc355007912"/>
      <w:bookmarkStart w:id="34" w:name="_Toc355008075"/>
      <w:bookmarkStart w:id="35" w:name="_Toc356472822"/>
      <w:bookmarkStart w:id="36" w:name="_Toc358978685"/>
      <w:r w:rsidRPr="00DB426E">
        <w:rPr>
          <w:lang w:eastAsia="lv-LV"/>
        </w:rPr>
        <w:t>Zinātniski pētniecisko darbu finansēšana Latvijā</w:t>
      </w:r>
      <w:bookmarkEnd w:id="33"/>
      <w:bookmarkEnd w:id="34"/>
      <w:bookmarkEnd w:id="35"/>
      <w:bookmarkEnd w:id="36"/>
    </w:p>
    <w:p w:rsidR="006D3AB5" w:rsidRPr="00DB426E" w:rsidRDefault="006D3AB5" w:rsidP="006D3AB5">
      <w:pPr>
        <w:rPr>
          <w:lang w:eastAsia="lv-LV"/>
        </w:rPr>
      </w:pPr>
      <w:r w:rsidRPr="00DB426E">
        <w:rPr>
          <w:lang w:eastAsia="lv-LV"/>
        </w:rPr>
        <w:t>Latvijā pēc iestāšanās Eiropas Savienībā un līdz finanšu krīzei veidojās zinātnisko pētījumu izdevumu pieauguma tendence, kura atjaunojas pēc krasā kritiena 2009.gadā. Šajā periodā ir notikušas būtiskas finansējuma avotu struktūras izmaiņas (</w:t>
      </w:r>
      <w:r w:rsidR="00893B8C" w:rsidRPr="00DB426E">
        <w:rPr>
          <w:lang w:eastAsia="lv-LV"/>
        </w:rPr>
        <w:fldChar w:fldCharType="begin"/>
      </w:r>
      <w:r w:rsidRPr="00DB426E">
        <w:rPr>
          <w:lang w:eastAsia="lv-LV"/>
        </w:rPr>
        <w:instrText xml:space="preserve"> REF _Ref352941465 \h </w:instrText>
      </w:r>
      <w:r w:rsidR="00893B8C" w:rsidRPr="00DB426E">
        <w:rPr>
          <w:lang w:eastAsia="lv-LV"/>
        </w:rPr>
      </w:r>
      <w:r w:rsidR="00893B8C" w:rsidRPr="00DB426E">
        <w:rPr>
          <w:lang w:eastAsia="lv-LV"/>
        </w:rPr>
        <w:fldChar w:fldCharType="separate"/>
      </w:r>
      <w:r w:rsidR="00BA3CB7" w:rsidRPr="00DB426E">
        <w:t xml:space="preserve">Attēls </w:t>
      </w:r>
      <w:r w:rsidR="00BA3CB7">
        <w:rPr>
          <w:noProof/>
        </w:rPr>
        <w:t>1</w:t>
      </w:r>
      <w:r w:rsidR="00BA3CB7" w:rsidRPr="00DB426E">
        <w:noBreakHyphen/>
      </w:r>
      <w:r w:rsidR="00BA3CB7">
        <w:rPr>
          <w:noProof/>
        </w:rPr>
        <w:t>10</w:t>
      </w:r>
      <w:r w:rsidR="00893B8C" w:rsidRPr="00DB426E">
        <w:rPr>
          <w:lang w:eastAsia="lv-LV"/>
        </w:rPr>
        <w:fldChar w:fldCharType="end"/>
      </w:r>
      <w:r w:rsidRPr="00DB426E">
        <w:rPr>
          <w:lang w:eastAsia="lv-LV"/>
        </w:rPr>
        <w:t>). Pēc jaunākajiem statistikas datiem valsts finansējums veido 24% no visiem līdzekļiem, aptuveni tikpat tērē biznesa struktūras (25%) un atlikusī daļa (51%) tiek finansēta no ārvalstīm.</w:t>
      </w:r>
    </w:p>
    <w:p w:rsidR="006D3AB5" w:rsidRPr="00DB426E" w:rsidRDefault="006D3AB5" w:rsidP="006D3AB5">
      <w:pPr>
        <w:pStyle w:val="Caption"/>
        <w:rPr>
          <w:rFonts w:ascii="Verdana" w:hAnsi="Verdana"/>
          <w:lang w:eastAsia="lv-LV"/>
        </w:rPr>
      </w:pPr>
      <w:bookmarkStart w:id="37" w:name="_Ref352941465"/>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10</w:t>
      </w:r>
      <w:r w:rsidR="009B0188">
        <w:rPr>
          <w:noProof/>
        </w:rPr>
        <w:fldChar w:fldCharType="end"/>
      </w:r>
      <w:bookmarkEnd w:id="37"/>
      <w:r w:rsidRPr="00DB426E">
        <w:t>. Zinātniski pētniecisko darbu finansējuma dinamika un struktūra, 2005.-2011.g.</w:t>
      </w:r>
    </w:p>
    <w:p w:rsidR="006D3AB5" w:rsidRPr="00DB426E" w:rsidRDefault="006C3F27" w:rsidP="006D3AB5">
      <w:pPr>
        <w:jc w:val="center"/>
        <w:rPr>
          <w:lang w:eastAsia="lv-LV"/>
        </w:rPr>
      </w:pPr>
      <w:r>
        <w:rPr>
          <w:noProof/>
          <w:lang w:eastAsia="lv-LV"/>
        </w:rPr>
        <w:drawing>
          <wp:inline distT="0" distB="0" distL="0" distR="0" wp14:anchorId="7B0FDF2A" wp14:editId="2AF13609">
            <wp:extent cx="4612127" cy="2741176"/>
            <wp:effectExtent l="6099" t="6092" r="4574" b="6092"/>
            <wp:docPr id="12" name="Picture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D3AB5" w:rsidRPr="00DB426E" w:rsidRDefault="006C3F27" w:rsidP="006D3AB5">
      <w:pPr>
        <w:jc w:val="center"/>
        <w:rPr>
          <w:lang w:eastAsia="lv-LV"/>
        </w:rPr>
      </w:pPr>
      <w:r>
        <w:rPr>
          <w:noProof/>
          <w:lang w:eastAsia="lv-LV"/>
        </w:rPr>
        <w:drawing>
          <wp:inline distT="0" distB="0" distL="0" distR="0" wp14:anchorId="02B2C0C7" wp14:editId="1E9A4D0A">
            <wp:extent cx="4569974" cy="2741176"/>
            <wp:effectExtent l="6093" t="6092" r="6093" b="6092"/>
            <wp:docPr id="13" name="Pictur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D3AB5" w:rsidRPr="00DB426E" w:rsidRDefault="006D3AB5" w:rsidP="006D3AB5">
      <w:pPr>
        <w:rPr>
          <w:lang w:eastAsia="lv-LV"/>
        </w:rPr>
      </w:pPr>
      <w:r w:rsidRPr="00DB426E">
        <w:rPr>
          <w:lang w:eastAsia="lv-LV"/>
        </w:rPr>
        <w:t xml:space="preserve">Publiskie resursi sadalās starp valsts izglītības un pētniecības iestādēm. Ārvalstu investīciju ieguldījumi koncentrējas augstākajā izglītībā. Privātais sektors tradicionāli finansē zinātniskās izstrādnes uzņēmējdarbības jomā, vai tās būtu jauni produkti (pakalpojumi), vai tehnoloģiju uzlabojumi vai organizatoriski jauninājumi. </w:t>
      </w:r>
    </w:p>
    <w:p w:rsidR="006D3AB5" w:rsidRPr="00DB426E" w:rsidRDefault="006D3AB5" w:rsidP="006D3AB5">
      <w:pPr>
        <w:rPr>
          <w:lang w:eastAsia="lv-LV"/>
        </w:rPr>
      </w:pPr>
      <w:r w:rsidRPr="00DB426E">
        <w:rPr>
          <w:lang w:eastAsia="lv-LV"/>
        </w:rPr>
        <w:t xml:space="preserve">Zinātniskās izstrādnes privātajā sektorā nosaka inovāciju procesu intensitāte, kad pētījumu rezultāti rod pielietojumu reālajā ekonomikā. </w:t>
      </w:r>
    </w:p>
    <w:p w:rsidR="006D3AB5" w:rsidRPr="00DB426E" w:rsidRDefault="006D3AB5" w:rsidP="006D3AB5">
      <w:pPr>
        <w:rPr>
          <w:lang w:eastAsia="lv-LV"/>
        </w:rPr>
      </w:pPr>
      <w:r w:rsidRPr="00DB426E">
        <w:rPr>
          <w:lang w:eastAsia="lv-LV"/>
        </w:rPr>
        <w:t>Šai sakarā būtu minams Igaunijas piemērs, kura 2011.gadā investīcijās uzņēmējdarbības sektorā pārsniedza Eiropas Savienības vidējo rādītāju (</w:t>
      </w:r>
      <w:r w:rsidR="00893B8C" w:rsidRPr="00DB426E">
        <w:rPr>
          <w:lang w:eastAsia="lv-LV"/>
        </w:rPr>
        <w:fldChar w:fldCharType="begin"/>
      </w:r>
      <w:r w:rsidRPr="00DB426E">
        <w:rPr>
          <w:lang w:eastAsia="lv-LV"/>
        </w:rPr>
        <w:instrText xml:space="preserve"> REF _Ref352946129 \h </w:instrText>
      </w:r>
      <w:r w:rsidR="00893B8C" w:rsidRPr="00DB426E">
        <w:rPr>
          <w:lang w:eastAsia="lv-LV"/>
        </w:rPr>
      </w:r>
      <w:r w:rsidR="00893B8C" w:rsidRPr="00DB426E">
        <w:rPr>
          <w:lang w:eastAsia="lv-LV"/>
        </w:rPr>
        <w:fldChar w:fldCharType="separate"/>
      </w:r>
      <w:r w:rsidR="00BA3CB7" w:rsidRPr="00DB426E">
        <w:t xml:space="preserve">Attēls </w:t>
      </w:r>
      <w:r w:rsidR="00BA3CB7">
        <w:rPr>
          <w:noProof/>
        </w:rPr>
        <w:t>1</w:t>
      </w:r>
      <w:r w:rsidR="00BA3CB7" w:rsidRPr="00DB426E">
        <w:noBreakHyphen/>
      </w:r>
      <w:r w:rsidR="00BA3CB7">
        <w:rPr>
          <w:noProof/>
        </w:rPr>
        <w:t>11</w:t>
      </w:r>
      <w:r w:rsidR="00893B8C" w:rsidRPr="00DB426E">
        <w:rPr>
          <w:lang w:eastAsia="lv-LV"/>
        </w:rPr>
        <w:fldChar w:fldCharType="end"/>
      </w:r>
      <w:r w:rsidRPr="00DB426E">
        <w:rPr>
          <w:lang w:eastAsia="lv-LV"/>
        </w:rPr>
        <w:t xml:space="preserve">) un ieņēma vietu starp valstīm ar </w:t>
      </w:r>
      <w:r w:rsidRPr="00DB426E">
        <w:rPr>
          <w:i/>
          <w:lang w:eastAsia="lv-LV"/>
        </w:rPr>
        <w:t>vidēju</w:t>
      </w:r>
      <w:r w:rsidRPr="00DB426E">
        <w:rPr>
          <w:lang w:eastAsia="lv-LV"/>
        </w:rPr>
        <w:t xml:space="preserve"> inovācijas līmeni, apsteidzot 13 valstis, tai skaitā Itāliju, Čehiju, Ungāriju, Poliju (</w:t>
      </w:r>
      <w:r w:rsidR="00893B8C" w:rsidRPr="00DB426E">
        <w:rPr>
          <w:lang w:eastAsia="lv-LV"/>
        </w:rPr>
        <w:fldChar w:fldCharType="begin"/>
      </w:r>
      <w:r w:rsidRPr="00DB426E">
        <w:rPr>
          <w:lang w:eastAsia="lv-LV"/>
        </w:rPr>
        <w:instrText xml:space="preserve"> REF _Ref352843655 \h </w:instrText>
      </w:r>
      <w:r w:rsidR="00893B8C" w:rsidRPr="00DB426E">
        <w:rPr>
          <w:lang w:eastAsia="lv-LV"/>
        </w:rPr>
      </w:r>
      <w:r w:rsidR="00893B8C" w:rsidRPr="00DB426E">
        <w:rPr>
          <w:lang w:eastAsia="lv-LV"/>
        </w:rPr>
        <w:fldChar w:fldCharType="separate"/>
      </w:r>
      <w:r w:rsidR="00BA3CB7" w:rsidRPr="00DB426E">
        <w:t xml:space="preserve">Attēls </w:t>
      </w:r>
      <w:r w:rsidR="00BA3CB7">
        <w:rPr>
          <w:noProof/>
        </w:rPr>
        <w:t>1</w:t>
      </w:r>
      <w:r w:rsidR="00BA3CB7" w:rsidRPr="00DB426E">
        <w:noBreakHyphen/>
      </w:r>
      <w:r w:rsidR="00BA3CB7">
        <w:rPr>
          <w:noProof/>
        </w:rPr>
        <w:t>8</w:t>
      </w:r>
      <w:r w:rsidR="00893B8C" w:rsidRPr="00DB426E">
        <w:rPr>
          <w:lang w:eastAsia="lv-LV"/>
        </w:rPr>
        <w:fldChar w:fldCharType="end"/>
      </w:r>
      <w:r w:rsidRPr="00DB426E">
        <w:rPr>
          <w:lang w:eastAsia="lv-LV"/>
        </w:rPr>
        <w:t>).</w:t>
      </w:r>
    </w:p>
    <w:p w:rsidR="006D3AB5" w:rsidRPr="00DB426E" w:rsidRDefault="006D3AB5" w:rsidP="006D3AB5">
      <w:pPr>
        <w:pStyle w:val="Caption"/>
        <w:rPr>
          <w:lang w:eastAsia="lv-LV"/>
        </w:rPr>
      </w:pPr>
      <w:bookmarkStart w:id="38" w:name="_Ref352946129"/>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11</w:t>
      </w:r>
      <w:r w:rsidR="009B0188">
        <w:rPr>
          <w:noProof/>
        </w:rPr>
        <w:fldChar w:fldCharType="end"/>
      </w:r>
      <w:bookmarkEnd w:id="38"/>
      <w:r w:rsidRPr="00DB426E">
        <w:t>. Zinātniski pētniecisko darbu finansējums uzņēmējdarbības sektorā, 2004.-2011.g</w:t>
      </w:r>
    </w:p>
    <w:p w:rsidR="006D3AB5" w:rsidRPr="00DB426E" w:rsidRDefault="006C3F27" w:rsidP="006D3AB5">
      <w:pPr>
        <w:jc w:val="center"/>
        <w:rPr>
          <w:lang w:eastAsia="lv-LV"/>
        </w:rPr>
      </w:pPr>
      <w:r>
        <w:rPr>
          <w:noProof/>
          <w:lang w:eastAsia="lv-LV"/>
        </w:rPr>
        <w:drawing>
          <wp:inline distT="0" distB="0" distL="0" distR="0" wp14:anchorId="208A3BB3" wp14:editId="7220FBF2">
            <wp:extent cx="4569974" cy="2741176"/>
            <wp:effectExtent l="6093" t="6092" r="6093" b="6092"/>
            <wp:docPr id="14" name="Picture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D3AB5" w:rsidRPr="00DB426E" w:rsidRDefault="006D3AB5" w:rsidP="00475128">
      <w:pPr>
        <w:pStyle w:val="Heading2"/>
        <w:numPr>
          <w:ilvl w:val="1"/>
          <w:numId w:val="4"/>
        </w:numPr>
        <w:suppressAutoHyphens w:val="0"/>
        <w:spacing w:before="240" w:after="60"/>
        <w:jc w:val="both"/>
      </w:pPr>
      <w:bookmarkStart w:id="39" w:name="_Toc355007913"/>
      <w:bookmarkStart w:id="40" w:name="_Toc355008076"/>
      <w:bookmarkStart w:id="41" w:name="_Toc356472823"/>
      <w:bookmarkStart w:id="42" w:name="_Toc358978686"/>
      <w:r w:rsidRPr="00DB426E">
        <w:rPr>
          <w:lang w:eastAsia="lv-LV"/>
        </w:rPr>
        <w:t>Zinātnisko pētījumu un inovācijas</w:t>
      </w:r>
      <w:r w:rsidRPr="00DB426E">
        <w:t xml:space="preserve"> savstarpējās sakarības (kvantitatīvais aspekts)</w:t>
      </w:r>
      <w:bookmarkEnd w:id="39"/>
      <w:bookmarkEnd w:id="40"/>
      <w:bookmarkEnd w:id="41"/>
      <w:bookmarkEnd w:id="42"/>
    </w:p>
    <w:p w:rsidR="006D3AB5" w:rsidRPr="00DB426E" w:rsidRDefault="006D3AB5" w:rsidP="006D3AB5">
      <w:pPr>
        <w:rPr>
          <w:lang w:eastAsia="lv-LV"/>
        </w:rPr>
      </w:pPr>
      <w:r w:rsidRPr="00DB426E">
        <w:rPr>
          <w:lang w:eastAsia="lv-LV"/>
        </w:rPr>
        <w:t xml:space="preserve">Zinātniski-pētnieciskais darbs ietver sevī visas ar zināšanu radīšanu saistītos procesus, savukārt inovācija ir zināšanu praktiskās pielietošanas process. </w:t>
      </w:r>
    </w:p>
    <w:p w:rsidR="006D3AB5" w:rsidRPr="00DB426E" w:rsidRDefault="006D3AB5" w:rsidP="006D3AB5">
      <w:pPr>
        <w:rPr>
          <w:lang w:eastAsia="lv-LV"/>
        </w:rPr>
      </w:pPr>
      <w:r w:rsidRPr="00DB426E">
        <w:rPr>
          <w:lang w:eastAsia="lv-LV"/>
        </w:rPr>
        <w:t>Raugoties no šo procesus raksturojošo kvantitatīvo rādītāju viedokļa, zinātniski-pētniecisko darbu raksturo izglītības sistēma, darbinieku ar zinātniskajiem grādiem esamība, izdarītie atklājumi, reģistrētie patenti, ievērojamas zinātniskās publikācijas.</w:t>
      </w:r>
    </w:p>
    <w:p w:rsidR="006D3AB5" w:rsidRPr="00DB426E" w:rsidRDefault="006D3AB5" w:rsidP="006D3AB5">
      <w:pPr>
        <w:rPr>
          <w:lang w:eastAsia="lv-LV"/>
        </w:rPr>
      </w:pPr>
      <w:r w:rsidRPr="00DB426E">
        <w:rPr>
          <w:lang w:eastAsia="lv-LV"/>
        </w:rPr>
        <w:t>Lai izvērtētu inovāciju, tiek izmantoti dati par uzņēmumiem (kompānijām), kuri, pateicoties jauninājumiem, paaugstinājuši produktivitāti, atjaunojuši saražoto produkciju, palielinājuši ražošanas apjomus, ieviesuši jaunus organizatoriskos modeļus, paaugstinājuši pakalpojumu kvalitāti, samazinājuši enerģijas patēriņu, pozitīvi ietekmējuši ekoloģiju u.tml.</w:t>
      </w:r>
    </w:p>
    <w:p w:rsidR="006D3AB5" w:rsidRPr="00DB426E" w:rsidRDefault="006D3AB5" w:rsidP="006D3AB5">
      <w:pPr>
        <w:rPr>
          <w:lang w:eastAsia="lv-LV"/>
        </w:rPr>
      </w:pPr>
      <w:r w:rsidRPr="00DB426E">
        <w:rPr>
          <w:lang w:eastAsia="lv-LV"/>
        </w:rPr>
        <w:t xml:space="preserve">Lai analizētu procesu rezultativitāti, tiek izmantoti finanšu rādītāji, t.i., izdevumi zinātniskajiem pētījumiem un to ieviešanai, novatorisko uzņēmumu apgrozījums. </w:t>
      </w:r>
    </w:p>
    <w:p w:rsidR="006D3AB5" w:rsidRPr="00DB426E" w:rsidRDefault="006D3AB5" w:rsidP="006D3AB5">
      <w:pPr>
        <w:rPr>
          <w:lang w:eastAsia="lv-LV"/>
        </w:rPr>
      </w:pPr>
      <w:r w:rsidRPr="00DB426E">
        <w:rPr>
          <w:lang w:eastAsia="lv-LV"/>
        </w:rPr>
        <w:t xml:space="preserve">Atbilstoši statistikas datu par inovāciju iegūšanas metodikai, izmaksu izvērtējumam tiek izmantoti šādi rādītāji: </w:t>
      </w:r>
    </w:p>
    <w:p w:rsidR="006D3AB5" w:rsidRPr="00DB426E" w:rsidRDefault="006D3AB5" w:rsidP="00475128">
      <w:pPr>
        <w:numPr>
          <w:ilvl w:val="0"/>
          <w:numId w:val="36"/>
        </w:numPr>
        <w:spacing w:before="120" w:after="0" w:line="240" w:lineRule="auto"/>
        <w:rPr>
          <w:lang w:eastAsia="lv-LV"/>
        </w:rPr>
      </w:pPr>
      <w:r w:rsidRPr="00DB426E">
        <w:rPr>
          <w:lang w:eastAsia="lv-LV"/>
        </w:rPr>
        <w:t>kopējie izdevumi inovācij</w:t>
      </w:r>
      <w:r w:rsidR="00450F0F" w:rsidRPr="00DB426E">
        <w:rPr>
          <w:lang w:eastAsia="lv-LV"/>
        </w:rPr>
        <w:t>ām</w:t>
      </w:r>
      <w:r w:rsidRPr="00DB426E">
        <w:rPr>
          <w:lang w:eastAsia="lv-LV"/>
        </w:rPr>
        <w:t xml:space="preserve">, t.sk. </w:t>
      </w:r>
    </w:p>
    <w:p w:rsidR="006D3AB5" w:rsidRPr="00DB426E" w:rsidRDefault="006D3AB5" w:rsidP="00475128">
      <w:pPr>
        <w:numPr>
          <w:ilvl w:val="0"/>
          <w:numId w:val="36"/>
        </w:numPr>
        <w:spacing w:before="120" w:after="0" w:line="240" w:lineRule="auto"/>
        <w:rPr>
          <w:lang w:eastAsia="lv-LV"/>
        </w:rPr>
      </w:pPr>
      <w:r w:rsidRPr="00DB426E">
        <w:rPr>
          <w:lang w:eastAsia="lv-LV"/>
        </w:rPr>
        <w:t>pētniecības un attīstības darbs (P&amp;A) sadalījumā pa trim grupām - izstrādnes uzņēmumā, pasūtīšana citos uzņēmumos, ārējo zināšanu iegāde;</w:t>
      </w:r>
    </w:p>
    <w:p w:rsidR="006D3AB5" w:rsidRPr="00DB426E" w:rsidRDefault="006D3AB5" w:rsidP="00475128">
      <w:pPr>
        <w:numPr>
          <w:ilvl w:val="0"/>
          <w:numId w:val="36"/>
        </w:numPr>
        <w:spacing w:before="120" w:after="0" w:line="240" w:lineRule="auto"/>
        <w:rPr>
          <w:lang w:eastAsia="lv-LV"/>
        </w:rPr>
      </w:pPr>
      <w:r w:rsidRPr="00DB426E">
        <w:rPr>
          <w:lang w:eastAsia="lv-LV"/>
        </w:rPr>
        <w:t>mašīnu un iekārtu iegāde (izmaksas ieviešanai).</w:t>
      </w:r>
    </w:p>
    <w:p w:rsidR="006D3AB5" w:rsidRPr="00DB426E" w:rsidRDefault="006D3AB5" w:rsidP="00450F0F">
      <w:pPr>
        <w:rPr>
          <w:lang w:eastAsia="lv-LV"/>
        </w:rPr>
      </w:pPr>
      <w:r w:rsidRPr="00DB426E">
        <w:rPr>
          <w:lang w:eastAsia="lv-LV"/>
        </w:rPr>
        <w:t>Inovācijas iedalās tajās, kas tiek pielietotas ražošanas jomā un pakalpojumu jomā.</w:t>
      </w:r>
    </w:p>
    <w:p w:rsidR="006D3AB5" w:rsidRPr="00DB426E" w:rsidRDefault="006D3AB5" w:rsidP="006D3AB5">
      <w:pPr>
        <w:rPr>
          <w:lang w:eastAsia="lv-LV"/>
        </w:rPr>
      </w:pPr>
      <w:r w:rsidRPr="00DB426E">
        <w:rPr>
          <w:lang w:eastAsia="lv-LV"/>
        </w:rPr>
        <w:t>Dati par inovāciju Latvijā veidojas, veicot apsekojumu reizi divos gados. Ikgadējās izmaksas inovācijai, no brīža, kad Latvija iestājās Eiropas Savienībā 2004.gadā, pieaugušas no 78 miljoniem latu līdz 93 miljoniem latu 2010.gadā, t.i., ikgadējais pieaugums tiek lēsts 3.0-3.5% apmērā. Izņēmums ir 2008.gads, kad kopējie izdevumi pārsniedza 230 milj. latu (</w:t>
      </w:r>
      <w:r w:rsidR="00893B8C" w:rsidRPr="00DB426E">
        <w:rPr>
          <w:lang w:eastAsia="lv-LV"/>
        </w:rPr>
        <w:fldChar w:fldCharType="begin"/>
      </w:r>
      <w:r w:rsidRPr="00DB426E">
        <w:rPr>
          <w:lang w:eastAsia="lv-LV"/>
        </w:rPr>
        <w:instrText xml:space="preserve"> REF _Ref353190151 \h </w:instrText>
      </w:r>
      <w:r w:rsidR="00893B8C" w:rsidRPr="00DB426E">
        <w:rPr>
          <w:lang w:eastAsia="lv-LV"/>
        </w:rPr>
      </w:r>
      <w:r w:rsidR="00893B8C" w:rsidRPr="00DB426E">
        <w:rPr>
          <w:lang w:eastAsia="lv-LV"/>
        </w:rPr>
        <w:fldChar w:fldCharType="separate"/>
      </w:r>
      <w:r w:rsidR="00BA3CB7" w:rsidRPr="00DB426E">
        <w:t xml:space="preserve">Tabula </w:t>
      </w:r>
      <w:r w:rsidR="00BA3CB7">
        <w:rPr>
          <w:noProof/>
        </w:rPr>
        <w:t>1</w:t>
      </w:r>
      <w:r w:rsidR="00BA3CB7" w:rsidRPr="00DB426E">
        <w:noBreakHyphen/>
      </w:r>
      <w:r w:rsidR="00BA3CB7">
        <w:rPr>
          <w:noProof/>
        </w:rPr>
        <w:t>1</w:t>
      </w:r>
      <w:r w:rsidR="00893B8C" w:rsidRPr="00DB426E">
        <w:rPr>
          <w:lang w:eastAsia="lv-LV"/>
        </w:rPr>
        <w:fldChar w:fldCharType="end"/>
      </w:r>
      <w:r w:rsidRPr="00DB426E">
        <w:rPr>
          <w:lang w:eastAsia="lv-LV"/>
        </w:rPr>
        <w:t xml:space="preserve">), un lielākā līdzekļu daļa bija koncentrēta ražošanā (90% vai 210 milj. latu).  </w:t>
      </w:r>
    </w:p>
    <w:p w:rsidR="006D3AB5" w:rsidRPr="00DB426E" w:rsidRDefault="006D3AB5" w:rsidP="006D3AB5">
      <w:pPr>
        <w:rPr>
          <w:lang w:eastAsia="lv-LV"/>
        </w:rPr>
      </w:pPr>
      <w:r w:rsidRPr="00DB426E">
        <w:rPr>
          <w:lang w:eastAsia="lv-LV"/>
        </w:rPr>
        <w:t xml:space="preserve">Fiksētais lēciens skaidrojams ar Eiropas Savienības fondu līdzekļu pieplūdi, no kuriem būtiska daļa šajā periodā tika novirzīta ražošanai. </w:t>
      </w:r>
    </w:p>
    <w:p w:rsidR="006D3AB5" w:rsidRPr="00DB426E" w:rsidRDefault="006D3AB5" w:rsidP="006D3AB5">
      <w:pPr>
        <w:pStyle w:val="Caption"/>
        <w:jc w:val="left"/>
        <w:rPr>
          <w:lang w:eastAsia="lv-LV"/>
        </w:rPr>
      </w:pPr>
      <w:bookmarkStart w:id="43" w:name="_Ref353190151"/>
      <w:r w:rsidRPr="00DB426E">
        <w:t xml:space="preserve">Tabula </w:t>
      </w:r>
      <w:r w:rsidR="009B0188">
        <w:fldChar w:fldCharType="begin"/>
      </w:r>
      <w:r w:rsidR="009B0188">
        <w:instrText xml:space="preserve"> STYLEREF 1 \s </w:instrText>
      </w:r>
      <w:r w:rsidR="009B0188">
        <w:fldChar w:fldCharType="separate"/>
      </w:r>
      <w:r w:rsidR="00BE6FC8">
        <w:rPr>
          <w:noProof/>
        </w:rPr>
        <w:t>1</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w:t>
      </w:r>
      <w:r w:rsidR="009B0188">
        <w:rPr>
          <w:noProof/>
        </w:rPr>
        <w:fldChar w:fldCharType="end"/>
      </w:r>
      <w:bookmarkEnd w:id="43"/>
      <w:r w:rsidRPr="00DB426E">
        <w:t>. Izdevumi inovācijai Latvijā, 2004.-2010.g.,milj. LVL</w:t>
      </w:r>
    </w:p>
    <w:tbl>
      <w:tblPr>
        <w:tblW w:w="9485" w:type="dxa"/>
        <w:tblInd w:w="93" w:type="dxa"/>
        <w:tblLook w:val="04A0" w:firstRow="1" w:lastRow="0" w:firstColumn="1" w:lastColumn="0" w:noHBand="0" w:noVBand="1"/>
      </w:tblPr>
      <w:tblGrid>
        <w:gridCol w:w="2992"/>
        <w:gridCol w:w="846"/>
        <w:gridCol w:w="855"/>
        <w:gridCol w:w="851"/>
        <w:gridCol w:w="775"/>
        <w:gridCol w:w="851"/>
        <w:gridCol w:w="725"/>
        <w:gridCol w:w="851"/>
        <w:gridCol w:w="739"/>
      </w:tblGrid>
      <w:tr w:rsidR="006D3AB5" w:rsidRPr="00DB426E" w:rsidTr="006D3AB5">
        <w:trPr>
          <w:trHeight w:val="300"/>
        </w:trPr>
        <w:tc>
          <w:tcPr>
            <w:tcW w:w="2992" w:type="dxa"/>
            <w:tcBorders>
              <w:top w:val="single" w:sz="4" w:space="0" w:color="auto"/>
              <w:left w:val="single" w:sz="4" w:space="0" w:color="auto"/>
              <w:bottom w:val="nil"/>
              <w:right w:val="nil"/>
            </w:tcBorders>
            <w:shd w:val="clear" w:color="000000" w:fill="D9D9D9"/>
            <w:noWrap/>
            <w:vAlign w:val="bottom"/>
            <w:hideMark/>
          </w:tcPr>
          <w:p w:rsidR="006D3AB5" w:rsidRPr="00DB426E" w:rsidRDefault="006D3AB5" w:rsidP="00450F0F">
            <w:pPr>
              <w:spacing w:after="60"/>
              <w:rPr>
                <w:rFonts w:eastAsia="Times New Roman"/>
                <w:color w:val="000000"/>
                <w:lang w:eastAsia="lv-LV"/>
              </w:rPr>
            </w:pPr>
            <w:r w:rsidRPr="00DB426E">
              <w:rPr>
                <w:rFonts w:eastAsia="Times New Roman"/>
                <w:color w:val="000000"/>
                <w:lang w:eastAsia="lv-LV"/>
              </w:rPr>
              <w:t> </w:t>
            </w:r>
          </w:p>
        </w:tc>
        <w:tc>
          <w:tcPr>
            <w:tcW w:w="1701" w:type="dxa"/>
            <w:gridSpan w:val="2"/>
            <w:tcBorders>
              <w:top w:val="single" w:sz="4" w:space="0" w:color="auto"/>
              <w:left w:val="single" w:sz="4" w:space="0" w:color="auto"/>
              <w:bottom w:val="nil"/>
              <w:right w:val="single" w:sz="4" w:space="0" w:color="000000"/>
            </w:tcBorders>
            <w:shd w:val="clear" w:color="000000" w:fill="D9D9D9"/>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2004</w:t>
            </w:r>
          </w:p>
        </w:tc>
        <w:tc>
          <w:tcPr>
            <w:tcW w:w="1626" w:type="dxa"/>
            <w:gridSpan w:val="2"/>
            <w:tcBorders>
              <w:top w:val="single" w:sz="4" w:space="0" w:color="auto"/>
              <w:left w:val="nil"/>
              <w:bottom w:val="nil"/>
              <w:right w:val="single" w:sz="4" w:space="0" w:color="000000"/>
            </w:tcBorders>
            <w:shd w:val="clear" w:color="000000" w:fill="D9D9D9"/>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2006</w:t>
            </w:r>
          </w:p>
        </w:tc>
        <w:tc>
          <w:tcPr>
            <w:tcW w:w="1576" w:type="dxa"/>
            <w:gridSpan w:val="2"/>
            <w:tcBorders>
              <w:top w:val="single" w:sz="4" w:space="0" w:color="auto"/>
              <w:left w:val="nil"/>
              <w:bottom w:val="nil"/>
              <w:right w:val="single" w:sz="4" w:space="0" w:color="000000"/>
            </w:tcBorders>
            <w:shd w:val="clear" w:color="000000" w:fill="D9D9D9"/>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2008</w:t>
            </w:r>
          </w:p>
        </w:tc>
        <w:tc>
          <w:tcPr>
            <w:tcW w:w="1590" w:type="dxa"/>
            <w:gridSpan w:val="2"/>
            <w:tcBorders>
              <w:top w:val="single" w:sz="4" w:space="0" w:color="auto"/>
              <w:left w:val="nil"/>
              <w:bottom w:val="nil"/>
              <w:right w:val="single" w:sz="4" w:space="0" w:color="000000"/>
            </w:tcBorders>
            <w:shd w:val="clear" w:color="000000" w:fill="D9D9D9"/>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2010</w:t>
            </w:r>
          </w:p>
        </w:tc>
      </w:tr>
      <w:tr w:rsidR="006D3AB5" w:rsidRPr="00DB426E" w:rsidTr="006D3AB5">
        <w:trPr>
          <w:trHeight w:val="300"/>
        </w:trPr>
        <w:tc>
          <w:tcPr>
            <w:tcW w:w="2992" w:type="dxa"/>
            <w:tcBorders>
              <w:top w:val="nil"/>
              <w:left w:val="single" w:sz="4" w:space="0" w:color="auto"/>
              <w:bottom w:val="nil"/>
              <w:right w:val="nil"/>
            </w:tcBorders>
            <w:shd w:val="clear" w:color="auto" w:fill="auto"/>
            <w:noWrap/>
            <w:vAlign w:val="bottom"/>
            <w:hideMark/>
          </w:tcPr>
          <w:p w:rsidR="006D3AB5" w:rsidRPr="00DB426E" w:rsidRDefault="006D3AB5" w:rsidP="00450F0F">
            <w:pPr>
              <w:spacing w:after="60"/>
              <w:rPr>
                <w:rFonts w:eastAsia="Times New Roman"/>
                <w:b/>
                <w:bCs/>
                <w:color w:val="000000"/>
                <w:lang w:eastAsia="lv-LV"/>
              </w:rPr>
            </w:pPr>
            <w:r w:rsidRPr="00DB426E">
              <w:rPr>
                <w:rFonts w:eastAsia="Times New Roman"/>
                <w:b/>
                <w:bCs/>
                <w:color w:val="000000"/>
                <w:lang w:eastAsia="lv-LV"/>
              </w:rPr>
              <w:t xml:space="preserve"> IZDEVUMI INOVĀCIJAI kopā </w:t>
            </w:r>
          </w:p>
        </w:tc>
        <w:tc>
          <w:tcPr>
            <w:tcW w:w="846" w:type="dxa"/>
            <w:tcBorders>
              <w:top w:val="nil"/>
              <w:left w:val="single" w:sz="4" w:space="0" w:color="auto"/>
              <w:bottom w:val="nil"/>
              <w:right w:val="nil"/>
            </w:tcBorders>
            <w:shd w:val="clear" w:color="auto" w:fill="auto"/>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77.6</w:t>
            </w:r>
          </w:p>
        </w:tc>
        <w:tc>
          <w:tcPr>
            <w:tcW w:w="855"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100%</w:t>
            </w:r>
          </w:p>
        </w:tc>
        <w:tc>
          <w:tcPr>
            <w:tcW w:w="851"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82.2</w:t>
            </w:r>
          </w:p>
        </w:tc>
        <w:tc>
          <w:tcPr>
            <w:tcW w:w="775"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100%</w:t>
            </w:r>
          </w:p>
        </w:tc>
        <w:tc>
          <w:tcPr>
            <w:tcW w:w="851" w:type="dxa"/>
            <w:tcBorders>
              <w:top w:val="nil"/>
              <w:left w:val="nil"/>
              <w:bottom w:val="nil"/>
              <w:right w:val="nil"/>
            </w:tcBorders>
            <w:shd w:val="clear" w:color="auto" w:fill="auto"/>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234.4</w:t>
            </w:r>
          </w:p>
        </w:tc>
        <w:tc>
          <w:tcPr>
            <w:tcW w:w="725"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100%</w:t>
            </w:r>
          </w:p>
        </w:tc>
        <w:tc>
          <w:tcPr>
            <w:tcW w:w="851"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b/>
                <w:bCs/>
                <w:color w:val="000000"/>
                <w:lang w:eastAsia="lv-LV"/>
              </w:rPr>
            </w:pPr>
            <w:r w:rsidRPr="00DB426E">
              <w:rPr>
                <w:rFonts w:eastAsia="Times New Roman"/>
                <w:b/>
                <w:bCs/>
                <w:color w:val="000000"/>
                <w:lang w:eastAsia="lv-LV"/>
              </w:rPr>
              <w:t>92.6</w:t>
            </w:r>
          </w:p>
        </w:tc>
        <w:tc>
          <w:tcPr>
            <w:tcW w:w="739"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100%</w:t>
            </w:r>
          </w:p>
        </w:tc>
      </w:tr>
      <w:tr w:rsidR="006D3AB5" w:rsidRPr="00DB426E" w:rsidTr="006D3AB5">
        <w:trPr>
          <w:trHeight w:val="300"/>
        </w:trPr>
        <w:tc>
          <w:tcPr>
            <w:tcW w:w="2992" w:type="dxa"/>
            <w:tcBorders>
              <w:top w:val="nil"/>
              <w:left w:val="single" w:sz="4" w:space="0" w:color="auto"/>
              <w:bottom w:val="nil"/>
              <w:right w:val="nil"/>
            </w:tcBorders>
            <w:shd w:val="clear" w:color="auto" w:fill="auto"/>
            <w:noWrap/>
            <w:vAlign w:val="bottom"/>
            <w:hideMark/>
          </w:tcPr>
          <w:p w:rsidR="006D3AB5" w:rsidRPr="00DB426E" w:rsidRDefault="006D3AB5" w:rsidP="00450F0F">
            <w:pPr>
              <w:spacing w:after="60"/>
              <w:rPr>
                <w:rFonts w:eastAsia="Times New Roman"/>
                <w:color w:val="000000"/>
                <w:lang w:eastAsia="lv-LV"/>
              </w:rPr>
            </w:pPr>
            <w:r w:rsidRPr="00DB426E">
              <w:rPr>
                <w:rFonts w:eastAsia="Times New Roman"/>
                <w:color w:val="000000"/>
                <w:lang w:eastAsia="lv-LV"/>
              </w:rPr>
              <w:t>Rūpniecība</w:t>
            </w:r>
          </w:p>
        </w:tc>
        <w:tc>
          <w:tcPr>
            <w:tcW w:w="846" w:type="dxa"/>
            <w:tcBorders>
              <w:top w:val="nil"/>
              <w:left w:val="single" w:sz="4" w:space="0" w:color="auto"/>
              <w:bottom w:val="nil"/>
              <w:right w:val="nil"/>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39.7</w:t>
            </w:r>
          </w:p>
        </w:tc>
        <w:tc>
          <w:tcPr>
            <w:tcW w:w="855"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51.2%</w:t>
            </w:r>
          </w:p>
        </w:tc>
        <w:tc>
          <w:tcPr>
            <w:tcW w:w="851"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48.8</w:t>
            </w:r>
          </w:p>
        </w:tc>
        <w:tc>
          <w:tcPr>
            <w:tcW w:w="775"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59.4%</w:t>
            </w:r>
          </w:p>
        </w:tc>
        <w:tc>
          <w:tcPr>
            <w:tcW w:w="851" w:type="dxa"/>
            <w:tcBorders>
              <w:top w:val="nil"/>
              <w:left w:val="nil"/>
              <w:bottom w:val="nil"/>
              <w:right w:val="nil"/>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210.3</w:t>
            </w:r>
          </w:p>
        </w:tc>
        <w:tc>
          <w:tcPr>
            <w:tcW w:w="725"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89.7%</w:t>
            </w:r>
          </w:p>
        </w:tc>
        <w:tc>
          <w:tcPr>
            <w:tcW w:w="851"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47</w:t>
            </w:r>
          </w:p>
        </w:tc>
        <w:tc>
          <w:tcPr>
            <w:tcW w:w="739"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50.8%</w:t>
            </w:r>
          </w:p>
        </w:tc>
      </w:tr>
      <w:tr w:rsidR="006D3AB5" w:rsidRPr="00DB426E" w:rsidTr="006D3AB5">
        <w:trPr>
          <w:trHeight w:val="300"/>
        </w:trPr>
        <w:tc>
          <w:tcPr>
            <w:tcW w:w="2992" w:type="dxa"/>
            <w:tcBorders>
              <w:top w:val="nil"/>
              <w:left w:val="single" w:sz="4" w:space="0" w:color="auto"/>
              <w:bottom w:val="nil"/>
              <w:right w:val="nil"/>
            </w:tcBorders>
            <w:shd w:val="clear" w:color="auto" w:fill="auto"/>
            <w:vAlign w:val="center"/>
            <w:hideMark/>
          </w:tcPr>
          <w:p w:rsidR="006D3AB5" w:rsidRPr="00DB426E" w:rsidRDefault="006D3AB5" w:rsidP="00450F0F">
            <w:pPr>
              <w:spacing w:after="60"/>
              <w:jc w:val="right"/>
              <w:rPr>
                <w:rFonts w:ascii="Verdana" w:eastAsia="Times New Roman" w:hAnsi="Verdana"/>
                <w:i/>
                <w:iCs/>
                <w:color w:val="000000"/>
                <w:sz w:val="18"/>
                <w:szCs w:val="18"/>
                <w:lang w:eastAsia="lv-LV"/>
              </w:rPr>
            </w:pPr>
            <w:r w:rsidRPr="00DB426E">
              <w:rPr>
                <w:rFonts w:ascii="Verdana" w:eastAsia="Times New Roman" w:hAnsi="Verdana"/>
                <w:i/>
                <w:iCs/>
                <w:color w:val="000000"/>
                <w:sz w:val="18"/>
                <w:szCs w:val="18"/>
                <w:lang w:eastAsia="lv-LV"/>
              </w:rPr>
              <w:t>..apstrādes rūpniecība</w:t>
            </w:r>
          </w:p>
        </w:tc>
        <w:tc>
          <w:tcPr>
            <w:tcW w:w="846" w:type="dxa"/>
            <w:tcBorders>
              <w:top w:val="nil"/>
              <w:left w:val="single" w:sz="4" w:space="0" w:color="auto"/>
              <w:bottom w:val="nil"/>
              <w:right w:val="nil"/>
            </w:tcBorders>
            <w:shd w:val="clear" w:color="auto" w:fill="auto"/>
            <w:noWrap/>
            <w:vAlign w:val="center"/>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38.2</w:t>
            </w:r>
          </w:p>
        </w:tc>
        <w:tc>
          <w:tcPr>
            <w:tcW w:w="855"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49.2%</w:t>
            </w:r>
          </w:p>
        </w:tc>
        <w:tc>
          <w:tcPr>
            <w:tcW w:w="851" w:type="dxa"/>
            <w:tcBorders>
              <w:top w:val="nil"/>
              <w:left w:val="nil"/>
              <w:bottom w:val="nil"/>
              <w:right w:val="single" w:sz="4" w:space="0" w:color="auto"/>
            </w:tcBorders>
            <w:shd w:val="clear" w:color="auto" w:fill="auto"/>
            <w:noWrap/>
            <w:vAlign w:val="center"/>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46.7</w:t>
            </w:r>
          </w:p>
        </w:tc>
        <w:tc>
          <w:tcPr>
            <w:tcW w:w="775"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56.8%</w:t>
            </w:r>
          </w:p>
        </w:tc>
        <w:tc>
          <w:tcPr>
            <w:tcW w:w="851" w:type="dxa"/>
            <w:tcBorders>
              <w:top w:val="nil"/>
              <w:left w:val="nil"/>
              <w:bottom w:val="nil"/>
              <w:right w:val="nil"/>
            </w:tcBorders>
            <w:shd w:val="clear" w:color="auto" w:fill="auto"/>
            <w:noWrap/>
            <w:vAlign w:val="center"/>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162.6</w:t>
            </w:r>
          </w:p>
        </w:tc>
        <w:tc>
          <w:tcPr>
            <w:tcW w:w="725"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69.4%</w:t>
            </w:r>
          </w:p>
        </w:tc>
        <w:tc>
          <w:tcPr>
            <w:tcW w:w="851" w:type="dxa"/>
            <w:tcBorders>
              <w:top w:val="nil"/>
              <w:left w:val="nil"/>
              <w:bottom w:val="nil"/>
              <w:right w:val="single" w:sz="4" w:space="0" w:color="auto"/>
            </w:tcBorders>
            <w:shd w:val="clear" w:color="auto" w:fill="auto"/>
            <w:noWrap/>
            <w:vAlign w:val="center"/>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36.3</w:t>
            </w:r>
          </w:p>
        </w:tc>
        <w:tc>
          <w:tcPr>
            <w:tcW w:w="739" w:type="dxa"/>
            <w:tcBorders>
              <w:top w:val="nil"/>
              <w:left w:val="nil"/>
              <w:bottom w:val="nil"/>
              <w:right w:val="single" w:sz="4" w:space="0" w:color="auto"/>
            </w:tcBorders>
            <w:shd w:val="clear" w:color="auto" w:fill="auto"/>
            <w:noWrap/>
            <w:vAlign w:val="bottom"/>
            <w:hideMark/>
          </w:tcPr>
          <w:p w:rsidR="006D3AB5" w:rsidRPr="00DB426E" w:rsidRDefault="006D3AB5" w:rsidP="00450F0F">
            <w:pPr>
              <w:spacing w:after="60"/>
              <w:jc w:val="right"/>
              <w:rPr>
                <w:rFonts w:eastAsia="Times New Roman"/>
                <w:i/>
                <w:iCs/>
                <w:color w:val="000000"/>
                <w:sz w:val="18"/>
                <w:szCs w:val="18"/>
                <w:lang w:eastAsia="lv-LV"/>
              </w:rPr>
            </w:pPr>
            <w:r w:rsidRPr="00DB426E">
              <w:rPr>
                <w:rFonts w:eastAsia="Times New Roman"/>
                <w:i/>
                <w:iCs/>
                <w:color w:val="000000"/>
                <w:sz w:val="18"/>
                <w:szCs w:val="18"/>
                <w:lang w:eastAsia="lv-LV"/>
              </w:rPr>
              <w:t>39.2%</w:t>
            </w:r>
          </w:p>
        </w:tc>
      </w:tr>
      <w:tr w:rsidR="006D3AB5" w:rsidRPr="00DB426E" w:rsidTr="006D3AB5">
        <w:trPr>
          <w:trHeight w:val="300"/>
        </w:trPr>
        <w:tc>
          <w:tcPr>
            <w:tcW w:w="2992" w:type="dxa"/>
            <w:tcBorders>
              <w:top w:val="nil"/>
              <w:left w:val="single" w:sz="4" w:space="0" w:color="auto"/>
              <w:bottom w:val="single" w:sz="4" w:space="0" w:color="auto"/>
              <w:right w:val="nil"/>
            </w:tcBorders>
            <w:shd w:val="clear" w:color="auto" w:fill="auto"/>
            <w:noWrap/>
            <w:vAlign w:val="bottom"/>
            <w:hideMark/>
          </w:tcPr>
          <w:p w:rsidR="006D3AB5" w:rsidRPr="00DB426E" w:rsidRDefault="006D3AB5" w:rsidP="00450F0F">
            <w:pPr>
              <w:spacing w:after="60"/>
              <w:rPr>
                <w:rFonts w:eastAsia="Times New Roman"/>
                <w:color w:val="000000"/>
                <w:lang w:eastAsia="lv-LV"/>
              </w:rPr>
            </w:pPr>
            <w:r w:rsidRPr="00DB426E">
              <w:rPr>
                <w:rFonts w:eastAsia="Times New Roman"/>
                <w:color w:val="000000"/>
                <w:lang w:eastAsia="lv-LV"/>
              </w:rPr>
              <w:t>Pakalpojumi</w:t>
            </w:r>
          </w:p>
        </w:tc>
        <w:tc>
          <w:tcPr>
            <w:tcW w:w="846" w:type="dxa"/>
            <w:tcBorders>
              <w:top w:val="nil"/>
              <w:left w:val="single" w:sz="4" w:space="0" w:color="auto"/>
              <w:bottom w:val="single" w:sz="4" w:space="0" w:color="auto"/>
              <w:right w:val="nil"/>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37.9</w:t>
            </w:r>
          </w:p>
        </w:tc>
        <w:tc>
          <w:tcPr>
            <w:tcW w:w="855" w:type="dxa"/>
            <w:tcBorders>
              <w:top w:val="nil"/>
              <w:left w:val="single" w:sz="4" w:space="0" w:color="auto"/>
              <w:bottom w:val="single" w:sz="4" w:space="0" w:color="auto"/>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48.8%</w:t>
            </w:r>
          </w:p>
        </w:tc>
        <w:tc>
          <w:tcPr>
            <w:tcW w:w="851"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33.4</w:t>
            </w:r>
          </w:p>
        </w:tc>
        <w:tc>
          <w:tcPr>
            <w:tcW w:w="775"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40.6%</w:t>
            </w:r>
          </w:p>
        </w:tc>
        <w:tc>
          <w:tcPr>
            <w:tcW w:w="851" w:type="dxa"/>
            <w:tcBorders>
              <w:top w:val="nil"/>
              <w:left w:val="nil"/>
              <w:bottom w:val="single" w:sz="4" w:space="0" w:color="auto"/>
              <w:right w:val="nil"/>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24.1</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10.3%</w:t>
            </w:r>
          </w:p>
        </w:tc>
        <w:tc>
          <w:tcPr>
            <w:tcW w:w="851"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lang w:eastAsia="lv-LV"/>
              </w:rPr>
            </w:pPr>
            <w:r w:rsidRPr="00DB426E">
              <w:rPr>
                <w:rFonts w:eastAsia="Times New Roman"/>
                <w:color w:val="000000"/>
                <w:lang w:eastAsia="lv-LV"/>
              </w:rPr>
              <w:t>45.6</w:t>
            </w:r>
          </w:p>
        </w:tc>
        <w:tc>
          <w:tcPr>
            <w:tcW w:w="739"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450F0F">
            <w:pPr>
              <w:spacing w:after="60"/>
              <w:jc w:val="center"/>
              <w:rPr>
                <w:rFonts w:eastAsia="Times New Roman"/>
                <w:color w:val="000000"/>
                <w:sz w:val="20"/>
                <w:szCs w:val="20"/>
                <w:lang w:eastAsia="lv-LV"/>
              </w:rPr>
            </w:pPr>
            <w:r w:rsidRPr="00DB426E">
              <w:rPr>
                <w:rFonts w:eastAsia="Times New Roman"/>
                <w:color w:val="000000"/>
                <w:sz w:val="20"/>
                <w:szCs w:val="20"/>
                <w:lang w:eastAsia="lv-LV"/>
              </w:rPr>
              <w:t>49.2%</w:t>
            </w:r>
          </w:p>
        </w:tc>
      </w:tr>
    </w:tbl>
    <w:p w:rsidR="006D3AB5" w:rsidRPr="00DB426E" w:rsidRDefault="006D3AB5" w:rsidP="006D3AB5">
      <w:pPr>
        <w:rPr>
          <w:i/>
          <w:lang w:eastAsia="lv-LV"/>
        </w:rPr>
      </w:pPr>
      <w:r w:rsidRPr="00DB426E">
        <w:rPr>
          <w:i/>
          <w:lang w:eastAsia="lv-LV"/>
        </w:rPr>
        <w:t>Avots: LR CSP datu bāze</w:t>
      </w:r>
    </w:p>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12</w:t>
      </w:r>
      <w:r w:rsidR="009B0188">
        <w:rPr>
          <w:noProof/>
        </w:rPr>
        <w:fldChar w:fldCharType="end"/>
      </w:r>
      <w:r w:rsidRPr="00DB426E">
        <w:t>. Izdevumu inovācijai dinamika un struktūra, 2004.-2010.g.</w:t>
      </w:r>
    </w:p>
    <w:p w:rsidR="006D3AB5" w:rsidRPr="00DB426E" w:rsidRDefault="006C3F27" w:rsidP="006D3AB5">
      <w:pPr>
        <w:jc w:val="center"/>
        <w:rPr>
          <w:lang w:eastAsia="lv-LV"/>
        </w:rPr>
      </w:pPr>
      <w:r>
        <w:rPr>
          <w:noProof/>
          <w:lang w:eastAsia="lv-LV"/>
        </w:rPr>
        <w:drawing>
          <wp:inline distT="0" distB="0" distL="0" distR="0" wp14:anchorId="766E5C69" wp14:editId="02DC1EC3">
            <wp:extent cx="3941728" cy="2043238"/>
            <wp:effectExtent l="0" t="0" r="20955" b="14605"/>
            <wp:docPr id="15" name="Picture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D3AB5" w:rsidRPr="00DB426E" w:rsidRDefault="006D3AB5" w:rsidP="006D3AB5">
      <w:pPr>
        <w:ind w:left="993"/>
        <w:rPr>
          <w:i/>
          <w:lang w:eastAsia="lv-LV"/>
        </w:rPr>
      </w:pPr>
      <w:r w:rsidRPr="00DB426E">
        <w:rPr>
          <w:i/>
          <w:lang w:eastAsia="lv-LV"/>
        </w:rPr>
        <w:t>Avots: LR CSP datu bāze</w:t>
      </w:r>
    </w:p>
    <w:p w:rsidR="006D3AB5" w:rsidRPr="00DB426E" w:rsidRDefault="006D3AB5" w:rsidP="006D3AB5">
      <w:r w:rsidRPr="00DB426E">
        <w:t>Analizējot izdevumu inovācijai struktūru, jāatzīmē, ka jaunu zināšanu ieviešanai nepieciešams vidēji trīs reizes vairāk līdzekļu, nekā to iegūšanai. Atbilstoši datiem par 2010.gadu izdevumi vietējām izstrādnēm ir aptuveni 20%, ārējo zināšanu iegādei – 3%, ieviešanai –77%.</w:t>
      </w:r>
    </w:p>
    <w:p w:rsidR="00450F0F" w:rsidRPr="00DB426E" w:rsidRDefault="00450F0F" w:rsidP="006D3AB5">
      <w:pPr>
        <w:pStyle w:val="Caption"/>
      </w:pPr>
    </w:p>
    <w:p w:rsidR="00450F0F" w:rsidRPr="00DB426E" w:rsidRDefault="00450F0F" w:rsidP="006D3AB5">
      <w:pPr>
        <w:pStyle w:val="Caption"/>
      </w:pPr>
    </w:p>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13</w:t>
      </w:r>
      <w:r w:rsidR="009B0188">
        <w:rPr>
          <w:noProof/>
        </w:rPr>
        <w:fldChar w:fldCharType="end"/>
      </w:r>
      <w:r w:rsidRPr="00DB426E">
        <w:t>. Izdevumu inovācijām struktūra, 2010.g.</w:t>
      </w:r>
    </w:p>
    <w:p w:rsidR="006D3AB5" w:rsidRPr="00DB426E" w:rsidRDefault="006C3F27" w:rsidP="006D3AB5">
      <w:pPr>
        <w:jc w:val="center"/>
        <w:rPr>
          <w:lang w:eastAsia="lv-LV"/>
        </w:rPr>
      </w:pPr>
      <w:r>
        <w:rPr>
          <w:noProof/>
          <w:lang w:eastAsia="lv-LV"/>
        </w:rPr>
        <w:drawing>
          <wp:inline distT="0" distB="0" distL="0" distR="0" wp14:anchorId="5194C0A2" wp14:editId="52AEDD9F">
            <wp:extent cx="3891280" cy="2386673"/>
            <wp:effectExtent l="0" t="0" r="0" b="927"/>
            <wp:docPr id="16" name="Picture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D3AB5" w:rsidRPr="00DB426E" w:rsidRDefault="006D3AB5" w:rsidP="006D3AB5">
      <w:pPr>
        <w:pStyle w:val="Caption"/>
        <w:jc w:val="left"/>
        <w:rPr>
          <w:lang w:eastAsia="lv-LV"/>
        </w:rPr>
      </w:pPr>
      <w:r w:rsidRPr="00DB426E">
        <w:t xml:space="preserve">Tabula </w:t>
      </w:r>
      <w:r w:rsidR="009B0188">
        <w:fldChar w:fldCharType="begin"/>
      </w:r>
      <w:r w:rsidR="009B0188">
        <w:instrText xml:space="preserve"> STYLEREF 1 \s </w:instrText>
      </w:r>
      <w:r w:rsidR="009B0188">
        <w:fldChar w:fldCharType="separate"/>
      </w:r>
      <w:r w:rsidR="00BE6FC8">
        <w:rPr>
          <w:noProof/>
        </w:rPr>
        <w:t>1</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w:t>
      </w:r>
      <w:r w:rsidR="009B0188">
        <w:rPr>
          <w:noProof/>
        </w:rPr>
        <w:fldChar w:fldCharType="end"/>
      </w:r>
      <w:r w:rsidRPr="00DB426E">
        <w:t>. Izdevumi inovācijām, 2004.-2010.g.</w:t>
      </w:r>
    </w:p>
    <w:p w:rsidR="006D3AB5" w:rsidRPr="00DB426E" w:rsidRDefault="006C3F27" w:rsidP="006D3AB5">
      <w:pPr>
        <w:jc w:val="center"/>
      </w:pPr>
      <w:r>
        <w:rPr>
          <w:noProof/>
          <w:lang w:eastAsia="lv-LV"/>
        </w:rPr>
        <w:drawing>
          <wp:inline distT="0" distB="0" distL="0" distR="0" wp14:anchorId="1978F448" wp14:editId="504027A0">
            <wp:extent cx="5273040" cy="3637280"/>
            <wp:effectExtent l="1905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srcRect/>
                    <a:stretch>
                      <a:fillRect/>
                    </a:stretch>
                  </pic:blipFill>
                  <pic:spPr bwMode="auto">
                    <a:xfrm>
                      <a:off x="0" y="0"/>
                      <a:ext cx="5273040" cy="3637280"/>
                    </a:xfrm>
                    <a:prstGeom prst="rect">
                      <a:avLst/>
                    </a:prstGeom>
                    <a:noFill/>
                    <a:ln w="9525">
                      <a:noFill/>
                      <a:miter lim="800000"/>
                      <a:headEnd/>
                      <a:tailEnd/>
                    </a:ln>
                  </pic:spPr>
                </pic:pic>
              </a:graphicData>
            </a:graphic>
          </wp:inline>
        </w:drawing>
      </w:r>
    </w:p>
    <w:p w:rsidR="006D3AB5" w:rsidRPr="00DB426E" w:rsidRDefault="006D3AB5" w:rsidP="006D3AB5">
      <w:pPr>
        <w:rPr>
          <w:i/>
          <w:lang w:eastAsia="lv-LV"/>
        </w:rPr>
      </w:pPr>
      <w:r w:rsidRPr="00DB426E">
        <w:rPr>
          <w:i/>
          <w:lang w:eastAsia="lv-LV"/>
        </w:rPr>
        <w:t>Avots: LR CSP datu bāze</w:t>
      </w:r>
    </w:p>
    <w:p w:rsidR="006D3AB5" w:rsidRPr="00DB426E" w:rsidRDefault="006D3AB5" w:rsidP="006D3AB5">
      <w:r w:rsidRPr="00DB426E">
        <w:t>Raksturīgi, ka katrs pētījumiem iztērētais 1 lats papildus prasa vidēji 5 latus, lai iegūtās zināšanas pielietotu praksē. Pakalpojumu sfērā šis relatīvais rādītājs ir divas reizes zemāks – mašīnu un iekārtu iegāde nepārsniedz 2.5 latus, ražošanai relatīvās izmaksas pamatfondu iegādei tiek lēstas 8.50 -9.00 latu.</w:t>
      </w:r>
    </w:p>
    <w:p w:rsidR="006D3AB5" w:rsidRPr="00DB426E" w:rsidRDefault="006D3AB5" w:rsidP="006D3AB5">
      <w:r w:rsidRPr="00DB426E">
        <w:t>Salīdzinot datus par visu zinātnisko pētījumu (R&amp;D) finansēšanas avotiem un pētījumu izmaksām, kas atraduši pielietojumu (inovācija), var atzīmēt pozitīvu inovācijas izstrāžu īpatsvara pieauguma tendenci no 47% no privātajām investīcijām 2006.gadā līdz 70% - 2010.gadā.</w:t>
      </w:r>
    </w:p>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14</w:t>
      </w:r>
      <w:r w:rsidR="009B0188">
        <w:rPr>
          <w:noProof/>
        </w:rPr>
        <w:fldChar w:fldCharType="end"/>
      </w:r>
      <w:r w:rsidRPr="00DB426E">
        <w:t xml:space="preserve">. Zinātniski pētniecisko darbu privātā finansējuma un P&amp;A izdevumu inovācijas jomā savstarpējā attiecība </w:t>
      </w:r>
    </w:p>
    <w:p w:rsidR="006D3AB5" w:rsidRPr="00DB426E" w:rsidRDefault="006C3F27" w:rsidP="006D3AB5">
      <w:pPr>
        <w:jc w:val="center"/>
        <w:rPr>
          <w:lang w:eastAsia="lv-LV"/>
        </w:rPr>
      </w:pPr>
      <w:r>
        <w:rPr>
          <w:noProof/>
          <w:lang w:eastAsia="lv-LV"/>
        </w:rPr>
        <w:drawing>
          <wp:inline distT="0" distB="0" distL="0" distR="0" wp14:anchorId="483D0B2D" wp14:editId="68E2A652">
            <wp:extent cx="4265984" cy="2134274"/>
            <wp:effectExtent l="5688" t="4743" r="5688" b="4743"/>
            <wp:docPr id="18" name="Picture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D3AB5" w:rsidRPr="00DB426E" w:rsidRDefault="006D3AB5" w:rsidP="006D3AB5">
      <w:pPr>
        <w:ind w:left="720"/>
        <w:rPr>
          <w:i/>
          <w:lang w:eastAsia="lv-LV"/>
        </w:rPr>
      </w:pPr>
      <w:r w:rsidRPr="00DB426E">
        <w:rPr>
          <w:i/>
          <w:lang w:eastAsia="lv-LV"/>
        </w:rPr>
        <w:t>Avots: LR CSP datu bāze</w:t>
      </w:r>
    </w:p>
    <w:p w:rsidR="006D3AB5" w:rsidRPr="00DB426E" w:rsidRDefault="006D3AB5" w:rsidP="006D3AB5">
      <w:pPr>
        <w:rPr>
          <w:lang w:eastAsia="lv-LV"/>
        </w:rPr>
      </w:pPr>
      <w:r w:rsidRPr="00DB426E">
        <w:rPr>
          <w:lang w:eastAsia="lv-LV"/>
        </w:rPr>
        <w:t xml:space="preserve">No 4132 aktīviem uzņēmumiem, kas darbojās Latvijā 2010.gadā, pie inovatīviem piederēja 30%. Mazliet vairāk </w:t>
      </w:r>
      <w:r w:rsidR="00987517">
        <w:rPr>
          <w:lang w:eastAsia="lv-LV"/>
        </w:rPr>
        <w:t>ne</w:t>
      </w:r>
      <w:r w:rsidRPr="00DB426E">
        <w:rPr>
          <w:lang w:eastAsia="lv-LV"/>
        </w:rPr>
        <w:t>kā puse no visiem inovatīvajiem uzņēmumiem (635) darbojās pakalpojumu jomā, 599 – rūpniecībā (galvenokārt apstrādes).</w:t>
      </w:r>
    </w:p>
    <w:p w:rsidR="006D3AB5" w:rsidRPr="00DB426E" w:rsidRDefault="006D3AB5" w:rsidP="006D3AB5">
      <w:pPr>
        <w:pStyle w:val="Caption"/>
        <w:jc w:val="left"/>
        <w:rPr>
          <w:i w:val="0"/>
          <w:lang w:eastAsia="lv-LV"/>
        </w:rPr>
      </w:pPr>
      <w:r w:rsidRPr="00DB426E">
        <w:t xml:space="preserve">Tabula </w:t>
      </w:r>
      <w:r w:rsidR="009B0188">
        <w:fldChar w:fldCharType="begin"/>
      </w:r>
      <w:r w:rsidR="009B0188">
        <w:instrText xml:space="preserve"> STYLEREF 1 \s </w:instrText>
      </w:r>
      <w:r w:rsidR="009B0188">
        <w:fldChar w:fldCharType="separate"/>
      </w:r>
      <w:r w:rsidR="00BE6FC8">
        <w:rPr>
          <w:noProof/>
        </w:rPr>
        <w:t>1</w:t>
      </w:r>
      <w:r w:rsidR="009B0188">
        <w:rPr>
          <w:noProof/>
        </w:rPr>
        <w:fldChar w:fldCharType="end"/>
      </w:r>
      <w:r w:rsidR="00BE6FC8">
        <w:noBreakHyphen/>
      </w:r>
      <w:r w:rsidR="009B0188">
        <w:fldChar w:fldCharType="begin"/>
      </w:r>
      <w:r w:rsidR="009B0188">
        <w:instrText xml:space="preserve"> SEQ Tabula \* ARABIC \s </w:instrText>
      </w:r>
      <w:r w:rsidR="009B0188">
        <w:instrText xml:space="preserve">1 </w:instrText>
      </w:r>
      <w:r w:rsidR="009B0188">
        <w:fldChar w:fldCharType="separate"/>
      </w:r>
      <w:r w:rsidR="00BE6FC8">
        <w:rPr>
          <w:noProof/>
        </w:rPr>
        <w:t>3</w:t>
      </w:r>
      <w:r w:rsidR="009B0188">
        <w:rPr>
          <w:noProof/>
        </w:rPr>
        <w:fldChar w:fldCharType="end"/>
      </w:r>
      <w:r w:rsidRPr="00DB426E">
        <w:t>.Inovāciju jomā aktīvo uzņēmumu skaits, 2008.-2010.g.</w:t>
      </w:r>
    </w:p>
    <w:p w:rsidR="006D3AB5" w:rsidRPr="00DB426E" w:rsidRDefault="006C3F27" w:rsidP="006D3AB5">
      <w:pPr>
        <w:jc w:val="center"/>
        <w:rPr>
          <w:i/>
          <w:lang w:eastAsia="lv-LV"/>
        </w:rPr>
      </w:pPr>
      <w:r>
        <w:rPr>
          <w:noProof/>
          <w:lang w:eastAsia="lv-LV"/>
        </w:rPr>
        <w:drawing>
          <wp:inline distT="0" distB="0" distL="0" distR="0" wp14:anchorId="5A1383FC" wp14:editId="39BB3F7A">
            <wp:extent cx="5283200" cy="2966720"/>
            <wp:effectExtent l="1905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5283200" cy="2966720"/>
                    </a:xfrm>
                    <a:prstGeom prst="rect">
                      <a:avLst/>
                    </a:prstGeom>
                    <a:noFill/>
                    <a:ln w="9525">
                      <a:noFill/>
                      <a:miter lim="800000"/>
                      <a:headEnd/>
                      <a:tailEnd/>
                    </a:ln>
                  </pic:spPr>
                </pic:pic>
              </a:graphicData>
            </a:graphic>
          </wp:inline>
        </w:drawing>
      </w:r>
    </w:p>
    <w:p w:rsidR="006D3AB5" w:rsidRPr="00DB426E" w:rsidRDefault="006D3AB5" w:rsidP="006D3AB5">
      <w:pPr>
        <w:rPr>
          <w:i/>
          <w:lang w:eastAsia="lv-LV"/>
        </w:rPr>
      </w:pPr>
      <w:r w:rsidRPr="00DB426E">
        <w:rPr>
          <w:i/>
          <w:lang w:eastAsia="lv-LV"/>
        </w:rPr>
        <w:t>Avots: LR CSP datu bāze</w:t>
      </w:r>
    </w:p>
    <w:p w:rsidR="00450F0F" w:rsidRPr="00DB426E" w:rsidRDefault="00450F0F" w:rsidP="006D3AB5">
      <w:pPr>
        <w:pStyle w:val="Caption"/>
        <w:jc w:val="left"/>
      </w:pPr>
    </w:p>
    <w:p w:rsidR="00450F0F" w:rsidRPr="00DB426E" w:rsidRDefault="00450F0F" w:rsidP="006D3AB5">
      <w:pPr>
        <w:pStyle w:val="Caption"/>
        <w:jc w:val="left"/>
      </w:pPr>
    </w:p>
    <w:p w:rsidR="006D3AB5" w:rsidRPr="00DB426E" w:rsidRDefault="006D3AB5" w:rsidP="006D3AB5">
      <w:pPr>
        <w:pStyle w:val="Caption"/>
        <w:jc w:val="left"/>
        <w:rPr>
          <w:i w:val="0"/>
          <w:lang w:eastAsia="lv-LV"/>
        </w:rPr>
      </w:pPr>
      <w:r w:rsidRPr="00DB426E">
        <w:t xml:space="preserve">Tabula </w:t>
      </w:r>
      <w:r w:rsidR="009B0188">
        <w:fldChar w:fldCharType="begin"/>
      </w:r>
      <w:r w:rsidR="009B0188">
        <w:instrText xml:space="preserve"> STYLEREF 1 \s </w:instrText>
      </w:r>
      <w:r w:rsidR="009B0188">
        <w:fldChar w:fldCharType="separate"/>
      </w:r>
      <w:r w:rsidR="00BE6FC8">
        <w:rPr>
          <w:noProof/>
        </w:rPr>
        <w:t>1</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4</w:t>
      </w:r>
      <w:r w:rsidR="009B0188">
        <w:rPr>
          <w:noProof/>
        </w:rPr>
        <w:fldChar w:fldCharType="end"/>
      </w:r>
      <w:r w:rsidRPr="00DB426E">
        <w:t>. Inovāciju jomā aktīvo uzņēmumu īpatsvars, 2008.-2010.g</w:t>
      </w:r>
    </w:p>
    <w:p w:rsidR="006D3AB5" w:rsidRPr="00DB426E" w:rsidRDefault="006C3F27" w:rsidP="006D3AB5">
      <w:pPr>
        <w:rPr>
          <w:lang w:eastAsia="lv-LV"/>
        </w:rPr>
      </w:pPr>
      <w:r>
        <w:rPr>
          <w:noProof/>
          <w:lang w:eastAsia="lv-LV"/>
        </w:rPr>
        <w:drawing>
          <wp:inline distT="0" distB="0" distL="0" distR="0" wp14:anchorId="5F7EF87F" wp14:editId="250FFD6D">
            <wp:extent cx="5273040" cy="3271520"/>
            <wp:effectExtent l="19050" t="0" r="381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5273040" cy="3271520"/>
                    </a:xfrm>
                    <a:prstGeom prst="rect">
                      <a:avLst/>
                    </a:prstGeom>
                    <a:noFill/>
                    <a:ln w="9525">
                      <a:noFill/>
                      <a:miter lim="800000"/>
                      <a:headEnd/>
                      <a:tailEnd/>
                    </a:ln>
                  </pic:spPr>
                </pic:pic>
              </a:graphicData>
            </a:graphic>
          </wp:inline>
        </w:drawing>
      </w:r>
      <w:r w:rsidR="006D3AB5" w:rsidRPr="00DB426E">
        <w:rPr>
          <w:i/>
          <w:lang w:eastAsia="lv-LV"/>
        </w:rPr>
        <w:t>Avots: LR CSP datu bāze</w:t>
      </w:r>
    </w:p>
    <w:p w:rsidR="006D3AB5" w:rsidRPr="00DB426E" w:rsidRDefault="006D3AB5" w:rsidP="006D3AB5">
      <w:r w:rsidRPr="00DB426E">
        <w:rPr>
          <w:lang w:eastAsia="lv-LV"/>
        </w:rPr>
        <w:t xml:space="preserve">Divas trešdaļas no lielajiem rūpniecības uzņēmumiem (kuru </w:t>
      </w:r>
      <w:proofErr w:type="spellStart"/>
      <w:r w:rsidRPr="00DB426E">
        <w:rPr>
          <w:lang w:eastAsia="lv-LV"/>
        </w:rPr>
        <w:t>darbnieku</w:t>
      </w:r>
      <w:proofErr w:type="spellEnd"/>
      <w:r w:rsidRPr="00DB426E">
        <w:rPr>
          <w:lang w:eastAsia="lv-LV"/>
        </w:rPr>
        <w:t xml:space="preserve"> skaits pārsniedz 250) izmanto inovatīvas tehnoloģijas vai ražo inovatīvu produkciju (</w:t>
      </w:r>
      <w:r w:rsidR="00893B8C" w:rsidRPr="00DB426E">
        <w:rPr>
          <w:lang w:eastAsia="lv-LV"/>
        </w:rPr>
        <w:fldChar w:fldCharType="begin"/>
      </w:r>
      <w:r w:rsidRPr="00DB426E">
        <w:rPr>
          <w:lang w:eastAsia="lv-LV"/>
        </w:rPr>
        <w:instrText xml:space="preserve"> REF _Ref355019307 \h </w:instrText>
      </w:r>
      <w:r w:rsidR="00893B8C" w:rsidRPr="00DB426E">
        <w:rPr>
          <w:lang w:eastAsia="lv-LV"/>
        </w:rPr>
      </w:r>
      <w:r w:rsidR="00893B8C" w:rsidRPr="00DB426E">
        <w:rPr>
          <w:lang w:eastAsia="lv-LV"/>
        </w:rPr>
        <w:fldChar w:fldCharType="separate"/>
      </w:r>
      <w:r w:rsidR="00BA3CB7" w:rsidRPr="00DB426E">
        <w:t xml:space="preserve">Attēls </w:t>
      </w:r>
      <w:r w:rsidR="00BA3CB7">
        <w:rPr>
          <w:noProof/>
        </w:rPr>
        <w:t>1</w:t>
      </w:r>
      <w:r w:rsidR="00BA3CB7" w:rsidRPr="00DB426E">
        <w:noBreakHyphen/>
      </w:r>
      <w:r w:rsidR="00BA3CB7">
        <w:rPr>
          <w:noProof/>
        </w:rPr>
        <w:t>16</w:t>
      </w:r>
      <w:r w:rsidR="00893B8C" w:rsidRPr="00DB426E">
        <w:rPr>
          <w:lang w:eastAsia="lv-LV"/>
        </w:rPr>
        <w:fldChar w:fldCharType="end"/>
      </w:r>
      <w:r w:rsidRPr="00DB426E">
        <w:rPr>
          <w:lang w:eastAsia="lv-LV"/>
        </w:rPr>
        <w:t xml:space="preserve">). Šie uzņēmumi veido 93% no visu šīs grupas uzņēmumu apgrozījuma </w:t>
      </w:r>
      <w:r w:rsidRPr="00DB426E">
        <w:t>(</w:t>
      </w:r>
      <w:r w:rsidR="00893B8C" w:rsidRPr="00DB426E">
        <w:fldChar w:fldCharType="begin"/>
      </w:r>
      <w:r w:rsidRPr="00DB426E">
        <w:instrText xml:space="preserve"> REF _Ref353727212 \h </w:instrText>
      </w:r>
      <w:r w:rsidR="00893B8C" w:rsidRPr="00DB426E">
        <w:fldChar w:fldCharType="separate"/>
      </w:r>
      <w:r w:rsidR="00BA3CB7" w:rsidRPr="00DB426E">
        <w:t xml:space="preserve">Tabula </w:t>
      </w:r>
      <w:r w:rsidR="00BA3CB7">
        <w:rPr>
          <w:noProof/>
        </w:rPr>
        <w:t>1</w:t>
      </w:r>
      <w:r w:rsidR="00BA3CB7" w:rsidRPr="00DB426E">
        <w:noBreakHyphen/>
      </w:r>
      <w:r w:rsidR="00BA3CB7">
        <w:rPr>
          <w:noProof/>
        </w:rPr>
        <w:t>5</w:t>
      </w:r>
      <w:r w:rsidR="00893B8C" w:rsidRPr="00DB426E">
        <w:fldChar w:fldCharType="end"/>
      </w:r>
      <w:r w:rsidRPr="00DB426E">
        <w:t>).</w:t>
      </w:r>
    </w:p>
    <w:p w:rsidR="006D3AB5" w:rsidRPr="00DB426E" w:rsidRDefault="006D3AB5" w:rsidP="006D3AB5">
      <w:pPr>
        <w:rPr>
          <w:lang w:eastAsia="lv-LV"/>
        </w:rPr>
      </w:pPr>
      <w:r w:rsidRPr="00DB426E">
        <w:t xml:space="preserve">Vidējo rūpniecības uzņēmumu grupā (kuru darbinieku skaits ir no 50 līdz 250) inovāciju uzņēmumu īpatsvars ir ievērojami zemāks – nedaudz vairāk kā trešdaļa, inovatīvo uzņēmumu apgrozījums veido 52.5% no kopējā šīs grupas uzņēmumu apgrozījuma. </w:t>
      </w:r>
    </w:p>
    <w:tbl>
      <w:tblPr>
        <w:tblW w:w="8755" w:type="dxa"/>
        <w:tblLook w:val="04A0" w:firstRow="1" w:lastRow="0" w:firstColumn="1" w:lastColumn="0" w:noHBand="0" w:noVBand="1"/>
      </w:tblPr>
      <w:tblGrid>
        <w:gridCol w:w="4550"/>
        <w:gridCol w:w="4746"/>
      </w:tblGrid>
      <w:tr w:rsidR="006D3AB5" w:rsidRPr="00DB426E" w:rsidTr="006D3AB5">
        <w:trPr>
          <w:trHeight w:val="1026"/>
        </w:trPr>
        <w:tc>
          <w:tcPr>
            <w:tcW w:w="4416" w:type="dxa"/>
            <w:shd w:val="clear" w:color="auto" w:fill="auto"/>
          </w:tcPr>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15</w:t>
            </w:r>
            <w:r w:rsidR="009B0188">
              <w:rPr>
                <w:noProof/>
              </w:rPr>
              <w:fldChar w:fldCharType="end"/>
            </w:r>
            <w:r w:rsidRPr="00DB426E">
              <w:t>.Kopēja uzņēmumu skaita sadalījums pa lieluma grupām</w:t>
            </w:r>
          </w:p>
        </w:tc>
        <w:tc>
          <w:tcPr>
            <w:tcW w:w="4339" w:type="dxa"/>
            <w:shd w:val="clear" w:color="auto" w:fill="auto"/>
          </w:tcPr>
          <w:p w:rsidR="006D3AB5" w:rsidRPr="00DB426E" w:rsidRDefault="006D3AB5" w:rsidP="006D3AB5">
            <w:pPr>
              <w:pStyle w:val="Caption"/>
            </w:pPr>
            <w:bookmarkStart w:id="44" w:name="_Ref355019307"/>
            <w:r w:rsidRPr="00DB426E">
              <w:t xml:space="preserve">Attēls </w:t>
            </w:r>
            <w:r w:rsidR="009B0188">
              <w:fldChar w:fldCharType="begin"/>
            </w:r>
            <w:r w:rsidR="009B0188">
              <w:instrText xml:space="preserve"> STYLEREF </w:instrText>
            </w:r>
            <w:r w:rsidR="009B0188">
              <w:instrText xml:space="preserve">1 \s </w:instrText>
            </w:r>
            <w:r w:rsidR="009B0188">
              <w:fldChar w:fldCharType="separate"/>
            </w:r>
            <w:r w:rsidR="00FC2687">
              <w:rPr>
                <w:noProof/>
              </w:rPr>
              <w:t>1</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16</w:t>
            </w:r>
            <w:r w:rsidR="009B0188">
              <w:rPr>
                <w:noProof/>
              </w:rPr>
              <w:fldChar w:fldCharType="end"/>
            </w:r>
            <w:bookmarkEnd w:id="44"/>
            <w:r w:rsidRPr="00DB426E">
              <w:t>.Inovatīvo un neinovatīvo uzņēmumu attiecība katrā grupā</w:t>
            </w:r>
          </w:p>
        </w:tc>
      </w:tr>
      <w:tr w:rsidR="006D3AB5" w:rsidRPr="00DB426E" w:rsidTr="006D3AB5">
        <w:tc>
          <w:tcPr>
            <w:tcW w:w="4416" w:type="dxa"/>
            <w:shd w:val="clear" w:color="auto" w:fill="auto"/>
          </w:tcPr>
          <w:p w:rsidR="006D3AB5" w:rsidRPr="00DB426E" w:rsidRDefault="006C3F27" w:rsidP="006D3AB5">
            <w:r>
              <w:rPr>
                <w:noProof/>
                <w:lang w:eastAsia="lv-LV"/>
              </w:rPr>
              <w:drawing>
                <wp:inline distT="0" distB="0" distL="0" distR="0" wp14:anchorId="7179F78A" wp14:editId="6F1A6B21">
                  <wp:extent cx="2733040" cy="189992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srcRect/>
                          <a:stretch>
                            <a:fillRect/>
                          </a:stretch>
                        </pic:blipFill>
                        <pic:spPr bwMode="auto">
                          <a:xfrm>
                            <a:off x="0" y="0"/>
                            <a:ext cx="2733040" cy="1899920"/>
                          </a:xfrm>
                          <a:prstGeom prst="rect">
                            <a:avLst/>
                          </a:prstGeom>
                          <a:noFill/>
                          <a:ln w="9525">
                            <a:noFill/>
                            <a:miter lim="800000"/>
                            <a:headEnd/>
                            <a:tailEnd/>
                          </a:ln>
                        </pic:spPr>
                      </pic:pic>
                    </a:graphicData>
                  </a:graphic>
                </wp:inline>
              </w:drawing>
            </w:r>
          </w:p>
        </w:tc>
        <w:tc>
          <w:tcPr>
            <w:tcW w:w="4339" w:type="dxa"/>
            <w:shd w:val="clear" w:color="auto" w:fill="auto"/>
          </w:tcPr>
          <w:p w:rsidR="006D3AB5" w:rsidRPr="00DB426E" w:rsidRDefault="006C3F27" w:rsidP="006D3AB5">
            <w:pPr>
              <w:keepNext/>
            </w:pPr>
            <w:r>
              <w:rPr>
                <w:noProof/>
                <w:lang w:eastAsia="lv-LV"/>
              </w:rPr>
              <w:drawing>
                <wp:inline distT="0" distB="0" distL="0" distR="0" wp14:anchorId="638CD6E2" wp14:editId="2D1C8CB8">
                  <wp:extent cx="2854960" cy="1940560"/>
                  <wp:effectExtent l="1905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2854960" cy="1940560"/>
                          </a:xfrm>
                          <a:prstGeom prst="rect">
                            <a:avLst/>
                          </a:prstGeom>
                          <a:noFill/>
                          <a:ln w="9525">
                            <a:noFill/>
                            <a:miter lim="800000"/>
                            <a:headEnd/>
                            <a:tailEnd/>
                          </a:ln>
                        </pic:spPr>
                      </pic:pic>
                    </a:graphicData>
                  </a:graphic>
                </wp:inline>
              </w:drawing>
            </w:r>
          </w:p>
        </w:tc>
      </w:tr>
    </w:tbl>
    <w:p w:rsidR="006D3AB5" w:rsidRPr="00DB426E" w:rsidRDefault="006D3AB5" w:rsidP="006D3AB5">
      <w:pPr>
        <w:rPr>
          <w:lang w:eastAsia="lv-LV"/>
        </w:rPr>
      </w:pPr>
      <w:r w:rsidRPr="00DB426E">
        <w:rPr>
          <w:i/>
          <w:lang w:eastAsia="lv-LV"/>
        </w:rPr>
        <w:t>Avots: LR CSP datu bāze</w:t>
      </w:r>
    </w:p>
    <w:p w:rsidR="006D3AB5" w:rsidRPr="00DB426E" w:rsidRDefault="006D3AB5" w:rsidP="006D3AB5">
      <w:pPr>
        <w:rPr>
          <w:lang w:eastAsia="lv-LV"/>
        </w:rPr>
      </w:pPr>
    </w:p>
    <w:p w:rsidR="006D3AB5" w:rsidRPr="00DB426E" w:rsidRDefault="006D3AB5" w:rsidP="006D3AB5">
      <w:pPr>
        <w:pStyle w:val="Caption"/>
        <w:jc w:val="left"/>
      </w:pPr>
      <w:bookmarkStart w:id="45" w:name="_Ref353727212"/>
      <w:r w:rsidRPr="00DB426E">
        <w:t xml:space="preserve">Tabula </w:t>
      </w:r>
      <w:r w:rsidR="009B0188">
        <w:fldChar w:fldCharType="begin"/>
      </w:r>
      <w:r w:rsidR="009B0188">
        <w:instrText xml:space="preserve"> STYLEREF 1 \s </w:instrText>
      </w:r>
      <w:r w:rsidR="009B0188">
        <w:fldChar w:fldCharType="separate"/>
      </w:r>
      <w:r w:rsidR="00BE6FC8">
        <w:rPr>
          <w:noProof/>
        </w:rPr>
        <w:t>1</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5</w:t>
      </w:r>
      <w:r w:rsidR="009B0188">
        <w:rPr>
          <w:noProof/>
        </w:rPr>
        <w:fldChar w:fldCharType="end"/>
      </w:r>
      <w:bookmarkEnd w:id="45"/>
      <w:r w:rsidRPr="00DB426E">
        <w:t xml:space="preserve">. Inovatīvo uzņēmumu apgrozījuma un strādājošo skaita īpatsvars sadalījumā pa darbības jomām, 2004.-2010.g. </w:t>
      </w:r>
    </w:p>
    <w:p w:rsidR="006D3AB5" w:rsidRPr="00DB426E" w:rsidRDefault="006C3F27" w:rsidP="006D3AB5">
      <w:r>
        <w:rPr>
          <w:noProof/>
          <w:lang w:eastAsia="lv-LV"/>
        </w:rPr>
        <w:drawing>
          <wp:inline distT="0" distB="0" distL="0" distR="0" wp14:anchorId="3B4F48E8" wp14:editId="6BACD2DB">
            <wp:extent cx="5273040" cy="2580640"/>
            <wp:effectExtent l="19050" t="0" r="381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a:stretch>
                      <a:fillRect/>
                    </a:stretch>
                  </pic:blipFill>
                  <pic:spPr bwMode="auto">
                    <a:xfrm>
                      <a:off x="0" y="0"/>
                      <a:ext cx="5273040" cy="2580640"/>
                    </a:xfrm>
                    <a:prstGeom prst="rect">
                      <a:avLst/>
                    </a:prstGeom>
                    <a:noFill/>
                    <a:ln w="9525">
                      <a:noFill/>
                      <a:miter lim="800000"/>
                      <a:headEnd/>
                      <a:tailEnd/>
                    </a:ln>
                  </pic:spPr>
                </pic:pic>
              </a:graphicData>
            </a:graphic>
          </wp:inline>
        </w:drawing>
      </w:r>
    </w:p>
    <w:p w:rsidR="006D3AB5" w:rsidRPr="00DB426E" w:rsidRDefault="006D3AB5" w:rsidP="006D3AB5">
      <w:pPr>
        <w:rPr>
          <w:i/>
          <w:lang w:eastAsia="lv-LV"/>
        </w:rPr>
      </w:pPr>
      <w:r w:rsidRPr="00DB426E">
        <w:rPr>
          <w:i/>
          <w:lang w:eastAsia="lv-LV"/>
        </w:rPr>
        <w:t>Avots: LR CSP datu bāze</w:t>
      </w:r>
    </w:p>
    <w:p w:rsidR="006D3AB5" w:rsidRPr="00DB426E" w:rsidRDefault="006D3AB5" w:rsidP="006D3AB5">
      <w:pPr>
        <w:rPr>
          <w:lang w:eastAsia="lv-LV"/>
        </w:rPr>
      </w:pPr>
      <w:r w:rsidRPr="00DB426E">
        <w:rPr>
          <w:lang w:eastAsia="lv-LV"/>
        </w:rPr>
        <w:t>No skaitliski vislielākās mazo uzņēmumu grupas (darbinieku skaits no 10 līdz 50) par inovatīviem tiek uzskatīti 28% rūpnieciskās ražošanas un 26% - pakalpojumu jomas uzņēmumu.</w:t>
      </w:r>
    </w:p>
    <w:p w:rsidR="006D3AB5" w:rsidRPr="00DB426E" w:rsidRDefault="006D3AB5" w:rsidP="006D3AB5">
      <w:pPr>
        <w:rPr>
          <w:lang w:eastAsia="lv-LV"/>
        </w:rPr>
      </w:pPr>
      <w:r w:rsidRPr="00DB426E">
        <w:rPr>
          <w:lang w:eastAsia="lv-LV"/>
        </w:rPr>
        <w:t>Rūpnieciskajā sektorā krīzes rezultātā mazo un vidējo inovatīvo uzņēmumu īpatsvars kopējā apgrozījumā samazinājās, lielajiem inovatīvajiem uzņēmumiem izdevās saglabāt savas pozīcijas, pateicoties ieguves rūpniecībai. Pakalpojumu jomā ir vērojama pretēja tendence - mazo un vidējo inovatīvo uzņēmumu īpatsvars kopējā apgrozījumā palielinājās, bet lielie uzņēmumi savu īpatsvaru samazināja no 79% līdz 67%</w:t>
      </w:r>
    </w:p>
    <w:p w:rsidR="006D3AB5" w:rsidRPr="00DB426E" w:rsidRDefault="006D3AB5" w:rsidP="00475128">
      <w:pPr>
        <w:pStyle w:val="Heading2"/>
        <w:numPr>
          <w:ilvl w:val="1"/>
          <w:numId w:val="4"/>
        </w:numPr>
        <w:suppressAutoHyphens w:val="0"/>
        <w:spacing w:before="240" w:after="60"/>
        <w:jc w:val="both"/>
        <w:rPr>
          <w:lang w:eastAsia="lv-LV"/>
        </w:rPr>
      </w:pPr>
      <w:bookmarkStart w:id="46" w:name="_Toc355007914"/>
      <w:bookmarkStart w:id="47" w:name="_Toc355008077"/>
      <w:bookmarkStart w:id="48" w:name="_Toc356472824"/>
      <w:bookmarkStart w:id="49" w:name="_Toc358978687"/>
      <w:r w:rsidRPr="00DB426E">
        <w:rPr>
          <w:lang w:eastAsia="lv-LV"/>
        </w:rPr>
        <w:t>Rezumējums</w:t>
      </w:r>
      <w:bookmarkEnd w:id="46"/>
      <w:bookmarkEnd w:id="47"/>
      <w:bookmarkEnd w:id="48"/>
      <w:bookmarkEnd w:id="49"/>
      <w:r w:rsidRPr="00DB426E">
        <w:rPr>
          <w:lang w:eastAsia="lv-LV"/>
        </w:rPr>
        <w:t xml:space="preserve"> </w:t>
      </w:r>
    </w:p>
    <w:p w:rsidR="006D3AB5" w:rsidRPr="00DB426E" w:rsidRDefault="006D3AB5" w:rsidP="00A57024">
      <w:pPr>
        <w:numPr>
          <w:ilvl w:val="0"/>
          <w:numId w:val="85"/>
        </w:numPr>
        <w:spacing w:after="0"/>
        <w:ind w:left="714" w:hanging="357"/>
        <w:contextualSpacing/>
      </w:pPr>
      <w:r w:rsidRPr="00DB426E">
        <w:t>Uz Eiropas Savienības dalībvalstu fona Latvijai ir vājas pozīcijas zinātnisko pētījumu un inovāciju finansēšanas jomā. Atbilstoši datiem par 2011.gadu ZP izdevumi vidēji 27 Eiropas Savienības dalībvalstīs veidoja 2.03% no IKP, Latvijā - 0.7% no IKP. Pēc inovāciju līmeņa (2010.gada dati) Latvija ir pieticīgo novatoru grupā (pēdējā vietā no 27 valstīm).</w:t>
      </w:r>
    </w:p>
    <w:p w:rsidR="006D3AB5" w:rsidRPr="00DB426E" w:rsidRDefault="006D3AB5" w:rsidP="00A57024">
      <w:pPr>
        <w:numPr>
          <w:ilvl w:val="0"/>
          <w:numId w:val="85"/>
        </w:numPr>
        <w:spacing w:after="0"/>
        <w:ind w:left="714" w:hanging="357"/>
        <w:contextualSpacing/>
      </w:pPr>
      <w:r w:rsidRPr="00DB426E">
        <w:t>Zinātniski pētniecisko darbu finansējuma struktūrā vairumā līderu valstu dominē privātais finansējums, Latvijā privāto līdzekļu īpatsvars nepārsniedz 25%, aptuveni tikpat (24.9%) tiek finansēti no valsts līdzekļiem, un 51% ir ārvalstu finansējums.</w:t>
      </w:r>
    </w:p>
    <w:p w:rsidR="006D3AB5" w:rsidRPr="00DB426E" w:rsidRDefault="006D3AB5" w:rsidP="00A57024">
      <w:pPr>
        <w:numPr>
          <w:ilvl w:val="0"/>
          <w:numId w:val="85"/>
        </w:numPr>
        <w:spacing w:after="0"/>
        <w:ind w:left="714" w:hanging="357"/>
        <w:contextualSpacing/>
      </w:pPr>
      <w:r w:rsidRPr="00DB426E">
        <w:t>Atbilstoši statistikas datiem privātie līdzekļi praktiski pilnā apmērā tiek izmantoti uzņēmējdarbības sektorā. Aptuveni 70% no zinātniskajos pētījumos ieguldītajiem līdzekļiem rod praktisku pielietojumu un atspoguļojas statistikā par inovācijām (P&amp;A izdevumi).</w:t>
      </w:r>
    </w:p>
    <w:p w:rsidR="006D3AB5" w:rsidRPr="00B24F7E" w:rsidRDefault="006D3AB5" w:rsidP="00A57024">
      <w:pPr>
        <w:numPr>
          <w:ilvl w:val="0"/>
          <w:numId w:val="85"/>
        </w:numPr>
        <w:spacing w:after="0"/>
        <w:contextualSpacing/>
        <w:rPr>
          <w:rFonts w:asciiTheme="minorHAnsi" w:hAnsiTheme="minorHAnsi"/>
        </w:rPr>
      </w:pPr>
      <w:r w:rsidRPr="00DB426E">
        <w:t xml:space="preserve">Pēc 2010.gada datiem kopējie izdevumi inovācijai sastādīja 92.6 milj. Ls, t.sk. pētījumu un attīstības izdevumi - 20.9 milj. Ls (23%), ieviešanas izdevumi (mašīnu un iekārtu </w:t>
      </w:r>
      <w:r w:rsidRPr="00B24F7E">
        <w:rPr>
          <w:rFonts w:asciiTheme="minorHAnsi" w:hAnsiTheme="minorHAnsi"/>
        </w:rPr>
        <w:t>iegāde) -71.7 milj. Ls (77%). T.i., uz katru pētniecībā ieguldīto latu praktiskai realizācijai vidēji ir nepieciešami 3.4 lati.</w:t>
      </w:r>
    </w:p>
    <w:p w:rsidR="00B24F7E" w:rsidRPr="00B24F7E" w:rsidRDefault="00B24F7E" w:rsidP="00B24F7E">
      <w:pPr>
        <w:spacing w:before="96" w:after="120" w:line="288" w:lineRule="auto"/>
        <w:rPr>
          <w:rFonts w:asciiTheme="minorHAnsi" w:eastAsia="Arial" w:hAnsiTheme="minorHAnsi"/>
          <w:highlight w:val="white"/>
        </w:rPr>
      </w:pPr>
      <w:r w:rsidRPr="00B24F7E">
        <w:rPr>
          <w:rFonts w:asciiTheme="minorHAnsi" w:eastAsia="Arial" w:hAnsiTheme="minorHAnsi"/>
          <w:highlight w:val="white"/>
        </w:rPr>
        <w:t>Bez tam, raugoties uz R&amp;D jomu globālā mērogā jāsecina sekojošais:</w:t>
      </w:r>
    </w:p>
    <w:p w:rsidR="00B24F7E" w:rsidRPr="00F13BD2" w:rsidRDefault="00B24F7E" w:rsidP="00B24F7E">
      <w:pPr>
        <w:pStyle w:val="ListParagraph"/>
        <w:numPr>
          <w:ilvl w:val="0"/>
          <w:numId w:val="113"/>
        </w:numPr>
        <w:spacing w:before="96" w:after="120" w:line="288" w:lineRule="auto"/>
        <w:rPr>
          <w:rFonts w:asciiTheme="minorHAnsi" w:hAnsiTheme="minorHAnsi"/>
          <w:szCs w:val="22"/>
          <w:lang w:val="lv-LV"/>
        </w:rPr>
      </w:pPr>
      <w:r w:rsidRPr="00F13BD2">
        <w:rPr>
          <w:rFonts w:asciiTheme="minorHAnsi" w:eastAsia="Arial" w:hAnsiTheme="minorHAnsi"/>
          <w:szCs w:val="22"/>
          <w:highlight w:val="white"/>
          <w:lang w:val="lv-LV"/>
        </w:rPr>
        <w:t xml:space="preserve">Informācijas telpa, pateicoties zinātnes sasniegumiem IT jomā, ir kļuvusi globāla. Tāda ir arī informācija par zinātnes sasniegumiem, kā arī pats zinātnisko pētījumu process. Turklāt R&amp;D arvien ciešāk tiek saistīti </w:t>
      </w:r>
      <w:proofErr w:type="spellStart"/>
      <w:r w:rsidRPr="00F13BD2">
        <w:rPr>
          <w:rFonts w:asciiTheme="minorHAnsi" w:eastAsia="Arial" w:hAnsiTheme="minorHAnsi"/>
          <w:szCs w:val="22"/>
          <w:highlight w:val="white"/>
          <w:lang w:val="lv-LV"/>
        </w:rPr>
        <w:t>ar inovāciju</w:t>
      </w:r>
      <w:proofErr w:type="spellEnd"/>
      <w:r w:rsidRPr="00F13BD2">
        <w:rPr>
          <w:rFonts w:asciiTheme="minorHAnsi" w:eastAsia="Arial" w:hAnsiTheme="minorHAnsi"/>
          <w:szCs w:val="22"/>
          <w:highlight w:val="white"/>
          <w:lang w:val="lv-LV"/>
        </w:rPr>
        <w:t>, kas arī ir globāls process.</w:t>
      </w:r>
    </w:p>
    <w:p w:rsidR="00B24F7E" w:rsidRPr="00F13BD2" w:rsidRDefault="00B24F7E" w:rsidP="00B24F7E">
      <w:pPr>
        <w:pStyle w:val="ListParagraph"/>
        <w:numPr>
          <w:ilvl w:val="0"/>
          <w:numId w:val="113"/>
        </w:numPr>
        <w:spacing w:before="96" w:after="120" w:line="288" w:lineRule="auto"/>
        <w:rPr>
          <w:rFonts w:asciiTheme="minorHAnsi" w:hAnsiTheme="minorHAnsi"/>
          <w:szCs w:val="22"/>
          <w:lang w:val="lv-LV"/>
        </w:rPr>
      </w:pPr>
      <w:r w:rsidRPr="00F13BD2">
        <w:rPr>
          <w:rFonts w:asciiTheme="minorHAnsi" w:eastAsia="Arial" w:hAnsiTheme="minorHAnsi"/>
          <w:szCs w:val="22"/>
          <w:lang w:val="lv-LV"/>
        </w:rPr>
        <w:t xml:space="preserve">Saskaņā </w:t>
      </w:r>
      <w:proofErr w:type="spellStart"/>
      <w:r w:rsidRPr="00F13BD2">
        <w:rPr>
          <w:rFonts w:asciiTheme="minorHAnsi" w:eastAsia="Arial" w:hAnsiTheme="minorHAnsi"/>
          <w:color w:val="000000" w:themeColor="text1"/>
          <w:szCs w:val="22"/>
          <w:lang w:val="lv-LV"/>
        </w:rPr>
        <w:t>ar konsultēšanas</w:t>
      </w:r>
      <w:proofErr w:type="spellEnd"/>
      <w:r w:rsidRPr="00F13BD2">
        <w:rPr>
          <w:rFonts w:asciiTheme="minorHAnsi" w:eastAsia="Arial" w:hAnsiTheme="minorHAnsi"/>
          <w:color w:val="000000" w:themeColor="text1"/>
          <w:szCs w:val="22"/>
          <w:lang w:val="lv-LV"/>
        </w:rPr>
        <w:t xml:space="preserve"> kompānijas </w:t>
      </w:r>
      <w:proofErr w:type="spellStart"/>
      <w:r w:rsidRPr="00F13BD2">
        <w:rPr>
          <w:rFonts w:asciiTheme="minorHAnsi" w:eastAsia="Arial" w:hAnsiTheme="minorHAnsi"/>
          <w:color w:val="000000" w:themeColor="text1"/>
          <w:szCs w:val="22"/>
          <w:lang w:val="lv-LV"/>
        </w:rPr>
        <w:t>KPMG pētījumu</w:t>
      </w:r>
      <w:proofErr w:type="spellEnd"/>
      <w:r w:rsidRPr="00F13BD2">
        <w:rPr>
          <w:rFonts w:asciiTheme="minorHAnsi" w:eastAsia="Arial" w:hAnsiTheme="minorHAnsi"/>
          <w:color w:val="000000" w:themeColor="text1"/>
          <w:szCs w:val="22"/>
          <w:lang w:val="lv-LV"/>
        </w:rPr>
        <w:t>, tuvākajos 4-5 gados pasaules līderi inovācijas jomā būs ASV un Ķīna. Taču līdzšinējais nozīmīgākais pasaules inovācijas centrs - Silīcija ieleja, iespējams</w:t>
      </w:r>
      <w:r w:rsidRPr="00F13BD2">
        <w:rPr>
          <w:rFonts w:asciiTheme="minorHAnsi" w:eastAsia="Arial" w:hAnsiTheme="minorHAnsi"/>
          <w:szCs w:val="22"/>
          <w:lang w:val="lv-LV"/>
        </w:rPr>
        <w:t xml:space="preserve">, zaudēs savas līdera pozīcijas </w:t>
      </w:r>
      <w:proofErr w:type="spellStart"/>
      <w:r w:rsidRPr="00F13BD2">
        <w:rPr>
          <w:rFonts w:asciiTheme="minorHAnsi" w:eastAsia="Arial" w:hAnsiTheme="minorHAnsi"/>
          <w:szCs w:val="22"/>
          <w:lang w:val="lv-LV"/>
        </w:rPr>
        <w:t>tieši </w:t>
      </w:r>
      <w:r w:rsidRPr="00F13BD2">
        <w:rPr>
          <w:rFonts w:asciiTheme="minorHAnsi" w:eastAsia="Arial" w:hAnsiTheme="minorHAnsi"/>
          <w:color w:val="000000" w:themeColor="text1"/>
          <w:szCs w:val="22"/>
          <w:lang w:val="lv-LV"/>
        </w:rPr>
        <w:t>Ķīnai</w:t>
      </w:r>
      <w:proofErr w:type="spellEnd"/>
      <w:r w:rsidRPr="00F13BD2">
        <w:rPr>
          <w:rFonts w:asciiTheme="minorHAnsi" w:eastAsia="Arial" w:hAnsiTheme="minorHAnsi"/>
          <w:szCs w:val="22"/>
          <w:lang w:val="lv-LV"/>
        </w:rPr>
        <w:t>.</w:t>
      </w:r>
    </w:p>
    <w:p w:rsidR="00B24F7E" w:rsidRPr="00F13BD2" w:rsidRDefault="00B24F7E" w:rsidP="00B24F7E">
      <w:pPr>
        <w:pStyle w:val="ListParagraph"/>
        <w:numPr>
          <w:ilvl w:val="0"/>
          <w:numId w:val="113"/>
        </w:numPr>
        <w:spacing w:before="96" w:after="120" w:line="288" w:lineRule="auto"/>
        <w:rPr>
          <w:rFonts w:asciiTheme="minorHAnsi" w:hAnsiTheme="minorHAnsi"/>
          <w:szCs w:val="22"/>
          <w:lang w:val="lv-LV"/>
        </w:rPr>
      </w:pPr>
      <w:r w:rsidRPr="00F13BD2">
        <w:rPr>
          <w:rFonts w:asciiTheme="minorHAnsi" w:eastAsia="Arial" w:hAnsiTheme="minorHAnsi"/>
          <w:szCs w:val="22"/>
          <w:lang w:val="lv-LV"/>
        </w:rPr>
        <w:t>Savukārt Eiropas Savienība pēc virknes inovācijas kritēriju zaudē ne vien ASV, bet pat tādām valstīm, kā Dienvidkoreja, Indija vai Meksika.</w:t>
      </w:r>
    </w:p>
    <w:p w:rsidR="00B24F7E" w:rsidRPr="00F13BD2" w:rsidRDefault="00B24F7E" w:rsidP="00B24F7E">
      <w:pPr>
        <w:pStyle w:val="ListParagraph"/>
        <w:numPr>
          <w:ilvl w:val="0"/>
          <w:numId w:val="113"/>
        </w:numPr>
        <w:spacing w:before="96" w:after="120" w:line="288" w:lineRule="auto"/>
        <w:rPr>
          <w:rFonts w:asciiTheme="minorHAnsi" w:hAnsiTheme="minorHAnsi"/>
          <w:szCs w:val="22"/>
          <w:lang w:val="lv-LV"/>
        </w:rPr>
      </w:pPr>
      <w:r w:rsidRPr="00F13BD2">
        <w:rPr>
          <w:rFonts w:asciiTheme="minorHAnsi" w:eastAsia="Arial" w:hAnsiTheme="minorHAnsi"/>
          <w:szCs w:val="22"/>
          <w:lang w:val="lv-LV"/>
        </w:rPr>
        <w:t xml:space="preserve">Citi pētījumi parāda atšķirīgu </w:t>
      </w:r>
      <w:r w:rsidRPr="00F13BD2">
        <w:rPr>
          <w:rFonts w:asciiTheme="minorHAnsi" w:eastAsia="Arial" w:hAnsiTheme="minorHAnsi"/>
          <w:color w:val="000000" w:themeColor="text1"/>
          <w:szCs w:val="22"/>
          <w:lang w:val="lv-LV"/>
        </w:rPr>
        <w:t>ainu - </w:t>
      </w:r>
      <w:proofErr w:type="spellStart"/>
      <w:r w:rsidRPr="00F13BD2">
        <w:rPr>
          <w:rFonts w:asciiTheme="minorHAnsi" w:eastAsia="Arial" w:hAnsiTheme="minorHAnsi"/>
          <w:color w:val="000000" w:themeColor="text1"/>
          <w:szCs w:val="22"/>
          <w:lang w:val="lv-LV"/>
        </w:rPr>
        <w:t>Pro</w:t>
      </w:r>
      <w:proofErr w:type="spellEnd"/>
      <w:r w:rsidRPr="00F13BD2">
        <w:rPr>
          <w:rFonts w:asciiTheme="minorHAnsi" w:eastAsia="Arial" w:hAnsiTheme="minorHAnsi"/>
          <w:color w:val="000000" w:themeColor="text1"/>
          <w:szCs w:val="22"/>
          <w:lang w:val="lv-LV"/>
        </w:rPr>
        <w:t xml:space="preserve"> </w:t>
      </w:r>
      <w:proofErr w:type="spellStart"/>
      <w:r w:rsidRPr="00F13BD2">
        <w:rPr>
          <w:rFonts w:asciiTheme="minorHAnsi" w:eastAsia="Arial" w:hAnsiTheme="minorHAnsi"/>
          <w:color w:val="000000" w:themeColor="text1"/>
          <w:szCs w:val="22"/>
          <w:lang w:val="lv-LV"/>
        </w:rPr>
        <w:t>Inno</w:t>
      </w:r>
      <w:proofErr w:type="spellEnd"/>
      <w:r w:rsidRPr="00F13BD2">
        <w:rPr>
          <w:rFonts w:asciiTheme="minorHAnsi" w:eastAsia="Arial" w:hAnsiTheme="minorHAnsi"/>
          <w:color w:val="000000" w:themeColor="text1"/>
          <w:szCs w:val="22"/>
          <w:lang w:val="lv-LV"/>
        </w:rPr>
        <w:t xml:space="preserve"> </w:t>
      </w:r>
      <w:proofErr w:type="spellStart"/>
      <w:r w:rsidRPr="00F13BD2">
        <w:rPr>
          <w:rFonts w:asciiTheme="minorHAnsi" w:eastAsia="Arial" w:hAnsiTheme="minorHAnsi"/>
          <w:color w:val="000000" w:themeColor="text1"/>
          <w:szCs w:val="22"/>
          <w:lang w:val="lv-LV"/>
        </w:rPr>
        <w:t>Europe</w:t>
      </w:r>
      <w:proofErr w:type="spellEnd"/>
      <w:r w:rsidRPr="00F13BD2">
        <w:rPr>
          <w:rFonts w:asciiTheme="minorHAnsi" w:eastAsia="Arial" w:hAnsiTheme="minorHAnsi"/>
          <w:color w:val="000000" w:themeColor="text1"/>
          <w:szCs w:val="22"/>
          <w:lang w:val="lv-LV"/>
        </w:rPr>
        <w:t xml:space="preserve"> </w:t>
      </w:r>
      <w:proofErr w:type="spellStart"/>
      <w:r w:rsidRPr="00F13BD2">
        <w:rPr>
          <w:rFonts w:asciiTheme="minorHAnsi" w:eastAsia="Arial" w:hAnsiTheme="minorHAnsi"/>
          <w:color w:val="000000" w:themeColor="text1"/>
          <w:szCs w:val="22"/>
          <w:lang w:val="lv-LV"/>
        </w:rPr>
        <w:t>apskats rāda</w:t>
      </w:r>
      <w:proofErr w:type="spellEnd"/>
      <w:r w:rsidRPr="00F13BD2">
        <w:rPr>
          <w:rFonts w:asciiTheme="minorHAnsi" w:eastAsia="Arial" w:hAnsiTheme="minorHAnsi"/>
          <w:color w:val="000000" w:themeColor="text1"/>
          <w:szCs w:val="22"/>
          <w:lang w:val="lv-LV"/>
        </w:rPr>
        <w:t>, ka ASV jau ir zaudējušas pasaules līdera pozīcijas un inovācijas ziņā ir tikai 4. vietā, bet Eiropas Savienība 18.</w:t>
      </w:r>
    </w:p>
    <w:p w:rsidR="00B24F7E" w:rsidRPr="00F13BD2" w:rsidRDefault="00B24F7E" w:rsidP="00B24F7E">
      <w:pPr>
        <w:pStyle w:val="ListParagraph"/>
        <w:numPr>
          <w:ilvl w:val="0"/>
          <w:numId w:val="113"/>
        </w:numPr>
        <w:spacing w:before="96" w:after="120" w:line="288" w:lineRule="auto"/>
        <w:rPr>
          <w:rFonts w:asciiTheme="minorHAnsi" w:hAnsiTheme="minorHAnsi"/>
          <w:szCs w:val="22"/>
          <w:lang w:val="lv-LV"/>
        </w:rPr>
      </w:pPr>
      <w:r w:rsidRPr="00F13BD2">
        <w:rPr>
          <w:rFonts w:asciiTheme="minorHAnsi" w:eastAsia="Arial" w:hAnsiTheme="minorHAnsi"/>
          <w:color w:val="000000" w:themeColor="text1"/>
          <w:szCs w:val="22"/>
          <w:lang w:val="lv-LV"/>
        </w:rPr>
        <w:t xml:space="preserve">Eiropas atpalicība inovācijas jomā turpina </w:t>
      </w:r>
      <w:r w:rsidR="00F13BD2">
        <w:rPr>
          <w:rFonts w:asciiTheme="minorHAnsi" w:eastAsia="Arial" w:hAnsiTheme="minorHAnsi"/>
          <w:color w:val="000000" w:themeColor="text1"/>
          <w:szCs w:val="22"/>
          <w:lang w:val="lv-LV"/>
        </w:rPr>
        <w:t>„</w:t>
      </w:r>
      <w:r w:rsidRPr="00F13BD2">
        <w:rPr>
          <w:rFonts w:asciiTheme="minorHAnsi" w:eastAsia="Arial" w:hAnsiTheme="minorHAnsi"/>
          <w:color w:val="000000" w:themeColor="text1"/>
          <w:szCs w:val="22"/>
          <w:lang w:val="lv-LV"/>
        </w:rPr>
        <w:t>iekonservēties</w:t>
      </w:r>
      <w:r w:rsidR="00F13BD2">
        <w:rPr>
          <w:rFonts w:asciiTheme="minorHAnsi" w:eastAsia="Arial" w:hAnsiTheme="minorHAnsi"/>
          <w:color w:val="000000" w:themeColor="text1"/>
          <w:szCs w:val="22"/>
          <w:lang w:val="lv-LV"/>
        </w:rPr>
        <w:t>”</w:t>
      </w:r>
      <w:r w:rsidRPr="00F13BD2">
        <w:rPr>
          <w:rFonts w:asciiTheme="minorHAnsi" w:eastAsia="Arial" w:hAnsiTheme="minorHAnsi"/>
          <w:color w:val="000000" w:themeColor="text1"/>
          <w:szCs w:val="22"/>
          <w:lang w:val="lv-LV"/>
        </w:rPr>
        <w:t>, jo tās pētījumu un attīstības (R&amp;D), jeb, pēc jaunākās ES terminoloģijas – pētījumu un tehnoloģiskās attīstības (R&amp;D)</w:t>
      </w:r>
      <w:r w:rsidRPr="00F13BD2">
        <w:rPr>
          <w:szCs w:val="22"/>
          <w:vertAlign w:val="superscript"/>
          <w:lang w:val="lv-LV"/>
        </w:rPr>
        <w:footnoteReference w:id="4"/>
      </w:r>
      <w:r w:rsidRPr="00F13BD2">
        <w:rPr>
          <w:rFonts w:asciiTheme="minorHAnsi" w:eastAsia="Arial" w:hAnsiTheme="minorHAnsi"/>
          <w:color w:val="000000" w:themeColor="text1"/>
          <w:szCs w:val="22"/>
          <w:lang w:val="lv-LV"/>
        </w:rPr>
        <w:t xml:space="preserve"> investīcijas pieaug nepietiekoši ātri. Tā, saskaņā </w:t>
      </w:r>
      <w:proofErr w:type="spellStart"/>
      <w:r w:rsidRPr="00F13BD2">
        <w:rPr>
          <w:rFonts w:asciiTheme="minorHAnsi" w:eastAsia="Arial" w:hAnsiTheme="minorHAnsi"/>
          <w:color w:val="000000" w:themeColor="text1"/>
          <w:szCs w:val="22"/>
          <w:lang w:val="lv-LV"/>
        </w:rPr>
        <w:t>ar kompānijas</w:t>
      </w:r>
      <w:proofErr w:type="spellEnd"/>
      <w:r w:rsidRPr="00F13BD2">
        <w:rPr>
          <w:rFonts w:asciiTheme="minorHAnsi" w:eastAsia="Arial" w:hAnsiTheme="minorHAnsi"/>
          <w:color w:val="000000" w:themeColor="text1"/>
          <w:szCs w:val="22"/>
          <w:lang w:val="lv-LV"/>
        </w:rPr>
        <w:t xml:space="preserve"> </w:t>
      </w:r>
      <w:proofErr w:type="spellStart"/>
      <w:r w:rsidRPr="00F13BD2">
        <w:rPr>
          <w:rFonts w:asciiTheme="minorHAnsi" w:eastAsia="Arial" w:hAnsiTheme="minorHAnsi"/>
          <w:color w:val="000000" w:themeColor="text1"/>
          <w:szCs w:val="22"/>
          <w:lang w:val="lv-LV"/>
        </w:rPr>
        <w:t>Booz</w:t>
      </w:r>
      <w:proofErr w:type="spellEnd"/>
      <w:r w:rsidRPr="00F13BD2">
        <w:rPr>
          <w:rFonts w:asciiTheme="minorHAnsi" w:eastAsia="Arial" w:hAnsiTheme="minorHAnsi"/>
          <w:color w:val="000000" w:themeColor="text1"/>
          <w:szCs w:val="22"/>
          <w:lang w:val="lv-LV"/>
        </w:rPr>
        <w:t xml:space="preserve"> analīzi, šīs investīcijas Eiropā 2010.-2011. gadā palielinājās par 5.4%, laikā, kad Ziemeļamerikā par 9.4%, bet Ķīnā un Indijā par 27.2%. Šinī sakarā aktuāls kļūst jautājums par ES, vēl jo vairāk Latvijas</w:t>
      </w:r>
      <w:r w:rsidRPr="00F13BD2">
        <w:rPr>
          <w:rFonts w:asciiTheme="minorHAnsi" w:eastAsia="Arial" w:hAnsiTheme="minorHAnsi"/>
          <w:szCs w:val="22"/>
          <w:lang w:val="lv-LV"/>
        </w:rPr>
        <w:t>, atpalikšanas iemesliem. Viens no galvenajiem iemesliem, it īpaši Latvijā, ir nepietiekošs R&amp;D finansējums, līdz ar virkni neatrisinātu problēmu R&amp;D un inovācijas procesu organizācijā un koordinācijā.</w:t>
      </w:r>
    </w:p>
    <w:p w:rsidR="006D3AB5" w:rsidRPr="00DB426E" w:rsidRDefault="006D3AB5" w:rsidP="00450F0F">
      <w:pPr>
        <w:rPr>
          <w:lang w:eastAsia="lv-LV"/>
        </w:rPr>
      </w:pPr>
      <w:r w:rsidRPr="00DB426E">
        <w:rPr>
          <w:lang w:eastAsia="lv-LV"/>
        </w:rPr>
        <w:t xml:space="preserve">Lai noteiktu un identificētu būtiskākās sakarības starp zinātniski pētnieciskajām izstrādnēm, inovāciju un ekonomikas pieaugumu, būtu jāņem vērā: </w:t>
      </w:r>
    </w:p>
    <w:p w:rsidR="006D3AB5" w:rsidRPr="00DB426E" w:rsidRDefault="006D3AB5" w:rsidP="00A57024">
      <w:pPr>
        <w:numPr>
          <w:ilvl w:val="0"/>
          <w:numId w:val="86"/>
        </w:numPr>
        <w:spacing w:after="0"/>
        <w:ind w:left="714" w:hanging="357"/>
        <w:contextualSpacing/>
        <w:rPr>
          <w:lang w:eastAsia="lv-LV"/>
        </w:rPr>
      </w:pPr>
      <w:r w:rsidRPr="00DB426E">
        <w:rPr>
          <w:lang w:eastAsia="lv-LV"/>
        </w:rPr>
        <w:t xml:space="preserve">Zinātniski pētnieciskais potenciāls, t.i., kvalificēti speciālisti (zinātnieki-teorētiķi un eksperimentētāji), zinātniskās skolas, pētniecības centri, t.i., sistēmas, kas rada zināšanas; </w:t>
      </w:r>
    </w:p>
    <w:p w:rsidR="006D3AB5" w:rsidRPr="00DB426E" w:rsidRDefault="006D3AB5" w:rsidP="00A57024">
      <w:pPr>
        <w:numPr>
          <w:ilvl w:val="0"/>
          <w:numId w:val="86"/>
        </w:numPr>
        <w:spacing w:after="0"/>
        <w:ind w:left="714" w:hanging="357"/>
        <w:contextualSpacing/>
        <w:rPr>
          <w:lang w:eastAsia="lv-LV"/>
        </w:rPr>
      </w:pPr>
      <w:r w:rsidRPr="00DB426E">
        <w:rPr>
          <w:lang w:eastAsia="lv-LV"/>
        </w:rPr>
        <w:t>Bāze zinātnisko pētījumu ieviešanai, t.i., komercsabiedrības, kas ieinteresētas konkurētspējas paaugstināšanā un gatavas investēt zinātniskajās izstrādēs un biznesa attīstībā;</w:t>
      </w:r>
    </w:p>
    <w:p w:rsidR="006D3AB5" w:rsidRPr="00DB426E" w:rsidRDefault="006D3AB5" w:rsidP="00A57024">
      <w:pPr>
        <w:numPr>
          <w:ilvl w:val="0"/>
          <w:numId w:val="86"/>
        </w:numPr>
        <w:spacing w:after="0"/>
        <w:ind w:left="714" w:hanging="357"/>
        <w:contextualSpacing/>
        <w:rPr>
          <w:lang w:eastAsia="lv-LV"/>
        </w:rPr>
      </w:pPr>
      <w:r w:rsidRPr="00DB426E">
        <w:rPr>
          <w:lang w:eastAsia="lv-LV"/>
        </w:rPr>
        <w:t xml:space="preserve">Inovācijas rezultativitāte </w:t>
      </w:r>
      <w:proofErr w:type="spellStart"/>
      <w:r w:rsidRPr="00DB426E">
        <w:rPr>
          <w:i/>
          <w:lang w:eastAsia="lv-LV"/>
        </w:rPr>
        <w:t>mikro</w:t>
      </w:r>
      <w:proofErr w:type="spellEnd"/>
      <w:r w:rsidRPr="00DB426E">
        <w:rPr>
          <w:i/>
          <w:lang w:eastAsia="lv-LV"/>
        </w:rPr>
        <w:t xml:space="preserve"> </w:t>
      </w:r>
      <w:r w:rsidRPr="00DB426E">
        <w:rPr>
          <w:lang w:eastAsia="lv-LV"/>
        </w:rPr>
        <w:t>un</w:t>
      </w:r>
      <w:r w:rsidRPr="00DB426E">
        <w:rPr>
          <w:i/>
          <w:lang w:eastAsia="lv-LV"/>
        </w:rPr>
        <w:t xml:space="preserve"> makro </w:t>
      </w:r>
      <w:r w:rsidRPr="00DB426E">
        <w:rPr>
          <w:lang w:eastAsia="lv-LV"/>
        </w:rPr>
        <w:t>līmenī</w:t>
      </w:r>
      <w:r w:rsidRPr="00DB426E">
        <w:rPr>
          <w:i/>
          <w:lang w:eastAsia="lv-LV"/>
        </w:rPr>
        <w:t xml:space="preserve"> </w:t>
      </w:r>
      <w:r w:rsidRPr="00DB426E">
        <w:rPr>
          <w:lang w:eastAsia="lv-LV"/>
        </w:rPr>
        <w:t xml:space="preserve">(inovāciju uzņēmumu darbības efektivitāte, pievienotās vērtības palielināšana inovāciju nozarēs u. tml.). </w:t>
      </w:r>
    </w:p>
    <w:p w:rsidR="006D3AB5" w:rsidRPr="00DB426E" w:rsidRDefault="006D3AB5" w:rsidP="00450F0F">
      <w:pPr>
        <w:rPr>
          <w:lang w:eastAsia="lv-LV"/>
        </w:rPr>
      </w:pPr>
      <w:r w:rsidRPr="00DB426E">
        <w:rPr>
          <w:lang w:eastAsia="lv-LV"/>
        </w:rPr>
        <w:t>Kā būtiskākie faktori, kas valsts mērogā stimulē inovatīvos procesus, ir privātā finansējuma piesaiste zinātniskiem pētījumiem, valsts atbalsta programmas, nodokļu atvieglojumu mehānismi, specializētie fondi (garantiju fonds, attīstības fonds u. c.)</w:t>
      </w:r>
      <w:r w:rsidR="006D3427">
        <w:rPr>
          <w:lang w:eastAsia="lv-LV"/>
        </w:rPr>
        <w:t>, kā arī mērķtiecīga inovācijas procesa organizācija un koordinācija valsts mērogā</w:t>
      </w:r>
      <w:r w:rsidRPr="00DB426E">
        <w:rPr>
          <w:lang w:eastAsia="lv-LV"/>
        </w:rPr>
        <w:t>.</w:t>
      </w:r>
    </w:p>
    <w:p w:rsidR="006D3AB5" w:rsidRPr="00DB426E" w:rsidRDefault="006D3AB5" w:rsidP="00450F0F">
      <w:pPr>
        <w:rPr>
          <w:lang w:eastAsia="lv-LV"/>
        </w:rPr>
      </w:pPr>
      <w:r w:rsidRPr="00DB426E">
        <w:rPr>
          <w:lang w:eastAsia="lv-LV"/>
        </w:rPr>
        <w:t xml:space="preserve">Tālāk tiek analizēta potenciālo nodokļu atvieglojumu ietekme uz to, kā uzņēmumiem veidojas papildus finanšu resursi zinātniskiem pētījumiem. </w:t>
      </w:r>
    </w:p>
    <w:p w:rsidR="006D3AB5" w:rsidRPr="00DB426E" w:rsidRDefault="006D3AB5" w:rsidP="00475128">
      <w:pPr>
        <w:pStyle w:val="Heading1"/>
        <w:pageBreakBefore/>
        <w:widowControl/>
        <w:numPr>
          <w:ilvl w:val="0"/>
          <w:numId w:val="4"/>
        </w:numPr>
        <w:tabs>
          <w:tab w:val="clear" w:pos="284"/>
        </w:tabs>
        <w:suppressAutoHyphens w:val="0"/>
        <w:snapToGrid/>
        <w:spacing w:before="240" w:after="60"/>
        <w:ind w:left="431" w:hanging="431"/>
        <w:jc w:val="both"/>
      </w:pPr>
      <w:bookmarkStart w:id="50" w:name="_Toc356472825"/>
      <w:bookmarkStart w:id="51" w:name="_Toc358978688"/>
      <w:r w:rsidRPr="00DB426E">
        <w:t>Aptaujas rezultāti par uzņēmumu biznesa praksi pētniecības un inovāciju jomā</w:t>
      </w:r>
      <w:bookmarkEnd w:id="50"/>
      <w:bookmarkEnd w:id="51"/>
    </w:p>
    <w:p w:rsidR="00A57024" w:rsidRDefault="00A57024" w:rsidP="006D3AB5">
      <w:pPr>
        <w:shd w:val="clear" w:color="auto" w:fill="FFFFFF"/>
        <w:rPr>
          <w:rFonts w:cs="Arial"/>
          <w:sz w:val="24"/>
          <w:szCs w:val="24"/>
        </w:rPr>
      </w:pPr>
    </w:p>
    <w:p w:rsidR="006D3AB5" w:rsidRPr="00DB426E" w:rsidRDefault="006D3AB5" w:rsidP="006D3AB5">
      <w:pPr>
        <w:shd w:val="clear" w:color="auto" w:fill="FFFFFF"/>
        <w:rPr>
          <w:rFonts w:cs="Arial"/>
          <w:sz w:val="24"/>
          <w:szCs w:val="24"/>
        </w:rPr>
      </w:pPr>
      <w:r w:rsidRPr="00DB426E">
        <w:rPr>
          <w:rFonts w:cs="Arial"/>
          <w:sz w:val="24"/>
          <w:szCs w:val="24"/>
        </w:rPr>
        <w:t xml:space="preserve">Kopējais aptaujas par uzņēmumu biznesa praksi pētniecības un inovācijas jomā tehniskais ziņojums tiek pievienots dotajam pētījumam pielikumā. Šī </w:t>
      </w:r>
      <w:r w:rsidR="0063702A">
        <w:rPr>
          <w:rFonts w:cs="Arial"/>
          <w:sz w:val="24"/>
          <w:szCs w:val="24"/>
        </w:rPr>
        <w:t>ziņojuma</w:t>
      </w:r>
      <w:r w:rsidRPr="00DB426E">
        <w:rPr>
          <w:rFonts w:cs="Arial"/>
          <w:sz w:val="24"/>
          <w:szCs w:val="24"/>
        </w:rPr>
        <w:t xml:space="preserve"> ietvar</w:t>
      </w:r>
      <w:r w:rsidR="0063702A">
        <w:rPr>
          <w:rFonts w:cs="Arial"/>
          <w:sz w:val="24"/>
          <w:szCs w:val="24"/>
        </w:rPr>
        <w:t>os</w:t>
      </w:r>
      <w:r w:rsidRPr="00DB426E">
        <w:rPr>
          <w:rFonts w:cs="Arial"/>
          <w:sz w:val="24"/>
          <w:szCs w:val="24"/>
        </w:rPr>
        <w:t xml:space="preserve"> tiek sniegti galvenie secinājumi un aptaujas kopsavilkuma tabula.</w:t>
      </w:r>
    </w:p>
    <w:p w:rsidR="006D3AB5" w:rsidRPr="00DB426E" w:rsidRDefault="006D3AB5" w:rsidP="006D3AB5">
      <w:r w:rsidRPr="00DB426E">
        <w:t>Secinājumi:</w:t>
      </w:r>
    </w:p>
    <w:p w:rsidR="006D3AB5" w:rsidRPr="00DB426E" w:rsidRDefault="006D3AB5" w:rsidP="006C3F27">
      <w:pPr>
        <w:numPr>
          <w:ilvl w:val="0"/>
          <w:numId w:val="87"/>
        </w:numPr>
      </w:pPr>
      <w:r w:rsidRPr="00DB426E">
        <w:t>Kopumā tikai 38% uzņēmumu, kuri pēdējo trīs gadu laikā ir veikuši ieguldījumus pētniecībā un attīstībā.</w:t>
      </w:r>
    </w:p>
    <w:p w:rsidR="006D3AB5" w:rsidRPr="00DB426E" w:rsidRDefault="006D3AB5" w:rsidP="006C3F27">
      <w:pPr>
        <w:numPr>
          <w:ilvl w:val="0"/>
          <w:numId w:val="87"/>
        </w:numPr>
      </w:pPr>
      <w:r w:rsidRPr="00DB426E">
        <w:t xml:space="preserve">Attiecīgi 21% un 19% no aptaujātajiem uzņēmējiem ir veikuši ieguldījumus eksperimentālās izstrādēs un lietišķos pētījumos. </w:t>
      </w:r>
    </w:p>
    <w:p w:rsidR="006D3AB5" w:rsidRPr="00DB426E" w:rsidRDefault="006D3AB5" w:rsidP="006C3F27">
      <w:pPr>
        <w:numPr>
          <w:ilvl w:val="0"/>
          <w:numId w:val="87"/>
        </w:numPr>
      </w:pPr>
      <w:r w:rsidRPr="00DB426E">
        <w:t>1/5 Latvijas uzņēmumu ir ieviesuši jaunus produktus, pakalpojumus vai tehnoloģijas.</w:t>
      </w:r>
    </w:p>
    <w:p w:rsidR="006D3AB5" w:rsidRPr="00DB426E" w:rsidRDefault="006D3AB5" w:rsidP="006C3F27">
      <w:pPr>
        <w:numPr>
          <w:ilvl w:val="0"/>
          <w:numId w:val="87"/>
        </w:numPr>
      </w:pPr>
      <w:r w:rsidRPr="00DB426E">
        <w:t xml:space="preserve">Tuvākajos trīs gados ieguldīt pētniecībā un attīstībā plāno tikai 31%. </w:t>
      </w:r>
    </w:p>
    <w:p w:rsidR="006D3AB5" w:rsidRPr="00DB426E" w:rsidRDefault="006D3AB5" w:rsidP="006C3F27">
      <w:pPr>
        <w:numPr>
          <w:ilvl w:val="0"/>
          <w:numId w:val="87"/>
        </w:numPr>
      </w:pPr>
      <w:r w:rsidRPr="00DB426E">
        <w:t xml:space="preserve">Aptuveni 40% uzņēmumu Latvijā ir saskārušies ar situācijām, kad ieguldījumi pētniecībā un attīstībā bijuši nepieciešami, bet ir bijis nepietiekams finansējuma to veikšanai, </w:t>
      </w:r>
      <w:r w:rsidR="006D3427" w:rsidRPr="00DB426E">
        <w:t>turklāt</w:t>
      </w:r>
      <w:r w:rsidRPr="00DB426E">
        <w:t xml:space="preserve"> - 33% uzņēmēju ar šādām situācijām saskārušies vairākkārt. </w:t>
      </w:r>
    </w:p>
    <w:p w:rsidR="006D3AB5" w:rsidRPr="00DB426E" w:rsidRDefault="006D3AB5" w:rsidP="006C3F27">
      <w:pPr>
        <w:numPr>
          <w:ilvl w:val="0"/>
          <w:numId w:val="87"/>
        </w:numPr>
      </w:pPr>
      <w:r w:rsidRPr="00DB426E">
        <w:t xml:space="preserve">Kā nepieciešamos papildu atbalsta veidus visbiežāk min nodokļu atvieglojumus (61%) un finansējuma pieejamību, </w:t>
      </w:r>
      <w:proofErr w:type="spellStart"/>
      <w:r w:rsidRPr="00DB426E">
        <w:t>grantus</w:t>
      </w:r>
      <w:proofErr w:type="spellEnd"/>
      <w:r w:rsidRPr="00DB426E">
        <w:t xml:space="preserve"> (35%).</w:t>
      </w:r>
    </w:p>
    <w:p w:rsidR="006D3AB5" w:rsidRPr="00DB426E" w:rsidRDefault="006D3AB5" w:rsidP="006C3F27">
      <w:pPr>
        <w:numPr>
          <w:ilvl w:val="0"/>
          <w:numId w:val="87"/>
        </w:numPr>
      </w:pPr>
      <w:r w:rsidRPr="00DB426E">
        <w:t>55% aptaujāto uzskata par prioritāro UIN atvieglojumus, 42% - darbaspēka nodokļu atvieglojumus</w:t>
      </w: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3D1462" w:rsidRPr="00DB426E" w:rsidRDefault="003D1462" w:rsidP="006D3AB5">
      <w:pPr>
        <w:pStyle w:val="Caption"/>
        <w:jc w:val="both"/>
      </w:pPr>
    </w:p>
    <w:p w:rsidR="006D3AB5" w:rsidRPr="00DB426E" w:rsidRDefault="006D3AB5" w:rsidP="006D3AB5">
      <w:pPr>
        <w:pStyle w:val="Caption"/>
        <w:jc w:val="both"/>
      </w:pPr>
      <w:r w:rsidRPr="00DB426E">
        <w:t xml:space="preserve">Attēls </w:t>
      </w:r>
      <w:r w:rsidR="009B0188">
        <w:fldChar w:fldCharType="begin"/>
      </w:r>
      <w:r w:rsidR="009B0188">
        <w:instrText xml:space="preserve"> STYLEREF 1 \s </w:instrText>
      </w:r>
      <w:r w:rsidR="009B0188">
        <w:fldChar w:fldCharType="separate"/>
      </w:r>
      <w:r w:rsidR="00FC2687">
        <w:rPr>
          <w:noProof/>
        </w:rPr>
        <w:t>2</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w:t>
      </w:r>
      <w:r w:rsidR="009B0188">
        <w:rPr>
          <w:noProof/>
        </w:rPr>
        <w:fldChar w:fldCharType="end"/>
      </w:r>
      <w:r w:rsidRPr="00DB426E">
        <w:t>. Aptaujas rezultātu kopsavilkums</w:t>
      </w:r>
    </w:p>
    <w:p w:rsidR="006D3AB5" w:rsidRPr="00DB426E" w:rsidRDefault="006C3F27" w:rsidP="006D3AB5">
      <w:r>
        <w:rPr>
          <w:noProof/>
          <w:lang w:eastAsia="lv-LV"/>
        </w:rPr>
        <w:drawing>
          <wp:inline distT="0" distB="0" distL="0" distR="0" wp14:anchorId="60220EF2" wp14:editId="15A44FA1">
            <wp:extent cx="6065520" cy="6177280"/>
            <wp:effectExtent l="0" t="0" r="0" b="0"/>
            <wp:docPr id="24" name="Objec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D3AB5" w:rsidRPr="00DB426E" w:rsidRDefault="006D3AB5" w:rsidP="006D3AB5"/>
    <w:p w:rsidR="006D3AB5" w:rsidRPr="00DB426E" w:rsidRDefault="006D3AB5" w:rsidP="00475128">
      <w:pPr>
        <w:pStyle w:val="Heading1"/>
        <w:pageBreakBefore/>
        <w:widowControl/>
        <w:numPr>
          <w:ilvl w:val="0"/>
          <w:numId w:val="4"/>
        </w:numPr>
        <w:tabs>
          <w:tab w:val="clear" w:pos="284"/>
        </w:tabs>
        <w:suppressAutoHyphens w:val="0"/>
        <w:snapToGrid/>
        <w:spacing w:before="240" w:after="60"/>
        <w:ind w:left="431" w:hanging="431"/>
        <w:jc w:val="both"/>
      </w:pPr>
      <w:bookmarkStart w:id="52" w:name="_Toc333313490"/>
      <w:bookmarkStart w:id="53" w:name="_Toc333338702"/>
      <w:bookmarkStart w:id="54" w:name="_Toc356472826"/>
      <w:bookmarkStart w:id="55" w:name="_Toc358978689"/>
      <w:r w:rsidRPr="00DB426E">
        <w:t>Esošo nodokļu atvieglojumu ieguldījumiem R&amp;D novērtējums</w:t>
      </w:r>
      <w:bookmarkEnd w:id="52"/>
      <w:bookmarkEnd w:id="53"/>
      <w:bookmarkEnd w:id="54"/>
      <w:bookmarkEnd w:id="55"/>
    </w:p>
    <w:p w:rsidR="006D3AB5" w:rsidRPr="00DB426E" w:rsidRDefault="006D3AB5" w:rsidP="00475128">
      <w:pPr>
        <w:pStyle w:val="Heading2"/>
        <w:numPr>
          <w:ilvl w:val="1"/>
          <w:numId w:val="4"/>
        </w:numPr>
        <w:suppressAutoHyphens w:val="0"/>
        <w:spacing w:before="240" w:after="60"/>
        <w:jc w:val="both"/>
      </w:pPr>
      <w:bookmarkStart w:id="56" w:name="_Toc356472827"/>
      <w:bookmarkStart w:id="57" w:name="_Toc358978690"/>
      <w:r w:rsidRPr="00DB426E">
        <w:rPr>
          <w:rFonts w:cs="Calibri"/>
        </w:rPr>
        <w:t>Normatīvo aktu analīze nodokļu jomā Latvijā</w:t>
      </w:r>
      <w:bookmarkEnd w:id="56"/>
      <w:bookmarkEnd w:id="57"/>
    </w:p>
    <w:p w:rsidR="006D3AB5" w:rsidRPr="00DB426E" w:rsidRDefault="006D3AB5" w:rsidP="003D1462">
      <w:r w:rsidRPr="00DB426E">
        <w:t>Pētījuma ietvaros tika veikta normatīvo aktu analīze nodokļu jomā Latvijā, lai identificētu esošos nodokļu atvieglojumus un to ietekmi uz R&amp;D. Saskaņā ar Ekonomiskās sadarbības un attīstības organizācijas un Starptautiskā Valūtas fonda izstrādātajām vadlīnijām, par nodokļu atvieglojumu var uzskatīt jebkuras novirzes no attiecīgās valsts likumos noteiktā vispārējā nodokļu režīma, kas kādam nodokļu maksātājam (maksātāju grupai) paredz nodokļa sloga samazinājumu vai izdevīgāku nodokļa nomaksas kārtību, vadoties pēc kritērija, ka nodokļu maksātājs (to grupa) atbilst nodokļu likumā noteiktai pazīmei (ienākumu apmērs, ģimenes stāvoklis, saimnieciskās darbības veids, reģions).</w:t>
      </w:r>
    </w:p>
    <w:p w:rsidR="006D3AB5" w:rsidRPr="00DB426E" w:rsidRDefault="006D3AB5" w:rsidP="003D1462">
      <w:r w:rsidRPr="00DB426E">
        <w:t xml:space="preserve">Starptautiskajā praksē izmanto plašāku nodokļu atvieglojumu apzīmējumu „nodokļu izdevumi” </w:t>
      </w:r>
      <w:r w:rsidRPr="00DB426E">
        <w:rPr>
          <w:i/>
        </w:rPr>
        <w:t>(</w:t>
      </w:r>
      <w:proofErr w:type="spellStart"/>
      <w:r w:rsidRPr="00DB426E">
        <w:rPr>
          <w:i/>
        </w:rPr>
        <w:t>angl</w:t>
      </w:r>
      <w:proofErr w:type="spellEnd"/>
      <w:r w:rsidRPr="00DB426E">
        <w:rPr>
          <w:i/>
        </w:rPr>
        <w:t xml:space="preserve">. </w:t>
      </w:r>
      <w:proofErr w:type="spellStart"/>
      <w:r w:rsidRPr="00DB426E">
        <w:rPr>
          <w:i/>
        </w:rPr>
        <w:t>tax</w:t>
      </w:r>
      <w:proofErr w:type="spellEnd"/>
      <w:r w:rsidRPr="00DB426E">
        <w:rPr>
          <w:i/>
        </w:rPr>
        <w:t xml:space="preserve"> </w:t>
      </w:r>
      <w:proofErr w:type="spellStart"/>
      <w:r w:rsidRPr="00DB426E">
        <w:rPr>
          <w:i/>
        </w:rPr>
        <w:t>expenditures</w:t>
      </w:r>
      <w:proofErr w:type="spellEnd"/>
      <w:r w:rsidRPr="00DB426E">
        <w:rPr>
          <w:i/>
        </w:rPr>
        <w:t xml:space="preserve">) – </w:t>
      </w:r>
      <w:r w:rsidRPr="00DB426E">
        <w:t>tātad izdevumi (nesaņemtie ienākumi)</w:t>
      </w:r>
      <w:r w:rsidRPr="00DB426E">
        <w:rPr>
          <w:i/>
        </w:rPr>
        <w:t xml:space="preserve"> </w:t>
      </w:r>
      <w:r w:rsidRPr="00DB426E">
        <w:t>nodokļa atvieglojuma pastāvēšanai. Ar nodokļu izdevumiem saprot jebkuras tiesību aktu normas vai praksi, kas samazina vai atliek nodokļu maksājumus kādai nodokļu maksātāju grupai salīdzinājumā ar nodokļa pamatlikmi. Nodokļu izdevumiem var būt dažādas formas: izņēmumi ar nodokli apliekamajā bāzē, ar nodokli neapliekamā bāzes daļa, samazinātas likmes, atlikts nodokļa maksājums vai samazinājums nodokļu saistībās.</w:t>
      </w:r>
    </w:p>
    <w:p w:rsidR="006D3AB5" w:rsidRPr="00DB426E" w:rsidRDefault="006D3AB5" w:rsidP="003D1462">
      <w:r w:rsidRPr="00DB426E">
        <w:t xml:space="preserve">Izvēloties normatīvos aktus analīzes veikšanai, tika ievērots princips, ka normatīvajiem aktiem ir jāattiecas uz vispārīgu uzņēmumu loku, kas nav ierobežots ar specifisku komercdarbības veidu, tādejādi no analīzes tika izslēgti tādi normatīvie akti kā likums „Par akcīzes nodokli”, Dabas resursu nodokļa likums, Elektroenerģijas nodokļa likums, Azartspēļu un izložu likums. </w:t>
      </w:r>
    </w:p>
    <w:p w:rsidR="006D3AB5" w:rsidRPr="00DB426E" w:rsidRDefault="006D3AB5" w:rsidP="003D1462">
      <w:r w:rsidRPr="00DB426E">
        <w:t>Aktivitātes ietvaros tika analizēti sekojoši normatīvie akti to aktuālajā redakcijā uz 2013.gada 1.janvāri:</w:t>
      </w:r>
    </w:p>
    <w:p w:rsidR="006D3AB5" w:rsidRPr="00DB426E" w:rsidRDefault="006D3AB5" w:rsidP="006C3F27">
      <w:pPr>
        <w:numPr>
          <w:ilvl w:val="0"/>
          <w:numId w:val="88"/>
        </w:numPr>
        <w:contextualSpacing/>
      </w:pPr>
      <w:r w:rsidRPr="00DB426E">
        <w:t>Likums „Par nodokļiem un nodevām”;</w:t>
      </w:r>
    </w:p>
    <w:p w:rsidR="006D3AB5" w:rsidRPr="00DB426E" w:rsidRDefault="006D3AB5" w:rsidP="006C3F27">
      <w:pPr>
        <w:numPr>
          <w:ilvl w:val="0"/>
          <w:numId w:val="88"/>
        </w:numPr>
        <w:contextualSpacing/>
      </w:pPr>
      <w:r w:rsidRPr="00DB426E">
        <w:t>Likums „Par uzņēmumu ienākuma nodokli” (turpmāk – likums „Par UIN”);</w:t>
      </w:r>
    </w:p>
    <w:p w:rsidR="006D3AB5" w:rsidRPr="00DB426E" w:rsidRDefault="006D3AB5" w:rsidP="006C3F27">
      <w:pPr>
        <w:numPr>
          <w:ilvl w:val="0"/>
          <w:numId w:val="88"/>
        </w:numPr>
        <w:contextualSpacing/>
      </w:pPr>
      <w:r w:rsidRPr="00DB426E">
        <w:t>Likuma „Par uzņēmumu ienākuma nodokli” normu piemērošanas noteikumi (turpmāk – likuma „Par UIN” normu piemērošanas noteikumi);</w:t>
      </w:r>
    </w:p>
    <w:p w:rsidR="006D3AB5" w:rsidRPr="00DB426E" w:rsidRDefault="006D3AB5" w:rsidP="006C3F27">
      <w:pPr>
        <w:numPr>
          <w:ilvl w:val="0"/>
          <w:numId w:val="88"/>
        </w:numPr>
        <w:contextualSpacing/>
      </w:pPr>
      <w:r w:rsidRPr="00DB426E">
        <w:t>Pievienotās vērtības nodokļa likums (turpmāk – „PVN likums”);</w:t>
      </w:r>
    </w:p>
    <w:p w:rsidR="006D3AB5" w:rsidRPr="00DB426E" w:rsidRDefault="006D3AB5" w:rsidP="006C3F27">
      <w:pPr>
        <w:numPr>
          <w:ilvl w:val="0"/>
          <w:numId w:val="88"/>
        </w:numPr>
        <w:contextualSpacing/>
      </w:pPr>
      <w:r w:rsidRPr="00DB426E">
        <w:t xml:space="preserve">Likums „Par nodokļu piemērošanu brīvostās </w:t>
      </w:r>
      <w:proofErr w:type="spellStart"/>
      <w:r w:rsidRPr="00DB426E">
        <w:t>un speciālajās</w:t>
      </w:r>
      <w:proofErr w:type="spellEnd"/>
      <w:r w:rsidRPr="00DB426E">
        <w:t xml:space="preserve"> ekonomiskajās zonās” (turpmāk – likums „Par nodokļu piemērošanu BO un SEZ”);</w:t>
      </w:r>
    </w:p>
    <w:p w:rsidR="006D3AB5" w:rsidRPr="00DB426E" w:rsidRDefault="006D3AB5" w:rsidP="006C3F27">
      <w:pPr>
        <w:numPr>
          <w:ilvl w:val="0"/>
          <w:numId w:val="88"/>
        </w:numPr>
        <w:contextualSpacing/>
      </w:pPr>
      <w:r w:rsidRPr="00DB426E">
        <w:t>Mikrouzņēmumu nodokļa likums;</w:t>
      </w:r>
    </w:p>
    <w:p w:rsidR="006D3AB5" w:rsidRPr="00DB426E" w:rsidRDefault="006D3AB5" w:rsidP="006C3F27">
      <w:pPr>
        <w:numPr>
          <w:ilvl w:val="0"/>
          <w:numId w:val="88"/>
        </w:numPr>
        <w:contextualSpacing/>
      </w:pPr>
      <w:r w:rsidRPr="00DB426E">
        <w:t>MK noteikumi nr. 178 „Kārtība, kādā piemērojami starptautiskajos līgumos par nodokļu dubultās uzlikšanas un nodokļu nemaksāšanas novēršanu noteiktie nodokļu atvieglojumi”;</w:t>
      </w:r>
    </w:p>
    <w:p w:rsidR="006D3AB5" w:rsidRPr="00DB426E" w:rsidRDefault="006D3AB5" w:rsidP="006C3F27">
      <w:pPr>
        <w:numPr>
          <w:ilvl w:val="0"/>
          <w:numId w:val="88"/>
        </w:numPr>
        <w:contextualSpacing/>
      </w:pPr>
      <w:r w:rsidRPr="00DB426E">
        <w:t>Transportlīdzekļa ekspluatācijas nodokļa un uzņēmumu vieglo transportlīdzekļu nodokļa likums;</w:t>
      </w:r>
    </w:p>
    <w:p w:rsidR="006D3AB5" w:rsidRPr="00DB426E" w:rsidRDefault="006D3AB5" w:rsidP="006C3F27">
      <w:pPr>
        <w:numPr>
          <w:ilvl w:val="0"/>
          <w:numId w:val="88"/>
        </w:numPr>
        <w:contextualSpacing/>
      </w:pPr>
      <w:r w:rsidRPr="00DB426E">
        <w:t>Likums „Par nekustamā īpašuma nodokli”.</w:t>
      </w:r>
    </w:p>
    <w:p w:rsidR="006D3AB5" w:rsidRPr="00DB426E" w:rsidRDefault="006D3AB5" w:rsidP="003D1462">
      <w:r w:rsidRPr="00DB426E">
        <w:t xml:space="preserve">Minētajos normatīvajos aktos paredzētie nodokļu </w:t>
      </w:r>
      <w:r w:rsidRPr="00097DBA">
        <w:t xml:space="preserve">atvieglojumi (detalizētu izvērtējumu </w:t>
      </w:r>
      <w:r w:rsidR="00097DBA" w:rsidRPr="00097DBA">
        <w:t>skatīt Pielikumā</w:t>
      </w:r>
      <w:r w:rsidR="00E76417">
        <w:t xml:space="preserve"> 8.1. un 8.2.</w:t>
      </w:r>
      <w:r w:rsidRPr="00097DBA">
        <w:t>) ir iedalīti divās kategorijās – tādi, kuri tieši sekmē privātās investīcijas R&amp;D (skat. 1.kategorija), un tādi, kuri netieši sekmē privātās investīcijas R&amp;</w:t>
      </w:r>
      <w:r w:rsidRPr="00DB426E">
        <w:t>D (2.kategorija). Ņemot vērā, ka jebkurš nodokļu atvieglojums uzlabo uzņēmuma brīvo naudas līdzekļu pieejamību, kurus tālāk var novirzīt investīcijām R&amp;D, uzskatāms, ka visiem normatīvajos aktos paredzētajiem nodokļu atvieglojumiem ir tieša vai netieša ietekme uz investīcijām R&amp;D.</w:t>
      </w:r>
    </w:p>
    <w:p w:rsidR="006D3AB5" w:rsidRPr="00DB426E" w:rsidRDefault="006D3AB5" w:rsidP="006D3AB5">
      <w:r w:rsidRPr="00DB426E">
        <w:t>Secinājumi:</w:t>
      </w:r>
    </w:p>
    <w:p w:rsidR="006D3AB5" w:rsidRPr="00DB426E" w:rsidRDefault="006D3AB5" w:rsidP="006C3F27">
      <w:pPr>
        <w:numPr>
          <w:ilvl w:val="0"/>
          <w:numId w:val="89"/>
        </w:numPr>
      </w:pPr>
      <w:r w:rsidRPr="00DB426E">
        <w:t>Normatīvo aktu analīzes rezultātā tika secināts, ka to redakcija uz 2013.gada 1.janvāri paredz tikai vienu nodokļu atvieglojumu, kam ir tieša ietekme uz privātajām investīcijām R&amp;D, proti, likuma „Par UIN” 13.panta 4.</w:t>
      </w:r>
      <w:r w:rsidRPr="00DB426E">
        <w:rPr>
          <w:vertAlign w:val="superscript"/>
        </w:rPr>
        <w:t xml:space="preserve">1 </w:t>
      </w:r>
      <w:r w:rsidRPr="00DB426E">
        <w:t>un 5.daļa, kas paredz īpašu izdevumu atzīšanas kārtību R&amp;D izmaksām. Savukārt netieša ietekme uz privātajām investīcijām R&amp;D ir vismaz četrdesmit pieciem nodokļu atvieglojumiem, kas ietekmē uzņēmuma brīvo naudas līdzekļu pieejamību, tādejādi ļaujot uzņēmumam lielākus līdzekļus novirzīt R&amp;D. Daudzus no nodokļu atvieglojumiem var piemērot vienlaicīgi.</w:t>
      </w:r>
    </w:p>
    <w:p w:rsidR="006D3AB5" w:rsidRPr="00DB426E" w:rsidRDefault="006D3AB5" w:rsidP="006C3F27">
      <w:pPr>
        <w:numPr>
          <w:ilvl w:val="0"/>
          <w:numId w:val="89"/>
        </w:numPr>
      </w:pPr>
      <w:r w:rsidRPr="00DB426E">
        <w:t>Lielākā daļa uzņēmumiem pieejamo nodokļu atvieglojumu ir UIN atvieglojumi, kas ir paredzēti plašam ekonomisko un sociālo mērķu lokam, ieskaitot atvieglojumus investīciju veicināšanai, izpētei un attīstībai, nozaru atbalstam, ieguldījumiem publiskās apgrozības vērtspapīros, ekonomiskās krīzes seku risināšanai un sociāla rakstura stimulus invalīdu atbalstam un ziedojumiem. Tāpat arī Latvijas normatīvie akti paredz iespēju maksāt samazinātu PVN likmi 12% apmērā, 0% PVN likmi vai paredz atbrīvojumu no PVN. Pastāv arī citi nodokļu atvieglojumi, kuri uzlabo uzņēmumu brīvo naudas līdzekļu pieejamību, proti, samazināta likme vai atbrīvojums no aplikšanas ar nodokļiem dažādu ienākuma veidu maksājumiem citas valsts rezidentiem, mikrouzņēmuma nodoklis, atbrīvojums no uzņēmumu vieglo transportlīdzekļu nodokļa maksas, kā arī iespēja pagarināt nodokļa samaksas termiņu.</w:t>
      </w:r>
    </w:p>
    <w:p w:rsidR="006D3AB5" w:rsidRPr="00475128" w:rsidRDefault="006D3AB5" w:rsidP="006C3F27">
      <w:pPr>
        <w:numPr>
          <w:ilvl w:val="0"/>
          <w:numId w:val="89"/>
        </w:numPr>
      </w:pPr>
      <w:r w:rsidRPr="00475128">
        <w:t>Kopumā Latvijas normatīvie akti paredz daudzveidīgu nodokļu atvieglojumu klāstu, kas kopumā ir labvēlīgi uzņēmējdarbībai un investīcijām, taču šobrīd trūkst pievilcīgu nodokļu atvieglojumu, kas tieši stimulētu privātās investīcijas R&amp;D.</w:t>
      </w:r>
      <w:r w:rsidRPr="00475128">
        <w:rPr>
          <w:rFonts w:cs="Calibri"/>
        </w:rPr>
        <w:tab/>
      </w:r>
    </w:p>
    <w:p w:rsidR="006D3AB5" w:rsidRPr="00DB426E" w:rsidRDefault="006D3AB5" w:rsidP="00475128">
      <w:pPr>
        <w:pStyle w:val="Heading2"/>
        <w:numPr>
          <w:ilvl w:val="1"/>
          <w:numId w:val="4"/>
        </w:numPr>
        <w:suppressAutoHyphens w:val="0"/>
        <w:spacing w:before="240" w:after="60"/>
        <w:jc w:val="both"/>
        <w:rPr>
          <w:rFonts w:cs="Calibri"/>
        </w:rPr>
      </w:pPr>
      <w:bookmarkStart w:id="58" w:name="_Toc356472828"/>
      <w:bookmarkStart w:id="59" w:name="_Toc358978691"/>
      <w:r w:rsidRPr="00DB426E">
        <w:rPr>
          <w:rFonts w:cs="Calibri"/>
        </w:rPr>
        <w:t>Citu ES dalībvalstu pieredzes izvērtēšana nodokļu atvieglojumu piemērošanas jomā</w:t>
      </w:r>
      <w:bookmarkEnd w:id="58"/>
      <w:bookmarkEnd w:id="59"/>
    </w:p>
    <w:p w:rsidR="006D3AB5" w:rsidRPr="00DB426E" w:rsidRDefault="006D3AB5" w:rsidP="003D1462">
      <w:pPr>
        <w:spacing w:after="120"/>
      </w:pPr>
      <w:r w:rsidRPr="00DB426E">
        <w:t xml:space="preserve">Pētījuma ietvaros tika apskatītas desmit ES dalībvalstu nodokļu atvieglojumu politika R&amp;D jomā. Lai nodrošinātu visaptverošu analīzi, tika izvēlētas iespējami dažādas ES dalībvalstis, proti, ar dažādu inovāciju līmeni (līderi, sekotāji, mērenie, pieticīgie), monetāro politiku (eiro, cita valūta), ekonomikas rādītājiem (IKP uz 1 iedzīvotāju), kā arī valstis no dažādiem Eiropas reģioniem un dalības ilgumu ES. Ņemot vērā, ka pētījuma uzdevums ir noskaidrot, kāda ir R&amp;D nodokļu atvieglojumu ietekme uz investīcijām R&amp;D, tad analizētās valstis ir norādītas secībā, kas atbilst Eiropas Komisijas apkopotajai statistikai par inovāciju līmeni ES valstīs 2013.gadā </w:t>
      </w:r>
      <w:r w:rsidRPr="00DB426E">
        <w:rPr>
          <w:i/>
        </w:rPr>
        <w:t>(</w:t>
      </w:r>
      <w:proofErr w:type="spellStart"/>
      <w:r w:rsidRPr="00DB426E">
        <w:rPr>
          <w:i/>
        </w:rPr>
        <w:t>Innovation</w:t>
      </w:r>
      <w:proofErr w:type="spellEnd"/>
      <w:r w:rsidRPr="00DB426E">
        <w:rPr>
          <w:i/>
        </w:rPr>
        <w:t xml:space="preserve"> </w:t>
      </w:r>
      <w:proofErr w:type="spellStart"/>
      <w:r w:rsidRPr="00DB426E">
        <w:rPr>
          <w:i/>
        </w:rPr>
        <w:t>Union</w:t>
      </w:r>
      <w:proofErr w:type="spellEnd"/>
      <w:r w:rsidRPr="00DB426E">
        <w:rPr>
          <w:i/>
        </w:rPr>
        <w:t xml:space="preserve"> </w:t>
      </w:r>
      <w:proofErr w:type="spellStart"/>
      <w:r w:rsidRPr="00DB426E">
        <w:rPr>
          <w:i/>
        </w:rPr>
        <w:t>Scoreboard</w:t>
      </w:r>
      <w:proofErr w:type="spellEnd"/>
      <w:r w:rsidRPr="00DB426E">
        <w:rPr>
          <w:i/>
        </w:rPr>
        <w:t xml:space="preserve"> 2013)</w:t>
      </w:r>
      <w:r w:rsidRPr="00DB426E">
        <w:t>, sākot ar valsti ar visaugstāko inovāciju līmeni (skat. zemāk).</w:t>
      </w:r>
    </w:p>
    <w:p w:rsidR="006D3AB5" w:rsidRPr="00DB426E" w:rsidRDefault="006D3AB5" w:rsidP="00475128">
      <w:pPr>
        <w:pStyle w:val="ListParagraph"/>
        <w:numPr>
          <w:ilvl w:val="0"/>
          <w:numId w:val="22"/>
        </w:numPr>
        <w:suppressAutoHyphens w:val="0"/>
        <w:ind w:left="714" w:hanging="357"/>
        <w:rPr>
          <w:rFonts w:cs="Calibri"/>
          <w:szCs w:val="22"/>
          <w:lang w:val="lv-LV"/>
        </w:rPr>
      </w:pPr>
      <w:r w:rsidRPr="00DB426E">
        <w:rPr>
          <w:rFonts w:cs="Calibri"/>
          <w:szCs w:val="22"/>
          <w:lang w:val="lv-LV"/>
        </w:rPr>
        <w:t xml:space="preserve">Zviedrija </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Vācija</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Nīderlande</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Lielbritānija</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Francija</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Igaunija</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Itālija</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Spānija</w:t>
      </w:r>
    </w:p>
    <w:p w:rsidR="006D3AB5" w:rsidRPr="00DB426E" w:rsidRDefault="006D3AB5" w:rsidP="00475128">
      <w:pPr>
        <w:pStyle w:val="ListParagraph"/>
        <w:numPr>
          <w:ilvl w:val="0"/>
          <w:numId w:val="22"/>
        </w:numPr>
        <w:suppressAutoHyphens w:val="0"/>
        <w:rPr>
          <w:rFonts w:cs="Calibri"/>
          <w:szCs w:val="22"/>
          <w:lang w:val="lv-LV"/>
        </w:rPr>
      </w:pPr>
      <w:r w:rsidRPr="00DB426E">
        <w:rPr>
          <w:rFonts w:cs="Calibri"/>
          <w:szCs w:val="22"/>
          <w:lang w:val="lv-LV"/>
        </w:rPr>
        <w:t>Grieķija</w:t>
      </w:r>
    </w:p>
    <w:p w:rsidR="006D3AB5" w:rsidRPr="00DB426E" w:rsidRDefault="006D3AB5" w:rsidP="00475128">
      <w:pPr>
        <w:pStyle w:val="ListParagraph"/>
        <w:numPr>
          <w:ilvl w:val="0"/>
          <w:numId w:val="22"/>
        </w:numPr>
        <w:suppressAutoHyphens w:val="0"/>
        <w:spacing w:after="120"/>
        <w:ind w:left="714" w:hanging="357"/>
        <w:rPr>
          <w:rFonts w:cs="Calibri"/>
          <w:szCs w:val="22"/>
          <w:lang w:val="lv-LV"/>
        </w:rPr>
      </w:pPr>
      <w:r w:rsidRPr="00DB426E">
        <w:rPr>
          <w:rFonts w:cs="Calibri"/>
          <w:szCs w:val="22"/>
          <w:lang w:val="lv-LV"/>
        </w:rPr>
        <w:t>Lietuva</w:t>
      </w:r>
    </w:p>
    <w:p w:rsidR="006D3AB5" w:rsidRDefault="006D3AB5" w:rsidP="003D1462">
      <w:pPr>
        <w:rPr>
          <w:rFonts w:cs="Calibri"/>
        </w:rPr>
      </w:pPr>
      <w:r w:rsidRPr="00DB426E">
        <w:rPr>
          <w:rFonts w:cs="Calibri"/>
        </w:rPr>
        <w:t>Analīze par nodokļu atvieglojumiem tika veikta to aktuālajā redakcijā uz 2013.gada 1.</w:t>
      </w:r>
      <w:r w:rsidRPr="00DB426E">
        <w:t>janvāri. Analīzei nepieciešamā informācija tika gūta no autoritatīvās nodokļu likumu interneta vietnes IBFD (</w:t>
      </w:r>
      <w:hyperlink r:id="rId35" w:history="1">
        <w:r w:rsidRPr="00DB426E">
          <w:t>www.ibfd.org</w:t>
        </w:r>
      </w:hyperlink>
      <w:r w:rsidRPr="00DB426E">
        <w:t xml:space="preserve">) un </w:t>
      </w:r>
      <w:proofErr w:type="spellStart"/>
      <w:r w:rsidRPr="00DB426E">
        <w:t>Deloitte</w:t>
      </w:r>
      <w:proofErr w:type="spellEnd"/>
      <w:r w:rsidRPr="00DB426E">
        <w:t xml:space="preserve"> 2013.gada R&amp;D nodokļu atvieglojumu apskata (2013 </w:t>
      </w:r>
      <w:proofErr w:type="spellStart"/>
      <w:r w:rsidRPr="00DB426E">
        <w:t>Global</w:t>
      </w:r>
      <w:proofErr w:type="spellEnd"/>
      <w:r w:rsidRPr="00DB426E">
        <w:t xml:space="preserve"> </w:t>
      </w:r>
      <w:proofErr w:type="spellStart"/>
      <w:r w:rsidRPr="00DB426E">
        <w:t>Survey</w:t>
      </w:r>
      <w:proofErr w:type="spellEnd"/>
      <w:r w:rsidRPr="00DB426E">
        <w:t xml:space="preserve"> </w:t>
      </w:r>
      <w:proofErr w:type="spellStart"/>
      <w:r w:rsidRPr="00DB426E">
        <w:t>of</w:t>
      </w:r>
      <w:proofErr w:type="spellEnd"/>
      <w:r w:rsidRPr="00DB426E">
        <w:t xml:space="preserve"> R&amp;D </w:t>
      </w:r>
      <w:proofErr w:type="spellStart"/>
      <w:r w:rsidRPr="00DB426E">
        <w:t>Tax</w:t>
      </w:r>
      <w:proofErr w:type="spellEnd"/>
      <w:r w:rsidRPr="00DB426E">
        <w:t xml:space="preserve"> </w:t>
      </w:r>
      <w:proofErr w:type="spellStart"/>
      <w:r w:rsidRPr="00DB426E">
        <w:t>Incentives</w:t>
      </w:r>
      <w:proofErr w:type="spellEnd"/>
      <w:r w:rsidRPr="00DB426E">
        <w:t>). Par Igauniju, Lietuvu un Lielbritāniju informācija tika gūta arī no attiecīgo valstu Finanšu ministrijām. Minēto valstu valdības institūcijas bija vienīgās, kuras atsaucās lūgumam sniegt informāciju par to normatīvajos aktos paredzētajiem nodokļu atvieglojumiem R&amp;D jomā. Secinājumi tika veikti, balstoties gan uz veiktās analīzes rezultātiem, gan arī OECD 2011.gada pētījumu par R&amp;D nodokļu atvieglojumiem (</w:t>
      </w:r>
      <w:proofErr w:type="spellStart"/>
      <w:r w:rsidRPr="00DB426E">
        <w:t>The</w:t>
      </w:r>
      <w:proofErr w:type="spellEnd"/>
      <w:r w:rsidRPr="00DB426E">
        <w:rPr>
          <w:rFonts w:cs="Calibri"/>
          <w:i/>
        </w:rPr>
        <w:t xml:space="preserve"> </w:t>
      </w:r>
      <w:proofErr w:type="spellStart"/>
      <w:r w:rsidRPr="00DB426E">
        <w:rPr>
          <w:rFonts w:cs="Calibri"/>
          <w:i/>
        </w:rPr>
        <w:t>International</w:t>
      </w:r>
      <w:proofErr w:type="spellEnd"/>
      <w:r w:rsidRPr="00DB426E">
        <w:rPr>
          <w:rFonts w:cs="Calibri"/>
          <w:i/>
        </w:rPr>
        <w:t xml:space="preserve"> </w:t>
      </w:r>
      <w:proofErr w:type="spellStart"/>
      <w:r w:rsidRPr="00DB426E">
        <w:rPr>
          <w:rFonts w:cs="Calibri"/>
          <w:i/>
        </w:rPr>
        <w:t>Experience</w:t>
      </w:r>
      <w:proofErr w:type="spellEnd"/>
      <w:r w:rsidRPr="00DB426E">
        <w:rPr>
          <w:rFonts w:cs="Calibri"/>
          <w:i/>
        </w:rPr>
        <w:t xml:space="preserve"> </w:t>
      </w:r>
      <w:proofErr w:type="spellStart"/>
      <w:r w:rsidRPr="00DB426E">
        <w:rPr>
          <w:rFonts w:cs="Calibri"/>
          <w:i/>
        </w:rPr>
        <w:t>with</w:t>
      </w:r>
      <w:proofErr w:type="spellEnd"/>
      <w:r w:rsidRPr="00DB426E">
        <w:rPr>
          <w:rFonts w:cs="Calibri"/>
          <w:i/>
        </w:rPr>
        <w:t xml:space="preserve"> R&amp;D </w:t>
      </w:r>
      <w:proofErr w:type="spellStart"/>
      <w:r w:rsidRPr="00DB426E">
        <w:rPr>
          <w:rFonts w:cs="Calibri"/>
          <w:i/>
        </w:rPr>
        <w:t>Tax</w:t>
      </w:r>
      <w:proofErr w:type="spellEnd"/>
      <w:r w:rsidRPr="00DB426E">
        <w:rPr>
          <w:rFonts w:cs="Calibri"/>
          <w:i/>
        </w:rPr>
        <w:t xml:space="preserve"> </w:t>
      </w:r>
      <w:proofErr w:type="spellStart"/>
      <w:r w:rsidRPr="00DB426E">
        <w:rPr>
          <w:rFonts w:cs="Calibri"/>
          <w:i/>
        </w:rPr>
        <w:t>Incentives)</w:t>
      </w:r>
      <w:r w:rsidRPr="00DB426E">
        <w:rPr>
          <w:rFonts w:cs="Calibri"/>
        </w:rPr>
        <w:t>(turpmāk</w:t>
      </w:r>
      <w:proofErr w:type="spellEnd"/>
      <w:r w:rsidRPr="00DB426E">
        <w:rPr>
          <w:rFonts w:cs="Calibri"/>
        </w:rPr>
        <w:t xml:space="preserve"> – OECD pētījums).</w:t>
      </w:r>
      <w:r w:rsidR="00E76417">
        <w:rPr>
          <w:rFonts w:cs="Calibri"/>
        </w:rPr>
        <w:t xml:space="preserve"> Izvērsta nodokļu analīze par katru valsti ir sniegta Pielikumā 8.3.</w:t>
      </w:r>
    </w:p>
    <w:p w:rsidR="00E76417" w:rsidRPr="00E76417" w:rsidRDefault="00E76417" w:rsidP="00E76417">
      <w:pPr>
        <w:pStyle w:val="NoSpacing"/>
        <w:rPr>
          <w:b/>
        </w:rPr>
      </w:pPr>
      <w:bookmarkStart w:id="60" w:name="_Toc356472839"/>
      <w:r w:rsidRPr="00E76417">
        <w:rPr>
          <w:b/>
        </w:rPr>
        <w:t>Kopsavilkums un secinājumi</w:t>
      </w:r>
      <w:bookmarkEnd w:id="60"/>
      <w:r w:rsidRPr="00E76417">
        <w:rPr>
          <w:b/>
        </w:rPr>
        <w:t>:</w:t>
      </w:r>
    </w:p>
    <w:p w:rsidR="00E76417" w:rsidRPr="00DB426E" w:rsidRDefault="00E76417" w:rsidP="00E76417">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3</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w:t>
      </w:r>
      <w:r w:rsidR="009B0188">
        <w:rPr>
          <w:noProof/>
        </w:rPr>
        <w:fldChar w:fldCharType="end"/>
      </w:r>
      <w:r w:rsidRPr="00DB426E">
        <w:t xml:space="preserve">. </w:t>
      </w:r>
      <w:r>
        <w:t>R&amp;D nodokļu atvieglojumu kopsavilkums Eiropas valstīs</w:t>
      </w: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350"/>
        <w:gridCol w:w="3020"/>
        <w:gridCol w:w="1260"/>
        <w:gridCol w:w="1260"/>
        <w:gridCol w:w="990"/>
        <w:gridCol w:w="1170"/>
      </w:tblGrid>
      <w:tr w:rsidR="00E76417" w:rsidRPr="008756D8" w:rsidTr="00987517">
        <w:tc>
          <w:tcPr>
            <w:tcW w:w="558" w:type="dxa"/>
            <w:shd w:val="clear" w:color="auto" w:fill="F2F2F2" w:themeFill="background1" w:themeFillShade="F2"/>
            <w:vAlign w:val="center"/>
          </w:tcPr>
          <w:p w:rsidR="00E76417" w:rsidRPr="00987517" w:rsidRDefault="00E76417" w:rsidP="00E76417">
            <w:pPr>
              <w:spacing w:after="0" w:line="240" w:lineRule="auto"/>
              <w:jc w:val="center"/>
              <w:rPr>
                <w:b/>
              </w:rPr>
            </w:pPr>
            <w:proofErr w:type="spellStart"/>
            <w:r w:rsidRPr="00987517">
              <w:rPr>
                <w:b/>
              </w:rPr>
              <w:t>Nr.p.k</w:t>
            </w:r>
            <w:proofErr w:type="spellEnd"/>
            <w:r w:rsidRPr="00987517">
              <w:rPr>
                <w:b/>
              </w:rPr>
              <w:t>.</w:t>
            </w:r>
          </w:p>
        </w:tc>
        <w:tc>
          <w:tcPr>
            <w:tcW w:w="1350" w:type="dxa"/>
            <w:shd w:val="clear" w:color="auto" w:fill="F2F2F2" w:themeFill="background1" w:themeFillShade="F2"/>
            <w:vAlign w:val="center"/>
          </w:tcPr>
          <w:p w:rsidR="00E76417" w:rsidRPr="00987517" w:rsidRDefault="00E76417" w:rsidP="00E76417">
            <w:pPr>
              <w:spacing w:after="0" w:line="240" w:lineRule="auto"/>
              <w:jc w:val="center"/>
              <w:rPr>
                <w:b/>
              </w:rPr>
            </w:pPr>
            <w:r w:rsidRPr="00987517">
              <w:rPr>
                <w:b/>
              </w:rPr>
              <w:t>Valsts</w:t>
            </w:r>
          </w:p>
        </w:tc>
        <w:tc>
          <w:tcPr>
            <w:tcW w:w="3020" w:type="dxa"/>
            <w:shd w:val="clear" w:color="auto" w:fill="F2F2F2" w:themeFill="background1" w:themeFillShade="F2"/>
            <w:vAlign w:val="center"/>
          </w:tcPr>
          <w:p w:rsidR="00E76417" w:rsidRPr="00987517" w:rsidRDefault="00E76417" w:rsidP="00E76417">
            <w:pPr>
              <w:spacing w:after="0" w:line="240" w:lineRule="auto"/>
              <w:jc w:val="center"/>
              <w:rPr>
                <w:b/>
              </w:rPr>
            </w:pPr>
            <w:r w:rsidRPr="00987517">
              <w:rPr>
                <w:b/>
              </w:rPr>
              <w:t>R&amp;D nodokļu atvieglojumi</w:t>
            </w:r>
          </w:p>
        </w:tc>
        <w:tc>
          <w:tcPr>
            <w:tcW w:w="1260" w:type="dxa"/>
            <w:shd w:val="clear" w:color="auto" w:fill="F2F2F2" w:themeFill="background1" w:themeFillShade="F2"/>
          </w:tcPr>
          <w:p w:rsidR="00E76417" w:rsidRPr="00987517" w:rsidRDefault="00E76417" w:rsidP="00E76417">
            <w:pPr>
              <w:spacing w:after="0" w:line="240" w:lineRule="auto"/>
              <w:jc w:val="center"/>
              <w:rPr>
                <w:b/>
              </w:rPr>
            </w:pPr>
          </w:p>
          <w:p w:rsidR="00E76417" w:rsidRPr="00987517" w:rsidRDefault="00E76417" w:rsidP="00E76417">
            <w:pPr>
              <w:spacing w:after="0" w:line="240" w:lineRule="auto"/>
              <w:jc w:val="center"/>
              <w:rPr>
                <w:b/>
              </w:rPr>
            </w:pPr>
            <w:r w:rsidRPr="00987517">
              <w:rPr>
                <w:b/>
              </w:rPr>
              <w:t>UIN likme</w:t>
            </w:r>
          </w:p>
          <w:p w:rsidR="00E76417" w:rsidRPr="00987517" w:rsidRDefault="00E76417" w:rsidP="00E76417">
            <w:pPr>
              <w:spacing w:after="0" w:line="240" w:lineRule="auto"/>
              <w:jc w:val="center"/>
              <w:rPr>
                <w:b/>
              </w:rPr>
            </w:pPr>
            <w:r w:rsidRPr="00987517">
              <w:rPr>
                <w:b/>
              </w:rPr>
              <w:t>2013.g.</w:t>
            </w:r>
          </w:p>
        </w:tc>
        <w:tc>
          <w:tcPr>
            <w:tcW w:w="1260" w:type="dxa"/>
            <w:shd w:val="clear" w:color="auto" w:fill="F2F2F2" w:themeFill="background1" w:themeFillShade="F2"/>
            <w:vAlign w:val="center"/>
          </w:tcPr>
          <w:p w:rsidR="00E76417" w:rsidRPr="00987517" w:rsidRDefault="00E76417" w:rsidP="00E76417">
            <w:pPr>
              <w:spacing w:after="0" w:line="240" w:lineRule="auto"/>
              <w:jc w:val="center"/>
              <w:rPr>
                <w:b/>
              </w:rPr>
            </w:pPr>
            <w:r w:rsidRPr="00987517">
              <w:rPr>
                <w:b/>
              </w:rPr>
              <w:t>Inovāciju līmenis</w:t>
            </w:r>
          </w:p>
          <w:p w:rsidR="00E76417" w:rsidRPr="00987517" w:rsidRDefault="00E76417" w:rsidP="00E76417">
            <w:pPr>
              <w:spacing w:after="0" w:line="240" w:lineRule="auto"/>
              <w:jc w:val="center"/>
              <w:rPr>
                <w:b/>
              </w:rPr>
            </w:pPr>
            <w:r w:rsidRPr="00987517">
              <w:rPr>
                <w:b/>
              </w:rPr>
              <w:t>2013.g.</w:t>
            </w:r>
          </w:p>
        </w:tc>
        <w:tc>
          <w:tcPr>
            <w:tcW w:w="990" w:type="dxa"/>
            <w:shd w:val="clear" w:color="auto" w:fill="F2F2F2" w:themeFill="background1" w:themeFillShade="F2"/>
            <w:vAlign w:val="center"/>
          </w:tcPr>
          <w:p w:rsidR="00E76417" w:rsidRPr="00987517" w:rsidRDefault="00E76417" w:rsidP="00E76417">
            <w:pPr>
              <w:spacing w:after="0" w:line="240" w:lineRule="auto"/>
              <w:jc w:val="center"/>
              <w:rPr>
                <w:b/>
              </w:rPr>
            </w:pPr>
            <w:r w:rsidRPr="00987517">
              <w:rPr>
                <w:b/>
              </w:rPr>
              <w:t>IKP uz 1 iedz. (USD)</w:t>
            </w:r>
          </w:p>
          <w:p w:rsidR="00E76417" w:rsidRPr="00987517" w:rsidRDefault="00E76417" w:rsidP="00E76417">
            <w:pPr>
              <w:spacing w:after="0" w:line="240" w:lineRule="auto"/>
              <w:jc w:val="center"/>
              <w:rPr>
                <w:b/>
              </w:rPr>
            </w:pPr>
            <w:r w:rsidRPr="00987517">
              <w:rPr>
                <w:b/>
              </w:rPr>
              <w:t>2012.g.prog.</w:t>
            </w:r>
          </w:p>
        </w:tc>
        <w:tc>
          <w:tcPr>
            <w:tcW w:w="1170" w:type="dxa"/>
            <w:shd w:val="clear" w:color="auto" w:fill="F2F2F2" w:themeFill="background1" w:themeFillShade="F2"/>
            <w:vAlign w:val="center"/>
          </w:tcPr>
          <w:p w:rsidR="00E76417" w:rsidRPr="00987517" w:rsidRDefault="00E76417" w:rsidP="00E76417">
            <w:pPr>
              <w:spacing w:after="0" w:line="240" w:lineRule="auto"/>
              <w:jc w:val="center"/>
              <w:rPr>
                <w:b/>
              </w:rPr>
            </w:pPr>
            <w:r w:rsidRPr="00987517">
              <w:rPr>
                <w:b/>
              </w:rPr>
              <w:t>Bezdarba līmenis</w:t>
            </w:r>
          </w:p>
          <w:p w:rsidR="00E76417" w:rsidRPr="00987517" w:rsidRDefault="00E76417" w:rsidP="00E76417">
            <w:pPr>
              <w:spacing w:after="0" w:line="240" w:lineRule="auto"/>
              <w:jc w:val="center"/>
              <w:rPr>
                <w:b/>
              </w:rPr>
            </w:pPr>
            <w:r w:rsidRPr="00987517">
              <w:rPr>
                <w:b/>
              </w:rPr>
              <w:t>2012.g.prog.</w:t>
            </w:r>
          </w:p>
        </w:tc>
      </w:tr>
      <w:tr w:rsidR="00E76417" w:rsidRPr="008756D8" w:rsidTr="0063702A">
        <w:tc>
          <w:tcPr>
            <w:tcW w:w="558" w:type="dxa"/>
          </w:tcPr>
          <w:p w:rsidR="00E76417" w:rsidRPr="008756D8" w:rsidRDefault="00E76417" w:rsidP="00E76417">
            <w:r w:rsidRPr="008756D8">
              <w:t>1.</w:t>
            </w:r>
          </w:p>
        </w:tc>
        <w:tc>
          <w:tcPr>
            <w:tcW w:w="1350" w:type="dxa"/>
          </w:tcPr>
          <w:p w:rsidR="00E76417" w:rsidRPr="008756D8" w:rsidRDefault="00E76417" w:rsidP="00E76417">
            <w:r w:rsidRPr="008756D8">
              <w:t>Zviedrija</w:t>
            </w:r>
          </w:p>
        </w:tc>
        <w:tc>
          <w:tcPr>
            <w:tcW w:w="3020" w:type="dxa"/>
          </w:tcPr>
          <w:p w:rsidR="00E76417" w:rsidRPr="008756D8" w:rsidRDefault="00E76417" w:rsidP="00E76417">
            <w:r w:rsidRPr="008756D8">
              <w:t>-</w:t>
            </w:r>
          </w:p>
        </w:tc>
        <w:tc>
          <w:tcPr>
            <w:tcW w:w="1260" w:type="dxa"/>
          </w:tcPr>
          <w:p w:rsidR="00E76417" w:rsidRPr="008756D8" w:rsidRDefault="00E76417" w:rsidP="00E76417">
            <w:pPr>
              <w:jc w:val="center"/>
            </w:pPr>
            <w:r w:rsidRPr="008756D8">
              <w:t>22%</w:t>
            </w:r>
          </w:p>
        </w:tc>
        <w:tc>
          <w:tcPr>
            <w:tcW w:w="1260" w:type="dxa"/>
          </w:tcPr>
          <w:p w:rsidR="00E76417" w:rsidRPr="008756D8" w:rsidRDefault="00E76417" w:rsidP="00E76417">
            <w:pPr>
              <w:jc w:val="center"/>
            </w:pPr>
            <w:r w:rsidRPr="008756D8">
              <w:t>Līderis</w:t>
            </w:r>
          </w:p>
        </w:tc>
        <w:tc>
          <w:tcPr>
            <w:tcW w:w="990" w:type="dxa"/>
          </w:tcPr>
          <w:p w:rsidR="00E76417" w:rsidRPr="008756D8" w:rsidRDefault="00E76417" w:rsidP="00E76417">
            <w:pPr>
              <w:jc w:val="center"/>
            </w:pPr>
            <w:r w:rsidRPr="008756D8">
              <w:t>41 700</w:t>
            </w:r>
          </w:p>
        </w:tc>
        <w:tc>
          <w:tcPr>
            <w:tcW w:w="1170" w:type="dxa"/>
          </w:tcPr>
          <w:p w:rsidR="00E76417" w:rsidRPr="008756D8" w:rsidRDefault="00E76417" w:rsidP="00E76417">
            <w:pPr>
              <w:jc w:val="center"/>
            </w:pPr>
            <w:r w:rsidRPr="008756D8">
              <w:t>7.5%</w:t>
            </w:r>
          </w:p>
        </w:tc>
      </w:tr>
      <w:tr w:rsidR="00E76417" w:rsidRPr="008756D8" w:rsidTr="0063702A">
        <w:tc>
          <w:tcPr>
            <w:tcW w:w="558" w:type="dxa"/>
          </w:tcPr>
          <w:p w:rsidR="00E76417" w:rsidRPr="008756D8" w:rsidRDefault="00E76417" w:rsidP="00E76417">
            <w:r w:rsidRPr="008756D8">
              <w:t>2.</w:t>
            </w:r>
          </w:p>
        </w:tc>
        <w:tc>
          <w:tcPr>
            <w:tcW w:w="1350" w:type="dxa"/>
          </w:tcPr>
          <w:p w:rsidR="00E76417" w:rsidRPr="008756D8" w:rsidRDefault="00E76417" w:rsidP="00E76417">
            <w:r w:rsidRPr="008756D8">
              <w:t>Vācija</w:t>
            </w:r>
          </w:p>
        </w:tc>
        <w:tc>
          <w:tcPr>
            <w:tcW w:w="3020" w:type="dxa"/>
          </w:tcPr>
          <w:p w:rsidR="00E76417" w:rsidRPr="008756D8" w:rsidRDefault="00E76417" w:rsidP="00E76417">
            <w:r w:rsidRPr="008756D8">
              <w:t>-</w:t>
            </w:r>
          </w:p>
        </w:tc>
        <w:tc>
          <w:tcPr>
            <w:tcW w:w="1260" w:type="dxa"/>
          </w:tcPr>
          <w:p w:rsidR="00E76417" w:rsidRPr="008756D8" w:rsidRDefault="00E76417" w:rsidP="00E76417">
            <w:pPr>
              <w:jc w:val="center"/>
            </w:pPr>
            <w:r w:rsidRPr="008756D8">
              <w:t>30% - 33%</w:t>
            </w:r>
          </w:p>
        </w:tc>
        <w:tc>
          <w:tcPr>
            <w:tcW w:w="1260" w:type="dxa"/>
          </w:tcPr>
          <w:p w:rsidR="00E76417" w:rsidRPr="008756D8" w:rsidRDefault="00E76417" w:rsidP="00E76417">
            <w:pPr>
              <w:jc w:val="center"/>
            </w:pPr>
            <w:r w:rsidRPr="008756D8">
              <w:t>Līderis</w:t>
            </w:r>
          </w:p>
        </w:tc>
        <w:tc>
          <w:tcPr>
            <w:tcW w:w="990" w:type="dxa"/>
          </w:tcPr>
          <w:p w:rsidR="00E76417" w:rsidRPr="008756D8" w:rsidRDefault="00E76417" w:rsidP="00E76417">
            <w:pPr>
              <w:jc w:val="center"/>
            </w:pPr>
            <w:r w:rsidRPr="008756D8">
              <w:t>39 100</w:t>
            </w:r>
          </w:p>
        </w:tc>
        <w:tc>
          <w:tcPr>
            <w:tcW w:w="1170" w:type="dxa"/>
          </w:tcPr>
          <w:p w:rsidR="00E76417" w:rsidRPr="008756D8" w:rsidRDefault="00E76417" w:rsidP="00E76417">
            <w:pPr>
              <w:jc w:val="center"/>
            </w:pPr>
            <w:r w:rsidRPr="008756D8">
              <w:t>6.5%</w:t>
            </w:r>
          </w:p>
        </w:tc>
      </w:tr>
      <w:tr w:rsidR="00E76417" w:rsidRPr="008756D8" w:rsidTr="0063702A">
        <w:tc>
          <w:tcPr>
            <w:tcW w:w="558" w:type="dxa"/>
          </w:tcPr>
          <w:p w:rsidR="00E76417" w:rsidRPr="008756D8" w:rsidRDefault="00E76417" w:rsidP="00E76417">
            <w:r w:rsidRPr="008756D8">
              <w:t>3.</w:t>
            </w:r>
          </w:p>
        </w:tc>
        <w:tc>
          <w:tcPr>
            <w:tcW w:w="1350" w:type="dxa"/>
          </w:tcPr>
          <w:p w:rsidR="00E76417" w:rsidRPr="008756D8" w:rsidRDefault="00E76417" w:rsidP="00E76417">
            <w:r w:rsidRPr="008756D8">
              <w:t>Nīderlande</w:t>
            </w:r>
          </w:p>
        </w:tc>
        <w:tc>
          <w:tcPr>
            <w:tcW w:w="3020" w:type="dxa"/>
          </w:tcPr>
          <w:p w:rsidR="00E76417" w:rsidRPr="00ED38EF" w:rsidRDefault="00E76417" w:rsidP="006C3F27">
            <w:pPr>
              <w:pStyle w:val="ListParagraph"/>
              <w:numPr>
                <w:ilvl w:val="0"/>
                <w:numId w:val="106"/>
              </w:numPr>
              <w:suppressAutoHyphens w:val="0"/>
              <w:jc w:val="left"/>
              <w:rPr>
                <w:lang w:val="lv-LV"/>
              </w:rPr>
            </w:pPr>
            <w:r w:rsidRPr="00ED38EF">
              <w:rPr>
                <w:lang w:val="lv-LV"/>
              </w:rPr>
              <w:t>Apliekamā ienākuma samazinājums par R&amp;D izmaksām: 154%</w:t>
            </w:r>
          </w:p>
          <w:p w:rsidR="00E76417" w:rsidRPr="00ED38EF" w:rsidRDefault="00E76417" w:rsidP="006C3F27">
            <w:pPr>
              <w:pStyle w:val="ListParagraph"/>
              <w:numPr>
                <w:ilvl w:val="0"/>
                <w:numId w:val="106"/>
              </w:numPr>
              <w:suppressAutoHyphens w:val="0"/>
              <w:jc w:val="left"/>
              <w:rPr>
                <w:lang w:val="lv-LV"/>
              </w:rPr>
            </w:pPr>
            <w:r w:rsidRPr="00ED38EF">
              <w:rPr>
                <w:lang w:val="lv-LV"/>
              </w:rPr>
              <w:t xml:space="preserve">Algas un </w:t>
            </w:r>
            <w:proofErr w:type="spellStart"/>
            <w:r w:rsidRPr="00ED38EF">
              <w:rPr>
                <w:lang w:val="lv-LV"/>
              </w:rPr>
              <w:t>soc.nodokļa</w:t>
            </w:r>
            <w:proofErr w:type="spellEnd"/>
            <w:r w:rsidRPr="00ED38EF">
              <w:rPr>
                <w:lang w:val="lv-LV"/>
              </w:rPr>
              <w:t xml:space="preserve"> likmes samazinājums: 38%/50%/14%</w:t>
            </w:r>
          </w:p>
          <w:p w:rsidR="00E76417" w:rsidRPr="00ED38EF" w:rsidRDefault="00E76417" w:rsidP="006C3F27">
            <w:pPr>
              <w:pStyle w:val="ListParagraph"/>
              <w:numPr>
                <w:ilvl w:val="0"/>
                <w:numId w:val="106"/>
              </w:numPr>
              <w:suppressAutoHyphens w:val="0"/>
              <w:jc w:val="left"/>
              <w:rPr>
                <w:lang w:val="lv-LV"/>
              </w:rPr>
            </w:pPr>
            <w:r w:rsidRPr="00ED38EF">
              <w:rPr>
                <w:lang w:val="lv-LV"/>
              </w:rPr>
              <w:t>Patentētiem nemateriāliem aktīviem: UIN 5%</w:t>
            </w:r>
          </w:p>
        </w:tc>
        <w:tc>
          <w:tcPr>
            <w:tcW w:w="1260" w:type="dxa"/>
          </w:tcPr>
          <w:p w:rsidR="00E76417" w:rsidRPr="008756D8" w:rsidRDefault="00E76417" w:rsidP="00E76417">
            <w:pPr>
              <w:jc w:val="center"/>
            </w:pPr>
            <w:r w:rsidRPr="008756D8">
              <w:t>20% - 25%</w:t>
            </w:r>
          </w:p>
        </w:tc>
        <w:tc>
          <w:tcPr>
            <w:tcW w:w="1260" w:type="dxa"/>
          </w:tcPr>
          <w:p w:rsidR="00E76417" w:rsidRPr="008756D8" w:rsidRDefault="00E76417" w:rsidP="00E76417">
            <w:pPr>
              <w:jc w:val="center"/>
            </w:pPr>
            <w:r w:rsidRPr="008756D8">
              <w:t>Sekotājs</w:t>
            </w:r>
          </w:p>
        </w:tc>
        <w:tc>
          <w:tcPr>
            <w:tcW w:w="990" w:type="dxa"/>
          </w:tcPr>
          <w:p w:rsidR="00E76417" w:rsidRPr="008756D8" w:rsidRDefault="00E76417" w:rsidP="00E76417">
            <w:pPr>
              <w:jc w:val="center"/>
            </w:pPr>
            <w:r w:rsidRPr="008756D8">
              <w:t>42 300</w:t>
            </w:r>
          </w:p>
        </w:tc>
        <w:tc>
          <w:tcPr>
            <w:tcW w:w="1170" w:type="dxa"/>
          </w:tcPr>
          <w:p w:rsidR="00E76417" w:rsidRPr="008756D8" w:rsidRDefault="00E76417" w:rsidP="00E76417">
            <w:pPr>
              <w:jc w:val="center"/>
            </w:pPr>
            <w:r w:rsidRPr="008756D8">
              <w:t>6.8%</w:t>
            </w:r>
          </w:p>
        </w:tc>
      </w:tr>
      <w:tr w:rsidR="00E76417" w:rsidRPr="008756D8" w:rsidTr="0063702A">
        <w:tc>
          <w:tcPr>
            <w:tcW w:w="558" w:type="dxa"/>
          </w:tcPr>
          <w:p w:rsidR="00E76417" w:rsidRPr="008756D8" w:rsidRDefault="00E76417" w:rsidP="00E76417">
            <w:r w:rsidRPr="008756D8">
              <w:t>4.</w:t>
            </w:r>
          </w:p>
        </w:tc>
        <w:tc>
          <w:tcPr>
            <w:tcW w:w="1350" w:type="dxa"/>
          </w:tcPr>
          <w:p w:rsidR="00E76417" w:rsidRPr="008756D8" w:rsidRDefault="00E76417" w:rsidP="00E76417">
            <w:r w:rsidRPr="008756D8">
              <w:t>Lielbritānija</w:t>
            </w:r>
          </w:p>
        </w:tc>
        <w:tc>
          <w:tcPr>
            <w:tcW w:w="3020" w:type="dxa"/>
          </w:tcPr>
          <w:p w:rsidR="00E76417" w:rsidRPr="00ED38EF" w:rsidRDefault="00E76417" w:rsidP="006C3F27">
            <w:pPr>
              <w:pStyle w:val="ListParagraph"/>
              <w:numPr>
                <w:ilvl w:val="0"/>
                <w:numId w:val="105"/>
              </w:numPr>
              <w:suppressAutoHyphens w:val="0"/>
              <w:jc w:val="left"/>
              <w:rPr>
                <w:lang w:val="lv-LV"/>
              </w:rPr>
            </w:pPr>
            <w:r w:rsidRPr="00ED38EF">
              <w:rPr>
                <w:lang w:val="lv-LV"/>
              </w:rPr>
              <w:t xml:space="preserve">Apliekamā ienākuma samazinājums par R&amp;D izmaksām: MVU 225% , lielie 130% </w:t>
            </w:r>
          </w:p>
          <w:p w:rsidR="00E76417" w:rsidRPr="00ED38EF" w:rsidRDefault="00E76417" w:rsidP="006C3F27">
            <w:pPr>
              <w:pStyle w:val="ListParagraph"/>
              <w:numPr>
                <w:ilvl w:val="0"/>
                <w:numId w:val="105"/>
              </w:numPr>
              <w:suppressAutoHyphens w:val="0"/>
              <w:jc w:val="left"/>
              <w:rPr>
                <w:lang w:val="lv-LV"/>
              </w:rPr>
            </w:pPr>
            <w:r w:rsidRPr="00ED38EF">
              <w:rPr>
                <w:lang w:val="lv-LV"/>
              </w:rPr>
              <w:t>R&amp;D izmaksu atgūšana MVU: 11%</w:t>
            </w:r>
          </w:p>
          <w:p w:rsidR="00E76417" w:rsidRPr="00ED38EF" w:rsidRDefault="00E76417" w:rsidP="006C3F27">
            <w:pPr>
              <w:pStyle w:val="ListParagraph"/>
              <w:numPr>
                <w:ilvl w:val="0"/>
                <w:numId w:val="105"/>
              </w:numPr>
              <w:suppressAutoHyphens w:val="0"/>
              <w:jc w:val="left"/>
              <w:rPr>
                <w:lang w:val="lv-LV"/>
              </w:rPr>
            </w:pPr>
            <w:r w:rsidRPr="00ED38EF">
              <w:rPr>
                <w:lang w:val="lv-LV"/>
              </w:rPr>
              <w:t>Patentētiem izgudrojumiem: UIN 10%</w:t>
            </w:r>
          </w:p>
        </w:tc>
        <w:tc>
          <w:tcPr>
            <w:tcW w:w="1260" w:type="dxa"/>
          </w:tcPr>
          <w:p w:rsidR="00E76417" w:rsidRPr="008756D8" w:rsidRDefault="00E76417" w:rsidP="00E76417">
            <w:pPr>
              <w:jc w:val="center"/>
            </w:pPr>
            <w:r w:rsidRPr="008756D8">
              <w:t>23%</w:t>
            </w:r>
          </w:p>
        </w:tc>
        <w:tc>
          <w:tcPr>
            <w:tcW w:w="1260" w:type="dxa"/>
          </w:tcPr>
          <w:p w:rsidR="00E76417" w:rsidRPr="008756D8" w:rsidRDefault="00E76417" w:rsidP="00E76417">
            <w:pPr>
              <w:jc w:val="center"/>
            </w:pPr>
            <w:r w:rsidRPr="008756D8">
              <w:t>Sekotājs</w:t>
            </w:r>
          </w:p>
        </w:tc>
        <w:tc>
          <w:tcPr>
            <w:tcW w:w="990" w:type="dxa"/>
          </w:tcPr>
          <w:p w:rsidR="00E76417" w:rsidRPr="008756D8" w:rsidRDefault="00E76417" w:rsidP="00E76417">
            <w:pPr>
              <w:jc w:val="center"/>
            </w:pPr>
            <w:r w:rsidRPr="008756D8">
              <w:t>36 700</w:t>
            </w:r>
          </w:p>
        </w:tc>
        <w:tc>
          <w:tcPr>
            <w:tcW w:w="1170" w:type="dxa"/>
          </w:tcPr>
          <w:p w:rsidR="00E76417" w:rsidRPr="008756D8" w:rsidRDefault="00E76417" w:rsidP="00E76417">
            <w:pPr>
              <w:jc w:val="center"/>
            </w:pPr>
            <w:r w:rsidRPr="008756D8">
              <w:t>7.8%</w:t>
            </w:r>
          </w:p>
        </w:tc>
      </w:tr>
      <w:tr w:rsidR="00E76417" w:rsidRPr="008756D8" w:rsidTr="0063702A">
        <w:tc>
          <w:tcPr>
            <w:tcW w:w="558" w:type="dxa"/>
          </w:tcPr>
          <w:p w:rsidR="00E76417" w:rsidRPr="008756D8" w:rsidRDefault="00E76417" w:rsidP="00E76417">
            <w:r w:rsidRPr="008756D8">
              <w:t>5.</w:t>
            </w:r>
          </w:p>
        </w:tc>
        <w:tc>
          <w:tcPr>
            <w:tcW w:w="1350" w:type="dxa"/>
          </w:tcPr>
          <w:p w:rsidR="00E76417" w:rsidRPr="008756D8" w:rsidRDefault="00E76417" w:rsidP="00E76417">
            <w:r w:rsidRPr="008756D8">
              <w:t>Francija</w:t>
            </w:r>
          </w:p>
        </w:tc>
        <w:tc>
          <w:tcPr>
            <w:tcW w:w="3020" w:type="dxa"/>
          </w:tcPr>
          <w:p w:rsidR="00E76417" w:rsidRPr="00ED38EF" w:rsidRDefault="00E76417" w:rsidP="006C3F27">
            <w:pPr>
              <w:pStyle w:val="ListParagraph"/>
              <w:numPr>
                <w:ilvl w:val="0"/>
                <w:numId w:val="107"/>
              </w:numPr>
              <w:suppressAutoHyphens w:val="0"/>
              <w:jc w:val="left"/>
              <w:rPr>
                <w:lang w:val="lv-LV"/>
              </w:rPr>
            </w:pPr>
            <w:r w:rsidRPr="00ED38EF">
              <w:rPr>
                <w:lang w:val="lv-LV"/>
              </w:rPr>
              <w:t>Nodokļu kredīts par R&amp;D izmaksām: 30%</w:t>
            </w:r>
          </w:p>
          <w:p w:rsidR="00E76417" w:rsidRPr="00ED38EF" w:rsidRDefault="00E76417" w:rsidP="006C3F27">
            <w:pPr>
              <w:pStyle w:val="ListParagraph"/>
              <w:numPr>
                <w:ilvl w:val="0"/>
                <w:numId w:val="107"/>
              </w:numPr>
              <w:suppressAutoHyphens w:val="0"/>
              <w:jc w:val="left"/>
              <w:rPr>
                <w:lang w:val="lv-LV"/>
              </w:rPr>
            </w:pPr>
            <w:r w:rsidRPr="00ED38EF">
              <w:rPr>
                <w:lang w:val="lv-LV"/>
              </w:rPr>
              <w:t xml:space="preserve">Nodokļu kredīts par prototipu dizaina, </w:t>
            </w:r>
            <w:proofErr w:type="spellStart"/>
            <w:r w:rsidRPr="00ED38EF">
              <w:rPr>
                <w:lang w:val="lv-LV"/>
              </w:rPr>
              <w:t>pilotproduktu</w:t>
            </w:r>
            <w:proofErr w:type="spellEnd"/>
            <w:r w:rsidRPr="00ED38EF">
              <w:rPr>
                <w:lang w:val="lv-LV"/>
              </w:rPr>
              <w:t xml:space="preserve"> izmaksām MVU: 20%</w:t>
            </w:r>
          </w:p>
          <w:p w:rsidR="00E76417" w:rsidRPr="00ED38EF" w:rsidRDefault="00E76417" w:rsidP="006C3F27">
            <w:pPr>
              <w:pStyle w:val="ListParagraph"/>
              <w:numPr>
                <w:ilvl w:val="0"/>
                <w:numId w:val="107"/>
              </w:numPr>
              <w:suppressAutoHyphens w:val="0"/>
              <w:jc w:val="left"/>
              <w:rPr>
                <w:lang w:val="lv-LV"/>
              </w:rPr>
            </w:pPr>
            <w:r w:rsidRPr="00ED38EF">
              <w:rPr>
                <w:lang w:val="lv-LV"/>
              </w:rPr>
              <w:t>Palielināta nolietojuma likme R&amp;D pamatlīdzekļiem</w:t>
            </w:r>
          </w:p>
          <w:p w:rsidR="00E76417" w:rsidRPr="00ED38EF" w:rsidRDefault="00E76417" w:rsidP="006C3F27">
            <w:pPr>
              <w:pStyle w:val="ListParagraph"/>
              <w:numPr>
                <w:ilvl w:val="0"/>
                <w:numId w:val="107"/>
              </w:numPr>
              <w:suppressAutoHyphens w:val="0"/>
              <w:jc w:val="left"/>
              <w:rPr>
                <w:lang w:val="lv-LV"/>
              </w:rPr>
            </w:pPr>
            <w:r w:rsidRPr="00ED38EF">
              <w:rPr>
                <w:lang w:val="lv-LV"/>
              </w:rPr>
              <w:t>Patentētiem izgudrojumiem: UIN 15%</w:t>
            </w:r>
          </w:p>
        </w:tc>
        <w:tc>
          <w:tcPr>
            <w:tcW w:w="1260" w:type="dxa"/>
          </w:tcPr>
          <w:p w:rsidR="00E76417" w:rsidRPr="008756D8" w:rsidRDefault="00E76417" w:rsidP="00E76417">
            <w:pPr>
              <w:jc w:val="center"/>
            </w:pPr>
            <w:r w:rsidRPr="008756D8">
              <w:t>33.33%</w:t>
            </w:r>
          </w:p>
        </w:tc>
        <w:tc>
          <w:tcPr>
            <w:tcW w:w="1260" w:type="dxa"/>
          </w:tcPr>
          <w:p w:rsidR="00E76417" w:rsidRPr="008756D8" w:rsidRDefault="00E76417" w:rsidP="00E76417">
            <w:pPr>
              <w:jc w:val="center"/>
            </w:pPr>
            <w:r w:rsidRPr="008756D8">
              <w:t>Sekotājs</w:t>
            </w:r>
          </w:p>
        </w:tc>
        <w:tc>
          <w:tcPr>
            <w:tcW w:w="990" w:type="dxa"/>
          </w:tcPr>
          <w:p w:rsidR="00E76417" w:rsidRPr="008756D8" w:rsidRDefault="00E76417" w:rsidP="00E76417">
            <w:pPr>
              <w:jc w:val="center"/>
            </w:pPr>
            <w:r w:rsidRPr="008756D8">
              <w:t>35 500</w:t>
            </w:r>
          </w:p>
        </w:tc>
        <w:tc>
          <w:tcPr>
            <w:tcW w:w="1170" w:type="dxa"/>
          </w:tcPr>
          <w:p w:rsidR="00E76417" w:rsidRPr="008756D8" w:rsidRDefault="00E76417" w:rsidP="00E76417">
            <w:pPr>
              <w:jc w:val="center"/>
            </w:pPr>
            <w:r w:rsidRPr="008756D8">
              <w:t>9.8%</w:t>
            </w:r>
          </w:p>
        </w:tc>
      </w:tr>
      <w:tr w:rsidR="00E76417" w:rsidRPr="008756D8" w:rsidTr="0063702A">
        <w:tc>
          <w:tcPr>
            <w:tcW w:w="558" w:type="dxa"/>
          </w:tcPr>
          <w:p w:rsidR="00E76417" w:rsidRPr="008756D8" w:rsidRDefault="00E76417" w:rsidP="00E76417">
            <w:r w:rsidRPr="008756D8">
              <w:t>6.</w:t>
            </w:r>
          </w:p>
        </w:tc>
        <w:tc>
          <w:tcPr>
            <w:tcW w:w="1350" w:type="dxa"/>
          </w:tcPr>
          <w:p w:rsidR="00E76417" w:rsidRPr="008756D8" w:rsidRDefault="00E76417" w:rsidP="00E76417">
            <w:r w:rsidRPr="008756D8">
              <w:t>Igaunija</w:t>
            </w:r>
          </w:p>
        </w:tc>
        <w:tc>
          <w:tcPr>
            <w:tcW w:w="3020" w:type="dxa"/>
          </w:tcPr>
          <w:p w:rsidR="00E76417" w:rsidRPr="008756D8" w:rsidRDefault="00E76417" w:rsidP="00E76417">
            <w:r w:rsidRPr="008756D8">
              <w:t>-</w:t>
            </w:r>
          </w:p>
        </w:tc>
        <w:tc>
          <w:tcPr>
            <w:tcW w:w="1260" w:type="dxa"/>
          </w:tcPr>
          <w:p w:rsidR="00E76417" w:rsidRPr="008756D8" w:rsidRDefault="00E76417" w:rsidP="00E76417">
            <w:pPr>
              <w:jc w:val="center"/>
            </w:pPr>
            <w:r w:rsidRPr="008756D8">
              <w:t>21% no bruto</w:t>
            </w:r>
          </w:p>
        </w:tc>
        <w:tc>
          <w:tcPr>
            <w:tcW w:w="1260" w:type="dxa"/>
          </w:tcPr>
          <w:p w:rsidR="00E76417" w:rsidRPr="008756D8" w:rsidRDefault="00E76417" w:rsidP="00E76417">
            <w:pPr>
              <w:jc w:val="center"/>
            </w:pPr>
            <w:r w:rsidRPr="008756D8">
              <w:t>Sekotājs</w:t>
            </w:r>
          </w:p>
        </w:tc>
        <w:tc>
          <w:tcPr>
            <w:tcW w:w="990" w:type="dxa"/>
          </w:tcPr>
          <w:p w:rsidR="00E76417" w:rsidRPr="008756D8" w:rsidRDefault="00E76417" w:rsidP="00E76417">
            <w:pPr>
              <w:jc w:val="center"/>
            </w:pPr>
            <w:r w:rsidRPr="008756D8">
              <w:t>21 200</w:t>
            </w:r>
          </w:p>
        </w:tc>
        <w:tc>
          <w:tcPr>
            <w:tcW w:w="1170" w:type="dxa"/>
          </w:tcPr>
          <w:p w:rsidR="00E76417" w:rsidRPr="008756D8" w:rsidRDefault="00E76417" w:rsidP="00E76417">
            <w:pPr>
              <w:jc w:val="center"/>
            </w:pPr>
            <w:r w:rsidRPr="008756D8">
              <w:t>11.5%</w:t>
            </w:r>
          </w:p>
        </w:tc>
      </w:tr>
      <w:tr w:rsidR="00E76417" w:rsidRPr="008756D8" w:rsidTr="0063702A">
        <w:tc>
          <w:tcPr>
            <w:tcW w:w="558" w:type="dxa"/>
          </w:tcPr>
          <w:p w:rsidR="00E76417" w:rsidRPr="008756D8" w:rsidRDefault="00E76417" w:rsidP="00E76417">
            <w:r w:rsidRPr="008756D8">
              <w:t>7.</w:t>
            </w:r>
          </w:p>
        </w:tc>
        <w:tc>
          <w:tcPr>
            <w:tcW w:w="1350" w:type="dxa"/>
          </w:tcPr>
          <w:p w:rsidR="00E76417" w:rsidRPr="008756D8" w:rsidRDefault="00E76417" w:rsidP="00E76417">
            <w:r w:rsidRPr="008756D8">
              <w:t>Itālija</w:t>
            </w:r>
          </w:p>
        </w:tc>
        <w:tc>
          <w:tcPr>
            <w:tcW w:w="3020" w:type="dxa"/>
          </w:tcPr>
          <w:p w:rsidR="00E76417" w:rsidRPr="00ED38EF" w:rsidRDefault="00E76417" w:rsidP="006C3F27">
            <w:pPr>
              <w:pStyle w:val="ListParagraph"/>
              <w:numPr>
                <w:ilvl w:val="0"/>
                <w:numId w:val="108"/>
              </w:numPr>
              <w:suppressAutoHyphens w:val="0"/>
              <w:jc w:val="left"/>
              <w:rPr>
                <w:lang w:val="lv-LV"/>
              </w:rPr>
            </w:pPr>
            <w:r w:rsidRPr="00ED38EF">
              <w:rPr>
                <w:lang w:val="lv-LV"/>
              </w:rPr>
              <w:t>Nodokļu kredīts par algas un soc.</w:t>
            </w:r>
            <w:r w:rsidR="00A82D8E">
              <w:rPr>
                <w:lang w:val="lv-LV"/>
              </w:rPr>
              <w:t xml:space="preserve"> </w:t>
            </w:r>
            <w:r w:rsidRPr="00ED38EF">
              <w:rPr>
                <w:lang w:val="lv-LV"/>
              </w:rPr>
              <w:t>nodokļa izmaksām augsti kvalificētiem pētniekiem: 35%</w:t>
            </w:r>
          </w:p>
          <w:p w:rsidR="00E76417" w:rsidRPr="00ED38EF" w:rsidRDefault="00E76417" w:rsidP="006C3F27">
            <w:pPr>
              <w:pStyle w:val="ListParagraph"/>
              <w:numPr>
                <w:ilvl w:val="0"/>
                <w:numId w:val="108"/>
              </w:numPr>
              <w:suppressAutoHyphens w:val="0"/>
              <w:jc w:val="left"/>
              <w:rPr>
                <w:lang w:val="lv-LV"/>
              </w:rPr>
            </w:pPr>
            <w:r w:rsidRPr="00ED38EF">
              <w:rPr>
                <w:lang w:val="lv-LV"/>
              </w:rPr>
              <w:t>IRAP apliekamā ienākuma samazinājums par algu un soc.</w:t>
            </w:r>
            <w:r w:rsidR="00A82D8E">
              <w:rPr>
                <w:lang w:val="lv-LV"/>
              </w:rPr>
              <w:t xml:space="preserve"> </w:t>
            </w:r>
            <w:r w:rsidRPr="00ED38EF">
              <w:rPr>
                <w:lang w:val="lv-LV"/>
              </w:rPr>
              <w:t>nodokļa izmaksām: 100%</w:t>
            </w:r>
          </w:p>
          <w:p w:rsidR="00E76417" w:rsidRPr="00ED38EF" w:rsidRDefault="00E76417" w:rsidP="006C3F27">
            <w:pPr>
              <w:pStyle w:val="ListParagraph"/>
              <w:numPr>
                <w:ilvl w:val="0"/>
                <w:numId w:val="108"/>
              </w:numPr>
              <w:suppressAutoHyphens w:val="0"/>
              <w:jc w:val="left"/>
              <w:rPr>
                <w:lang w:val="lv-LV"/>
              </w:rPr>
            </w:pPr>
            <w:r w:rsidRPr="00ED38EF">
              <w:rPr>
                <w:lang w:val="lv-LV"/>
              </w:rPr>
              <w:t>Nodokļu kredīts R&amp;D izmaksu pieauguma gadījumā: 90% no izmaksu pieauguma</w:t>
            </w:r>
          </w:p>
          <w:p w:rsidR="00E76417" w:rsidRPr="00ED38EF" w:rsidRDefault="00E76417" w:rsidP="006C3F27">
            <w:pPr>
              <w:pStyle w:val="ListParagraph"/>
              <w:numPr>
                <w:ilvl w:val="0"/>
                <w:numId w:val="108"/>
              </w:numPr>
              <w:suppressAutoHyphens w:val="0"/>
              <w:jc w:val="left"/>
              <w:rPr>
                <w:lang w:val="lv-LV"/>
              </w:rPr>
            </w:pPr>
            <w:r w:rsidRPr="00ED38EF">
              <w:rPr>
                <w:lang w:val="lv-LV"/>
              </w:rPr>
              <w:t>Atvieglojumi par investīcijām jaunos R&amp;D uzņēmumos</w:t>
            </w:r>
          </w:p>
          <w:p w:rsidR="00E76417" w:rsidRPr="00ED38EF" w:rsidRDefault="00E76417" w:rsidP="006C3F27">
            <w:pPr>
              <w:pStyle w:val="ListParagraph"/>
              <w:numPr>
                <w:ilvl w:val="0"/>
                <w:numId w:val="108"/>
              </w:numPr>
              <w:suppressAutoHyphens w:val="0"/>
              <w:jc w:val="left"/>
              <w:rPr>
                <w:lang w:val="lv-LV"/>
              </w:rPr>
            </w:pPr>
            <w:r w:rsidRPr="00ED38EF">
              <w:rPr>
                <w:lang w:val="lv-LV"/>
              </w:rPr>
              <w:t xml:space="preserve">Nodokļu kredīts par telemātikas platformu izstrādes izmaksām: 25% </w:t>
            </w:r>
          </w:p>
        </w:tc>
        <w:tc>
          <w:tcPr>
            <w:tcW w:w="1260" w:type="dxa"/>
          </w:tcPr>
          <w:p w:rsidR="00E76417" w:rsidRPr="008756D8" w:rsidRDefault="00E76417" w:rsidP="00E76417">
            <w:pPr>
              <w:jc w:val="center"/>
            </w:pPr>
            <w:r w:rsidRPr="008756D8">
              <w:t>31.4% - 32.4%</w:t>
            </w:r>
          </w:p>
        </w:tc>
        <w:tc>
          <w:tcPr>
            <w:tcW w:w="1260" w:type="dxa"/>
          </w:tcPr>
          <w:p w:rsidR="00E76417" w:rsidRPr="008756D8" w:rsidRDefault="00E76417" w:rsidP="00E76417">
            <w:pPr>
              <w:jc w:val="center"/>
            </w:pPr>
            <w:r w:rsidRPr="008756D8">
              <w:t>Mērenais</w:t>
            </w:r>
          </w:p>
        </w:tc>
        <w:tc>
          <w:tcPr>
            <w:tcW w:w="990" w:type="dxa"/>
          </w:tcPr>
          <w:p w:rsidR="00E76417" w:rsidRPr="008756D8" w:rsidRDefault="00E76417" w:rsidP="00E76417">
            <w:pPr>
              <w:jc w:val="center"/>
            </w:pPr>
            <w:r w:rsidRPr="008756D8">
              <w:t>30 100</w:t>
            </w:r>
          </w:p>
        </w:tc>
        <w:tc>
          <w:tcPr>
            <w:tcW w:w="1170" w:type="dxa"/>
          </w:tcPr>
          <w:p w:rsidR="00E76417" w:rsidRPr="008756D8" w:rsidRDefault="00E76417" w:rsidP="00E76417">
            <w:pPr>
              <w:jc w:val="center"/>
            </w:pPr>
            <w:r w:rsidRPr="008756D8">
              <w:t>10.9%</w:t>
            </w:r>
          </w:p>
        </w:tc>
      </w:tr>
      <w:tr w:rsidR="00E76417" w:rsidRPr="008756D8" w:rsidTr="0063702A">
        <w:tc>
          <w:tcPr>
            <w:tcW w:w="558" w:type="dxa"/>
          </w:tcPr>
          <w:p w:rsidR="00E76417" w:rsidRPr="008756D8" w:rsidRDefault="00E76417" w:rsidP="00E76417">
            <w:r w:rsidRPr="008756D8">
              <w:t>8.</w:t>
            </w:r>
          </w:p>
        </w:tc>
        <w:tc>
          <w:tcPr>
            <w:tcW w:w="1350" w:type="dxa"/>
          </w:tcPr>
          <w:p w:rsidR="00E76417" w:rsidRPr="008756D8" w:rsidRDefault="00E76417" w:rsidP="00E76417">
            <w:r w:rsidRPr="008756D8">
              <w:t>Spānija</w:t>
            </w:r>
          </w:p>
        </w:tc>
        <w:tc>
          <w:tcPr>
            <w:tcW w:w="3020" w:type="dxa"/>
          </w:tcPr>
          <w:p w:rsidR="00E76417" w:rsidRPr="00ED38EF" w:rsidRDefault="00E76417" w:rsidP="006C3F27">
            <w:pPr>
              <w:pStyle w:val="ListParagraph"/>
              <w:numPr>
                <w:ilvl w:val="0"/>
                <w:numId w:val="109"/>
              </w:numPr>
              <w:suppressAutoHyphens w:val="0"/>
              <w:jc w:val="left"/>
              <w:rPr>
                <w:lang w:val="lv-LV"/>
              </w:rPr>
            </w:pPr>
            <w:r w:rsidRPr="00ED38EF">
              <w:rPr>
                <w:lang w:val="lv-LV"/>
              </w:rPr>
              <w:t>Nodokļu kredīts par R&amp;D izmaksām: 25%</w:t>
            </w:r>
          </w:p>
          <w:p w:rsidR="00E76417" w:rsidRPr="00ED38EF" w:rsidRDefault="00E76417" w:rsidP="006C3F27">
            <w:pPr>
              <w:pStyle w:val="ListParagraph"/>
              <w:numPr>
                <w:ilvl w:val="0"/>
                <w:numId w:val="109"/>
              </w:numPr>
              <w:suppressAutoHyphens w:val="0"/>
              <w:jc w:val="left"/>
              <w:rPr>
                <w:lang w:val="lv-LV"/>
              </w:rPr>
            </w:pPr>
            <w:r w:rsidRPr="00ED38EF">
              <w:rPr>
                <w:lang w:val="lv-LV"/>
              </w:rPr>
              <w:t>Nodokļu kredīts R&amp;D izmaksu pieauguma gadījumā: 42% no izmaksu pieauguma</w:t>
            </w:r>
          </w:p>
          <w:p w:rsidR="00E76417" w:rsidRPr="00ED38EF" w:rsidRDefault="00E76417" w:rsidP="006C3F27">
            <w:pPr>
              <w:pStyle w:val="ListParagraph"/>
              <w:numPr>
                <w:ilvl w:val="0"/>
                <w:numId w:val="109"/>
              </w:numPr>
              <w:suppressAutoHyphens w:val="0"/>
              <w:jc w:val="left"/>
              <w:rPr>
                <w:lang w:val="lv-LV"/>
              </w:rPr>
            </w:pPr>
            <w:r w:rsidRPr="00ED38EF">
              <w:rPr>
                <w:lang w:val="lv-LV"/>
              </w:rPr>
              <w:t>Nodokļu kredīts par algas un soc.</w:t>
            </w:r>
            <w:r w:rsidR="00A82D8E">
              <w:rPr>
                <w:lang w:val="lv-LV"/>
              </w:rPr>
              <w:t xml:space="preserve"> </w:t>
            </w:r>
            <w:r w:rsidRPr="00ED38EF">
              <w:rPr>
                <w:lang w:val="lv-LV"/>
              </w:rPr>
              <w:t>nodokļa izmaksām augsti kvalificētiem pētniekiem: 17%</w:t>
            </w:r>
          </w:p>
          <w:p w:rsidR="00E76417" w:rsidRPr="00ED38EF" w:rsidRDefault="00E76417" w:rsidP="006C3F27">
            <w:pPr>
              <w:pStyle w:val="ListParagraph"/>
              <w:numPr>
                <w:ilvl w:val="0"/>
                <w:numId w:val="109"/>
              </w:numPr>
              <w:suppressAutoHyphens w:val="0"/>
              <w:jc w:val="left"/>
              <w:rPr>
                <w:lang w:val="lv-LV"/>
              </w:rPr>
            </w:pPr>
            <w:r w:rsidRPr="00ED38EF">
              <w:rPr>
                <w:lang w:val="lv-LV"/>
              </w:rPr>
              <w:t>Nodokļu kredīts par R&amp;D pamatlīdzekļu iegādes izmaksām: 8%</w:t>
            </w:r>
          </w:p>
          <w:p w:rsidR="00E76417" w:rsidRPr="00ED38EF" w:rsidRDefault="00E76417" w:rsidP="006C3F27">
            <w:pPr>
              <w:pStyle w:val="ListParagraph"/>
              <w:numPr>
                <w:ilvl w:val="0"/>
                <w:numId w:val="109"/>
              </w:numPr>
              <w:suppressAutoHyphens w:val="0"/>
              <w:jc w:val="left"/>
              <w:rPr>
                <w:lang w:val="lv-LV"/>
              </w:rPr>
            </w:pPr>
            <w:r w:rsidRPr="00ED38EF">
              <w:rPr>
                <w:lang w:val="lv-LV"/>
              </w:rPr>
              <w:t>Nodokļu kredīts par esoša produkta tehnoloģiskas uzlabošanas izmaksām: 12%</w:t>
            </w:r>
          </w:p>
          <w:p w:rsidR="00E76417" w:rsidRPr="00ED38EF" w:rsidRDefault="00E76417" w:rsidP="00A82D8E">
            <w:pPr>
              <w:pStyle w:val="ListParagraph"/>
              <w:numPr>
                <w:ilvl w:val="0"/>
                <w:numId w:val="109"/>
              </w:numPr>
              <w:suppressAutoHyphens w:val="0"/>
              <w:jc w:val="left"/>
              <w:rPr>
                <w:lang w:val="lv-LV"/>
              </w:rPr>
            </w:pPr>
            <w:r w:rsidRPr="00ED38EF">
              <w:rPr>
                <w:lang w:val="lv-LV"/>
              </w:rPr>
              <w:t xml:space="preserve">Patentētiem izgudrojumiem, dizainam, </w:t>
            </w:r>
            <w:r w:rsidR="00A82D8E" w:rsidRPr="00ED38EF">
              <w:rPr>
                <w:lang w:val="lv-LV"/>
              </w:rPr>
              <w:t>formulām</w:t>
            </w:r>
            <w:r w:rsidRPr="00ED38EF">
              <w:rPr>
                <w:lang w:val="lv-LV"/>
              </w:rPr>
              <w:t xml:space="preserve">, </w:t>
            </w:r>
            <w:proofErr w:type="spellStart"/>
            <w:r w:rsidRPr="00ED38EF">
              <w:rPr>
                <w:i/>
                <w:lang w:val="lv-LV"/>
              </w:rPr>
              <w:t>know-how</w:t>
            </w:r>
            <w:r w:rsidRPr="00ED38EF">
              <w:rPr>
                <w:lang w:val="lv-LV"/>
              </w:rPr>
              <w:t>:</w:t>
            </w:r>
            <w:proofErr w:type="spellEnd"/>
            <w:r w:rsidRPr="00ED38EF">
              <w:rPr>
                <w:lang w:val="lv-LV"/>
              </w:rPr>
              <w:t xml:space="preserve"> 50% ienākuma atbrīvojums no UIN</w:t>
            </w:r>
          </w:p>
        </w:tc>
        <w:tc>
          <w:tcPr>
            <w:tcW w:w="1260" w:type="dxa"/>
          </w:tcPr>
          <w:p w:rsidR="00E76417" w:rsidRPr="008756D8" w:rsidRDefault="00E76417" w:rsidP="00E76417">
            <w:pPr>
              <w:jc w:val="center"/>
            </w:pPr>
            <w:r w:rsidRPr="008756D8">
              <w:t>30%</w:t>
            </w:r>
          </w:p>
        </w:tc>
        <w:tc>
          <w:tcPr>
            <w:tcW w:w="1260" w:type="dxa"/>
          </w:tcPr>
          <w:p w:rsidR="00E76417" w:rsidRPr="008756D8" w:rsidRDefault="00E76417" w:rsidP="00E76417">
            <w:pPr>
              <w:jc w:val="center"/>
            </w:pPr>
            <w:r w:rsidRPr="008756D8">
              <w:t>Mērenais</w:t>
            </w:r>
          </w:p>
        </w:tc>
        <w:tc>
          <w:tcPr>
            <w:tcW w:w="990" w:type="dxa"/>
          </w:tcPr>
          <w:p w:rsidR="00E76417" w:rsidRPr="008756D8" w:rsidRDefault="00E76417" w:rsidP="00E76417">
            <w:pPr>
              <w:jc w:val="center"/>
            </w:pPr>
            <w:r w:rsidRPr="008756D8">
              <w:t>30 400</w:t>
            </w:r>
          </w:p>
        </w:tc>
        <w:tc>
          <w:tcPr>
            <w:tcW w:w="1170" w:type="dxa"/>
          </w:tcPr>
          <w:p w:rsidR="00E76417" w:rsidRPr="008756D8" w:rsidRDefault="00E76417" w:rsidP="00E76417">
            <w:pPr>
              <w:jc w:val="center"/>
            </w:pPr>
            <w:r w:rsidRPr="008756D8">
              <w:t>24.9%</w:t>
            </w:r>
          </w:p>
        </w:tc>
      </w:tr>
      <w:tr w:rsidR="00E76417" w:rsidRPr="008756D8" w:rsidTr="0063702A">
        <w:tc>
          <w:tcPr>
            <w:tcW w:w="558" w:type="dxa"/>
          </w:tcPr>
          <w:p w:rsidR="00E76417" w:rsidRPr="008756D8" w:rsidRDefault="00E76417" w:rsidP="00E76417">
            <w:r w:rsidRPr="008756D8">
              <w:t>9.</w:t>
            </w:r>
          </w:p>
        </w:tc>
        <w:tc>
          <w:tcPr>
            <w:tcW w:w="1350" w:type="dxa"/>
          </w:tcPr>
          <w:p w:rsidR="00E76417" w:rsidRPr="008756D8" w:rsidRDefault="00E76417" w:rsidP="00E76417">
            <w:r w:rsidRPr="008756D8">
              <w:t>Grieķija</w:t>
            </w:r>
          </w:p>
        </w:tc>
        <w:tc>
          <w:tcPr>
            <w:tcW w:w="3020" w:type="dxa"/>
          </w:tcPr>
          <w:p w:rsidR="00E76417" w:rsidRPr="00ED38EF" w:rsidRDefault="00E76417" w:rsidP="006C3F27">
            <w:pPr>
              <w:pStyle w:val="ListParagraph"/>
              <w:numPr>
                <w:ilvl w:val="0"/>
                <w:numId w:val="110"/>
              </w:numPr>
              <w:suppressAutoHyphens w:val="0"/>
              <w:jc w:val="left"/>
              <w:rPr>
                <w:lang w:val="lv-LV"/>
              </w:rPr>
            </w:pPr>
            <w:r w:rsidRPr="00ED38EF">
              <w:rPr>
                <w:lang w:val="lv-LV"/>
              </w:rPr>
              <w:t>Apliekamā ienākuma samazinājums par R&amp;D izmaksām 100%/ 130% apmērā</w:t>
            </w:r>
          </w:p>
          <w:p w:rsidR="00E76417" w:rsidRPr="00ED38EF" w:rsidRDefault="00E76417" w:rsidP="006C3F27">
            <w:pPr>
              <w:pStyle w:val="ListParagraph"/>
              <w:numPr>
                <w:ilvl w:val="0"/>
                <w:numId w:val="110"/>
              </w:numPr>
              <w:suppressAutoHyphens w:val="0"/>
              <w:jc w:val="left"/>
              <w:rPr>
                <w:lang w:val="lv-LV"/>
              </w:rPr>
            </w:pPr>
            <w:r w:rsidRPr="00ED38EF">
              <w:rPr>
                <w:lang w:val="lv-LV"/>
              </w:rPr>
              <w:t>Paātrināts nolietojums R&amp;D aktivitātes izmantotajiem pamatlīdzekļiem</w:t>
            </w:r>
          </w:p>
          <w:p w:rsidR="00E76417" w:rsidRPr="00ED38EF" w:rsidRDefault="00E76417" w:rsidP="006C3F27">
            <w:pPr>
              <w:pStyle w:val="ListParagraph"/>
              <w:numPr>
                <w:ilvl w:val="0"/>
                <w:numId w:val="110"/>
              </w:numPr>
              <w:suppressAutoHyphens w:val="0"/>
              <w:jc w:val="left"/>
              <w:rPr>
                <w:b/>
                <w:lang w:val="lv-LV"/>
              </w:rPr>
            </w:pPr>
            <w:r w:rsidRPr="00ED38EF">
              <w:rPr>
                <w:lang w:val="lv-LV"/>
              </w:rPr>
              <w:t>Ienākuma no patenta atbrīvojums no UIN 3 gadus</w:t>
            </w:r>
          </w:p>
        </w:tc>
        <w:tc>
          <w:tcPr>
            <w:tcW w:w="1260" w:type="dxa"/>
          </w:tcPr>
          <w:p w:rsidR="00E76417" w:rsidRPr="008756D8" w:rsidRDefault="00E76417" w:rsidP="00E76417">
            <w:pPr>
              <w:jc w:val="center"/>
            </w:pPr>
            <w:r w:rsidRPr="008756D8">
              <w:t>26%</w:t>
            </w:r>
          </w:p>
        </w:tc>
        <w:tc>
          <w:tcPr>
            <w:tcW w:w="1260" w:type="dxa"/>
          </w:tcPr>
          <w:p w:rsidR="00E76417" w:rsidRPr="008756D8" w:rsidRDefault="00E76417" w:rsidP="00E76417">
            <w:pPr>
              <w:jc w:val="center"/>
            </w:pPr>
            <w:r w:rsidRPr="008756D8">
              <w:t>Mērenais</w:t>
            </w:r>
          </w:p>
        </w:tc>
        <w:tc>
          <w:tcPr>
            <w:tcW w:w="990" w:type="dxa"/>
          </w:tcPr>
          <w:p w:rsidR="00E76417" w:rsidRPr="008756D8" w:rsidRDefault="00E76417" w:rsidP="00E76417">
            <w:pPr>
              <w:jc w:val="center"/>
            </w:pPr>
            <w:r w:rsidRPr="008756D8">
              <w:t>25 100</w:t>
            </w:r>
          </w:p>
        </w:tc>
        <w:tc>
          <w:tcPr>
            <w:tcW w:w="1170" w:type="dxa"/>
          </w:tcPr>
          <w:p w:rsidR="00E76417" w:rsidRPr="008756D8" w:rsidRDefault="00E76417" w:rsidP="00E76417">
            <w:pPr>
              <w:jc w:val="center"/>
            </w:pPr>
            <w:r w:rsidRPr="008756D8">
              <w:t>24.4%</w:t>
            </w:r>
          </w:p>
        </w:tc>
      </w:tr>
      <w:tr w:rsidR="00E76417" w:rsidRPr="008756D8" w:rsidTr="0063702A">
        <w:trPr>
          <w:trHeight w:val="422"/>
        </w:trPr>
        <w:tc>
          <w:tcPr>
            <w:tcW w:w="558" w:type="dxa"/>
          </w:tcPr>
          <w:p w:rsidR="00E76417" w:rsidRPr="008756D8" w:rsidRDefault="00E76417" w:rsidP="00E76417">
            <w:r w:rsidRPr="008756D8">
              <w:t>10.</w:t>
            </w:r>
          </w:p>
        </w:tc>
        <w:tc>
          <w:tcPr>
            <w:tcW w:w="1350" w:type="dxa"/>
          </w:tcPr>
          <w:p w:rsidR="00E76417" w:rsidRPr="008756D8" w:rsidRDefault="00E76417" w:rsidP="00E76417">
            <w:r w:rsidRPr="008756D8">
              <w:t>Lietuva</w:t>
            </w:r>
          </w:p>
        </w:tc>
        <w:tc>
          <w:tcPr>
            <w:tcW w:w="3020" w:type="dxa"/>
          </w:tcPr>
          <w:p w:rsidR="00E76417" w:rsidRPr="00ED38EF" w:rsidRDefault="00E76417" w:rsidP="006C3F27">
            <w:pPr>
              <w:pStyle w:val="ListParagraph"/>
              <w:numPr>
                <w:ilvl w:val="0"/>
                <w:numId w:val="111"/>
              </w:numPr>
              <w:suppressAutoHyphens w:val="0"/>
              <w:jc w:val="left"/>
              <w:rPr>
                <w:lang w:val="lv-LV"/>
              </w:rPr>
            </w:pPr>
            <w:r w:rsidRPr="00ED38EF">
              <w:rPr>
                <w:lang w:val="lv-LV"/>
              </w:rPr>
              <w:t>Apliekamā ienākuma samazinājums par R&amp;D izmaksām 300% apmērā</w:t>
            </w:r>
          </w:p>
          <w:p w:rsidR="00E76417" w:rsidRPr="00ED38EF" w:rsidRDefault="00E76417" w:rsidP="006C3F27">
            <w:pPr>
              <w:pStyle w:val="ListParagraph"/>
              <w:numPr>
                <w:ilvl w:val="0"/>
                <w:numId w:val="111"/>
              </w:numPr>
              <w:suppressAutoHyphens w:val="0"/>
              <w:jc w:val="left"/>
              <w:rPr>
                <w:lang w:val="lv-LV"/>
              </w:rPr>
            </w:pPr>
            <w:r w:rsidRPr="00ED38EF">
              <w:rPr>
                <w:lang w:val="lv-LV"/>
              </w:rPr>
              <w:t>Paātrināts nolietojums R&amp;D aktivitātes izmantotajiem pamatlīdzekļiem</w:t>
            </w:r>
          </w:p>
          <w:p w:rsidR="00E76417" w:rsidRPr="00ED38EF" w:rsidRDefault="00E76417" w:rsidP="006C3F27">
            <w:pPr>
              <w:pStyle w:val="ListParagraph"/>
              <w:numPr>
                <w:ilvl w:val="0"/>
                <w:numId w:val="111"/>
              </w:numPr>
              <w:suppressAutoHyphens w:val="0"/>
              <w:jc w:val="left"/>
              <w:rPr>
                <w:lang w:val="lv-LV"/>
              </w:rPr>
            </w:pPr>
            <w:r w:rsidRPr="00ED38EF">
              <w:rPr>
                <w:lang w:val="lv-LV"/>
              </w:rPr>
              <w:t>Apliekamā ienākuma samazinājums līdz 50% par R&amp;D aktivitātēs izmantoto pamatlīdzekļu iegādes izmaksām</w:t>
            </w:r>
          </w:p>
        </w:tc>
        <w:tc>
          <w:tcPr>
            <w:tcW w:w="1260" w:type="dxa"/>
          </w:tcPr>
          <w:p w:rsidR="00E76417" w:rsidRPr="008756D8" w:rsidRDefault="00E76417" w:rsidP="00E76417">
            <w:pPr>
              <w:jc w:val="center"/>
            </w:pPr>
            <w:r w:rsidRPr="008756D8">
              <w:t>15%</w:t>
            </w:r>
          </w:p>
        </w:tc>
        <w:tc>
          <w:tcPr>
            <w:tcW w:w="1260" w:type="dxa"/>
          </w:tcPr>
          <w:p w:rsidR="00E76417" w:rsidRPr="008756D8" w:rsidRDefault="00E76417" w:rsidP="00E76417">
            <w:pPr>
              <w:jc w:val="center"/>
            </w:pPr>
            <w:r w:rsidRPr="008756D8">
              <w:t>Mērenais</w:t>
            </w:r>
          </w:p>
        </w:tc>
        <w:tc>
          <w:tcPr>
            <w:tcW w:w="990" w:type="dxa"/>
          </w:tcPr>
          <w:p w:rsidR="00E76417" w:rsidRPr="008756D8" w:rsidRDefault="00E76417" w:rsidP="00E76417">
            <w:pPr>
              <w:jc w:val="center"/>
            </w:pPr>
            <w:r w:rsidRPr="008756D8">
              <w:t>20 100</w:t>
            </w:r>
          </w:p>
        </w:tc>
        <w:tc>
          <w:tcPr>
            <w:tcW w:w="1170" w:type="dxa"/>
          </w:tcPr>
          <w:p w:rsidR="00E76417" w:rsidRPr="008756D8" w:rsidRDefault="00E76417" w:rsidP="00E76417">
            <w:pPr>
              <w:jc w:val="center"/>
            </w:pPr>
            <w:r w:rsidRPr="008756D8">
              <w:t>15.7%</w:t>
            </w:r>
          </w:p>
        </w:tc>
      </w:tr>
      <w:tr w:rsidR="00E76417" w:rsidRPr="008756D8" w:rsidTr="0063702A">
        <w:trPr>
          <w:trHeight w:val="422"/>
        </w:trPr>
        <w:tc>
          <w:tcPr>
            <w:tcW w:w="558" w:type="dxa"/>
          </w:tcPr>
          <w:p w:rsidR="00E76417" w:rsidRPr="008756D8" w:rsidRDefault="00E76417" w:rsidP="00E76417">
            <w:r w:rsidRPr="008756D8">
              <w:t>11.</w:t>
            </w:r>
          </w:p>
        </w:tc>
        <w:tc>
          <w:tcPr>
            <w:tcW w:w="1350" w:type="dxa"/>
          </w:tcPr>
          <w:p w:rsidR="00E76417" w:rsidRPr="008756D8" w:rsidRDefault="00E76417" w:rsidP="00E76417">
            <w:r w:rsidRPr="008756D8">
              <w:t>Latvija</w:t>
            </w:r>
          </w:p>
        </w:tc>
        <w:tc>
          <w:tcPr>
            <w:tcW w:w="3020" w:type="dxa"/>
          </w:tcPr>
          <w:p w:rsidR="00E76417" w:rsidRPr="00ED38EF" w:rsidRDefault="00E76417" w:rsidP="006C3F27">
            <w:pPr>
              <w:pStyle w:val="ListParagraph"/>
              <w:numPr>
                <w:ilvl w:val="0"/>
                <w:numId w:val="112"/>
              </w:numPr>
              <w:suppressAutoHyphens w:val="0"/>
              <w:spacing w:after="120"/>
              <w:rPr>
                <w:rFonts w:eastAsia="Times New Roman"/>
                <w:lang w:val="lv-LV"/>
              </w:rPr>
            </w:pPr>
            <w:r w:rsidRPr="00ED38EF">
              <w:rPr>
                <w:rFonts w:eastAsia="Times New Roman"/>
                <w:lang w:val="lv-LV"/>
              </w:rPr>
              <w:t>Apliekamā ienākuma samazinājums par R&amp;D izmaksām 150% apmērā.</w:t>
            </w:r>
          </w:p>
        </w:tc>
        <w:tc>
          <w:tcPr>
            <w:tcW w:w="1260" w:type="dxa"/>
          </w:tcPr>
          <w:p w:rsidR="00E76417" w:rsidRPr="008756D8" w:rsidRDefault="00E76417" w:rsidP="00E76417">
            <w:pPr>
              <w:jc w:val="center"/>
            </w:pPr>
            <w:r w:rsidRPr="008756D8">
              <w:t>15%</w:t>
            </w:r>
          </w:p>
        </w:tc>
        <w:tc>
          <w:tcPr>
            <w:tcW w:w="1260" w:type="dxa"/>
          </w:tcPr>
          <w:p w:rsidR="00E76417" w:rsidRPr="008756D8" w:rsidRDefault="00E76417" w:rsidP="00E76417">
            <w:pPr>
              <w:jc w:val="center"/>
            </w:pPr>
            <w:r w:rsidRPr="008756D8">
              <w:t>Pieticīgs</w:t>
            </w:r>
          </w:p>
        </w:tc>
        <w:tc>
          <w:tcPr>
            <w:tcW w:w="990" w:type="dxa"/>
          </w:tcPr>
          <w:p w:rsidR="00E76417" w:rsidRPr="008756D8" w:rsidRDefault="00E76417" w:rsidP="00E76417">
            <w:pPr>
              <w:jc w:val="center"/>
            </w:pPr>
            <w:r w:rsidRPr="008756D8">
              <w:t>18 100</w:t>
            </w:r>
          </w:p>
        </w:tc>
        <w:tc>
          <w:tcPr>
            <w:tcW w:w="1170" w:type="dxa"/>
          </w:tcPr>
          <w:p w:rsidR="00E76417" w:rsidRPr="008756D8" w:rsidRDefault="00E76417" w:rsidP="00E76417">
            <w:pPr>
              <w:jc w:val="center"/>
            </w:pPr>
            <w:r w:rsidRPr="008756D8">
              <w:t>14.3%</w:t>
            </w:r>
          </w:p>
        </w:tc>
      </w:tr>
    </w:tbl>
    <w:p w:rsidR="00E76417" w:rsidRPr="00987517" w:rsidRDefault="00E76417" w:rsidP="00E76417">
      <w:pPr>
        <w:rPr>
          <w:rFonts w:cs="Calibri"/>
          <w:i/>
        </w:rPr>
      </w:pPr>
      <w:r w:rsidRPr="00987517">
        <w:rPr>
          <w:i/>
        </w:rPr>
        <w:t xml:space="preserve">Avoti: IBFD (www.ibfd.org), </w:t>
      </w:r>
      <w:proofErr w:type="spellStart"/>
      <w:r w:rsidRPr="00987517">
        <w:rPr>
          <w:rFonts w:cs="Calibri"/>
          <w:i/>
        </w:rPr>
        <w:t>Deloitte</w:t>
      </w:r>
      <w:proofErr w:type="spellEnd"/>
      <w:r w:rsidRPr="00987517">
        <w:rPr>
          <w:rFonts w:cs="Calibri"/>
          <w:i/>
        </w:rPr>
        <w:t xml:space="preserve"> 2013.gada R&amp;D nodokļu atvieglojumu apskats, Eiropas Komisijas apkopotā statistika par inovāciju līmeni ES valstīs 2013.gadā, CIA – </w:t>
      </w:r>
      <w:proofErr w:type="spellStart"/>
      <w:r w:rsidRPr="00987517">
        <w:rPr>
          <w:rFonts w:cs="Calibri"/>
          <w:i/>
        </w:rPr>
        <w:t>The</w:t>
      </w:r>
      <w:proofErr w:type="spellEnd"/>
      <w:r w:rsidRPr="00987517">
        <w:rPr>
          <w:rFonts w:cs="Calibri"/>
          <w:i/>
        </w:rPr>
        <w:t xml:space="preserve"> </w:t>
      </w:r>
      <w:proofErr w:type="spellStart"/>
      <w:r w:rsidRPr="00987517">
        <w:rPr>
          <w:rFonts w:cs="Calibri"/>
          <w:i/>
        </w:rPr>
        <w:t>World</w:t>
      </w:r>
      <w:proofErr w:type="spellEnd"/>
      <w:r w:rsidRPr="00987517">
        <w:rPr>
          <w:rFonts w:cs="Calibri"/>
          <w:i/>
        </w:rPr>
        <w:t xml:space="preserve"> </w:t>
      </w:r>
      <w:proofErr w:type="spellStart"/>
      <w:r w:rsidRPr="00987517">
        <w:rPr>
          <w:rFonts w:cs="Calibri"/>
          <w:i/>
        </w:rPr>
        <w:t>Factbook</w:t>
      </w:r>
      <w:proofErr w:type="spellEnd"/>
      <w:r w:rsidRPr="00987517">
        <w:rPr>
          <w:rFonts w:cs="Calibri"/>
          <w:i/>
        </w:rPr>
        <w:t xml:space="preserve"> (</w:t>
      </w:r>
      <w:hyperlink r:id="rId36" w:history="1">
        <w:r w:rsidRPr="00987517">
          <w:rPr>
            <w:rStyle w:val="Hyperlink"/>
            <w:rFonts w:cs="Calibri"/>
            <w:i/>
          </w:rPr>
          <w:t>www.cia.gov</w:t>
        </w:r>
      </w:hyperlink>
      <w:r w:rsidRPr="00987517">
        <w:rPr>
          <w:rFonts w:cs="Calibri"/>
          <w:i/>
        </w:rPr>
        <w:t>).</w:t>
      </w:r>
    </w:p>
    <w:p w:rsidR="00E76417" w:rsidRPr="00DB426E" w:rsidRDefault="00E76417" w:rsidP="00E76417">
      <w:pPr>
        <w:pStyle w:val="NoSpacing"/>
      </w:pPr>
    </w:p>
    <w:p w:rsidR="00E76417" w:rsidRPr="00DB426E" w:rsidRDefault="00E76417" w:rsidP="00E76417">
      <w:r w:rsidRPr="00DB426E">
        <w:t>Veiktā R&amp;D nodokļu atvieglojumu analīze parāda, ka no apskatītajām vienpadsmit ES valstīm trīs valstu normatīvie akti neparedz nekādus nodokļu atvieglojumus R&amp;D jomā (Zviedrija, Vācija, Igaunija)</w:t>
      </w:r>
      <w:r>
        <w:t>.</w:t>
      </w:r>
      <w:r w:rsidRPr="00DB426E">
        <w:t xml:space="preserve"> </w:t>
      </w:r>
      <w:r>
        <w:t>T</w:t>
      </w:r>
      <w:r w:rsidRPr="00DB426E">
        <w:t xml:space="preserve">omēr jāuzsver, ka visās vienpadsmit analizētajās valstīs </w:t>
      </w:r>
      <w:r w:rsidRPr="00DB426E">
        <w:rPr>
          <w:rFonts w:cs="Calibri"/>
        </w:rPr>
        <w:t xml:space="preserve">R&amp;D izmaksas, tāpat kā citas saimnieciskās darbības izmaksas, ir atskaitāmas no uzņēmumu apliekamā ienākuma. </w:t>
      </w:r>
      <w:r w:rsidRPr="00DB426E">
        <w:t xml:space="preserve"> Pārējās valstis paredz dažādus nodokļu atvieglojumus ar mērķi stimulēt privātās investīcijas R&amp;D, kurus var iedalīt sešās lielās grupās:</w:t>
      </w:r>
    </w:p>
    <w:p w:rsidR="00E76417" w:rsidRPr="00DB426E" w:rsidRDefault="00E76417" w:rsidP="00E76417">
      <w:pPr>
        <w:numPr>
          <w:ilvl w:val="0"/>
          <w:numId w:val="50"/>
        </w:numPr>
        <w:ind w:left="714" w:hanging="357"/>
        <w:contextualSpacing/>
      </w:pPr>
      <w:r w:rsidRPr="00DB426E">
        <w:t>Apliekamā ienākuma samazinājums par procentuāli palielinātām R&amp;D izmaksām (Lielbritānija, Nīderlande, Grieķija, Lietuva, Latvija);</w:t>
      </w:r>
    </w:p>
    <w:p w:rsidR="00E76417" w:rsidRPr="00DB426E" w:rsidRDefault="00E76417" w:rsidP="00E76417">
      <w:pPr>
        <w:numPr>
          <w:ilvl w:val="0"/>
          <w:numId w:val="50"/>
        </w:numPr>
        <w:ind w:left="714" w:hanging="357"/>
        <w:contextualSpacing/>
      </w:pPr>
      <w:r w:rsidRPr="00DB426E">
        <w:t>Nodokļu kredīts jeb maksājamā UIN samazinājums par R&amp;D izmaksām (Francija, Itālija, Spānija);</w:t>
      </w:r>
    </w:p>
    <w:p w:rsidR="00E76417" w:rsidRPr="00DB426E" w:rsidRDefault="00E76417" w:rsidP="00E76417">
      <w:pPr>
        <w:numPr>
          <w:ilvl w:val="0"/>
          <w:numId w:val="50"/>
        </w:numPr>
        <w:ind w:left="714" w:hanging="357"/>
        <w:contextualSpacing/>
      </w:pPr>
      <w:r w:rsidRPr="00DB426E">
        <w:t>Nodokļu atvieglojumi attiecībā uz R&amp;D aktivitātēs iesaistīto darbinieku algām (Nīderlande, Itālija, Spānija);</w:t>
      </w:r>
    </w:p>
    <w:p w:rsidR="00E76417" w:rsidRPr="00DB426E" w:rsidRDefault="00E76417" w:rsidP="00E76417">
      <w:pPr>
        <w:numPr>
          <w:ilvl w:val="0"/>
          <w:numId w:val="50"/>
        </w:numPr>
        <w:ind w:left="714" w:hanging="357"/>
        <w:contextualSpacing/>
      </w:pPr>
      <w:r w:rsidRPr="00DB426E">
        <w:t>Samazināta UIN likme par ienākumu no patentētiem izgudrojumiem (Lielbritānija, Nīderlande, Francija, Spānija, Grieķija);</w:t>
      </w:r>
    </w:p>
    <w:p w:rsidR="00E76417" w:rsidRPr="00DB426E" w:rsidRDefault="00E76417" w:rsidP="00E76417">
      <w:pPr>
        <w:numPr>
          <w:ilvl w:val="0"/>
          <w:numId w:val="50"/>
        </w:numPr>
        <w:ind w:left="714" w:hanging="357"/>
        <w:contextualSpacing/>
      </w:pPr>
      <w:r w:rsidRPr="00DB426E">
        <w:t>Paātrināts nolietojums R&amp;D aktivitātes izmantotajiem pamatlīdzekļiem (Francija, Grieķija, Lietuva);</w:t>
      </w:r>
    </w:p>
    <w:p w:rsidR="00E76417" w:rsidRPr="00DB426E" w:rsidRDefault="00E76417" w:rsidP="00E76417">
      <w:pPr>
        <w:numPr>
          <w:ilvl w:val="0"/>
          <w:numId w:val="50"/>
        </w:numPr>
        <w:ind w:left="714" w:hanging="357"/>
        <w:contextualSpacing/>
      </w:pPr>
      <w:r w:rsidRPr="00DB426E">
        <w:t>Citi specifiski nodokļu atvieglojumi (Lielbritānija, Francija, Itālija, Spānija, Lietuva).</w:t>
      </w:r>
    </w:p>
    <w:p w:rsidR="00E76417" w:rsidRPr="00DB426E" w:rsidRDefault="00E76417" w:rsidP="00E76417">
      <w:pPr>
        <w:spacing w:before="240"/>
      </w:pPr>
      <w:r w:rsidRPr="00DB426E">
        <w:t xml:space="preserve">Analīze parāda, ka visas apskatītās valstis kā būtiskāko R&amp;D nodokļu atvieglojumu ir noteikušas iespēju atskaitīt R&amp;D izmaksas vai nu samazinot apliekamo ienākumu par procentuāli palielinātām R&amp;D izmaksām vai daļu no R&amp;D izmaksām atskaitot no maksājamās UIN summas (nodokļu kredīts). Šis nodokļu atvieglojums ir uzskatāms par starta stimulu, kas veicina uzņēmēju vēlmi uzsākt R&amp;D darbības. Kā otru prioritāro nodokļu atvieglojumu analizētās valstis ir noteikušas iespēju maksāt samazinātu UIN likmi par ienākumu no patentētiem izgudrojumiem (ieviests piecās no analizētajām valstīm). Šis atvieglojums motivē uzņēmumus veikt produktīvas R&amp;D darbības, kuru rezultātā tiek reģistrēts patents un gūts ienākums no tā. Tādejādi abi minētie nodokļu atvieglojumi nosedz pilnu R&amp;D ciklu – no inovāciju radīšanas izmaksām līdz ienākuma gūšanai no inovācijas. Papildus minētajiem atvieglojumiem analizēto valstu normatīvie akti paredz arī citus nodokļu atvieglojumus, no kuriem izplatītākie ir nodokļu atvieglojumi attiecībā uz R&amp;D aktivitātēs iesaistīto darbinieku algām (ieviests trijās no analizētajām valstīm) un paātrināts nolietojums R&amp;D aktivitātes izmantotajiem pamatlīdzekļiem (trīs valstis). Piecās no analizētajām valstīm pastāv nodokļu atvieglojumi, kas ir uzskatāmi par konkrētajai valstij unikāliem. </w:t>
      </w:r>
    </w:p>
    <w:p w:rsidR="00E76417" w:rsidRPr="00DB426E" w:rsidRDefault="00E76417" w:rsidP="00E76417">
      <w:pPr>
        <w:rPr>
          <w:rFonts w:cs="Calibri"/>
        </w:rPr>
      </w:pPr>
      <w:r w:rsidRPr="00DB426E">
        <w:t xml:space="preserve">Analīze arī parāda, ka nevienā no apskatītajām valstīm nepastāv ierobežojumi attiecībā uz nozari, kurā ir pieejami R&amp;D nodokļu atvieglojumi. </w:t>
      </w:r>
      <w:r w:rsidRPr="00DB426E">
        <w:rPr>
          <w:rFonts w:cs="Calibri"/>
        </w:rPr>
        <w:t xml:space="preserve">Turklāt visās valstīs atvieglojumi pieejami arī tad, ja uzņēmuma R&amp;D aktivitātes notiek ārpus konkrētās ES valsts, taču ES vai EEZ teritorijā vai valstī, ar kuru analizētā ES valsts ir noslēgusi konvenciju par nodokļu dubultās uzlikšanas un nodokļu nemaksāšanas novēršanu. </w:t>
      </w:r>
      <w:r w:rsidRPr="00DB426E">
        <w:t>Turklāt a</w:t>
      </w:r>
      <w:r w:rsidRPr="00DB426E">
        <w:rPr>
          <w:rFonts w:cs="Calibri"/>
        </w:rPr>
        <w:t xml:space="preserve">tvieglojumu piemērošana notiek pēc </w:t>
      </w:r>
      <w:proofErr w:type="spellStart"/>
      <w:r w:rsidRPr="00DB426E">
        <w:rPr>
          <w:rFonts w:cs="Calibri"/>
        </w:rPr>
        <w:t>pašdeklarēšanās</w:t>
      </w:r>
      <w:proofErr w:type="spellEnd"/>
      <w:r w:rsidRPr="00DB426E">
        <w:rPr>
          <w:rFonts w:cs="Calibri"/>
        </w:rPr>
        <w:t xml:space="preserve"> principa un uzņēmumiem nav nepieciešams iepriekš saskaņot R&amp;D izmaksas un atvieglojumus ar valsti (izņēmums – Nīderlande). Minētās prasības dara nodokļu atvieglojumus uzņēmumiem pieejamākus, uzliek mazāku administratīvo slogu. Tāpat arī uzņēmumi ir mazāk ierobežoti attiecībā uz valsti, kur var tikt veiktas R&amp;D aktivitātes. Minētie faktori tādejādi veicina gan uzņēmumu vēlmi ieguldīt resursus R&amp;D, gan arī piemērot atbilstošos nodokļu atvieglojumus.</w:t>
      </w:r>
    </w:p>
    <w:p w:rsidR="00E76417" w:rsidRPr="00DB426E" w:rsidRDefault="00E76417" w:rsidP="00E76417">
      <w:r w:rsidRPr="00DB426E">
        <w:t xml:space="preserve">No pētījuma rezultātiem ir secināms, ka vairums no analizētājām ES valstīm piedāvā plašu R&amp;D nodokļu atvieglojumu klāstu, kuru mērķis ir veicināt uzņēmumu investīcijas R&amp;D un tādejādi celt valsts </w:t>
      </w:r>
      <w:r w:rsidRPr="00097DBA">
        <w:t>kopējo inovāciju līmeni. Tomēr veiktā analīze arī parāda, ka R&amp;D nodokļu atvieglojumu daudzums un pieejamība ne vienmēr nozīmē arī augstu valsts inovāciju līmeni. Kā redzams pielikumā pievienotajā kopsavilkumā par R&amp;D nodokļu atvieglojumiem analizētajās ES dalībvalstīs, šo dalībvalstu UIN likmēm, sasniegto inovācijas līmeni un svarīgākajiem ekonomiskiem rādītājiem</w:t>
      </w:r>
      <w:r w:rsidRPr="00DB426E">
        <w:t>, abu analizēto ES inovāciju līderu, Zviedrijas un Vācijas, normatīvie akti neparedz nevienu nodokļu atvieglojumu R&amp;D jomā, tomēr valstis ir ieņēmušas līderpozīcijas inovāciju jomā ES. Minētajās valstīs ir arī viens no augstākajiem IKP uz 1 iedzīvotāju, kā arī viens no zemākajiem bezdarba līmeņiem apskatīto ES valstu vidū. Savukārt, citas divas analizētās valstis, Itālija un Spānija, kuru normatīvie akti paredz plašus R&amp;D nodokļu atvieglojumus, ir sasniegušas tikai mērenu inovāciju līmeni, kā arī tajās ir augsts bezdarba līmenis (taču - salīdzinoši augsts IPK uz 1 iedzīvotāju). Analīzes rezultātā secināms, ka nodokļu atvieglojumi R&amp;D jomā kaut arī stimulē privātās investīcijas R&amp;D, tomēr ne vienmēr sniedz gaidīto rezultātu - augstu valsts inovāciju līmeni. Tādejādi varam secināt, ka citiem stimulēšanas instrumenti, iespējams, ir lielāka loma uzņēmēju intereses veicināšanā par R&amp;D.</w:t>
      </w:r>
    </w:p>
    <w:p w:rsidR="00E76417" w:rsidRPr="00DB426E" w:rsidRDefault="00E76417" w:rsidP="00E76417">
      <w:pPr>
        <w:rPr>
          <w:highlight w:val="yellow"/>
        </w:rPr>
      </w:pPr>
      <w:r w:rsidRPr="00DB426E">
        <w:t>Mūsu secinājumus apstiprina arī OECD pētījums, kurā norādīts, ka, kaut arī R&amp;D nodokļu atvieglojumi var veicināt kopējo R&amp;D ieguldījumu pieaugumu, stimulējot uzņēmumus, kas jau veic ieguldījumus R&amp;D, palielināt ieguldījumu apjomus, un/vai ieinteresējot uzņēmumus, kas neiegulda līdzekļus R&amp;D, uzsākt R&amp;D aktivitātes, tomēr ar nodokļu atvieglojumiem vien var nepietikt, lai sasniegtu R&amp;D ieguldījumu pieaugumu. Tomēr, kā norādīts OECD pētījumā, pastāvošie nelielie empīriskie pierādījumi šajā jomā liecina, ka R&amp;D nodokļu atvieglojumu eksistence ir saistīta ar lielāku iespējamību, ka uzņēmumi uzsāks R&amp;D aktivitātes.</w:t>
      </w:r>
    </w:p>
    <w:p w:rsidR="00D94BF3" w:rsidRDefault="00D94BF3" w:rsidP="003D1462">
      <w:pPr>
        <w:rPr>
          <w:rFonts w:cs="Calibri"/>
        </w:rPr>
      </w:pPr>
    </w:p>
    <w:p w:rsidR="006D3AB5" w:rsidRPr="00DB426E" w:rsidRDefault="006D3AB5" w:rsidP="00475128">
      <w:pPr>
        <w:pStyle w:val="Heading1"/>
        <w:pageBreakBefore/>
        <w:widowControl/>
        <w:numPr>
          <w:ilvl w:val="0"/>
          <w:numId w:val="4"/>
        </w:numPr>
        <w:tabs>
          <w:tab w:val="clear" w:pos="284"/>
        </w:tabs>
        <w:suppressAutoHyphens w:val="0"/>
        <w:snapToGrid/>
        <w:spacing w:before="240" w:after="60"/>
        <w:ind w:left="431" w:hanging="431"/>
        <w:jc w:val="both"/>
      </w:pPr>
      <w:bookmarkStart w:id="61" w:name="_Toc356472840"/>
      <w:bookmarkStart w:id="62" w:name="_Toc358978692"/>
      <w:r w:rsidRPr="00DB426E">
        <w:t>Esošo uzņēmumu atbalsta instrumentu ietekmes uz privātā sektora investīciju piesaisti R&amp;D novērtējums</w:t>
      </w:r>
      <w:bookmarkEnd w:id="61"/>
      <w:bookmarkEnd w:id="62"/>
    </w:p>
    <w:p w:rsidR="00F13BD2" w:rsidRPr="00DB426E" w:rsidRDefault="00F13BD2" w:rsidP="00F13BD2">
      <w:pPr>
        <w:pStyle w:val="Heading2"/>
        <w:numPr>
          <w:ilvl w:val="1"/>
          <w:numId w:val="4"/>
        </w:numPr>
        <w:suppressAutoHyphens w:val="0"/>
        <w:spacing w:before="240" w:after="60"/>
        <w:jc w:val="both"/>
      </w:pPr>
      <w:bookmarkStart w:id="63" w:name="_Toc356472841"/>
      <w:bookmarkStart w:id="64" w:name="_Toc358978693"/>
      <w:bookmarkStart w:id="65" w:name="_Toc355007917"/>
      <w:bookmarkStart w:id="66" w:name="_Toc355008080"/>
      <w:bookmarkStart w:id="67" w:name="_Toc356472859"/>
      <w:r w:rsidRPr="00DB426E">
        <w:t>Esošie valsts atbalsta instrumenti, kuri sekmē ieguldījumus R&amp;D</w:t>
      </w:r>
      <w:bookmarkEnd w:id="63"/>
      <w:bookmarkEnd w:id="64"/>
    </w:p>
    <w:p w:rsidR="00F13BD2" w:rsidRPr="00DB426E" w:rsidRDefault="00F13BD2" w:rsidP="00F13BD2">
      <w:r w:rsidRPr="00DB426E">
        <w:t>Lai identificētu esošos valsts atbalsta instrumentus, kuri sekmē R&amp;D attīstību, tika identificēti Latvijā 2007. – 2013. g. plānošanas periodā pieejamie Eiropas Savienības struktūrfondi, finanšu instrumenti un citi valsts atbalsta instrumenti. Lai izvērtētu, vai finanšu instrumenti un struktūrfondi sekmē privātos ieguldījumus R&amp;D, tie tika izvērtēti pēc trīs kritērijiem:</w:t>
      </w:r>
    </w:p>
    <w:p w:rsidR="00F13BD2" w:rsidRPr="00DB426E" w:rsidRDefault="00F13BD2" w:rsidP="00F13BD2">
      <w:r w:rsidRPr="00DB426E">
        <w:rPr>
          <w:b/>
        </w:rPr>
        <w:t>1. finanšu atbalsta instrumenta vai ES struktūrfonda aktivitātes mērķis:</w:t>
      </w:r>
      <w:r w:rsidRPr="00DB426E">
        <w:t xml:space="preserve"> vai mērķis tieši vai netieši sekmē privāto investīciju veikšanu R&amp;D?</w:t>
      </w:r>
    </w:p>
    <w:p w:rsidR="00F13BD2" w:rsidRPr="00DB426E" w:rsidRDefault="00F13BD2" w:rsidP="00F13BD2">
      <w:r w:rsidRPr="00DB426E">
        <w:rPr>
          <w:b/>
        </w:rPr>
        <w:t xml:space="preserve">2. finanšu atbalsta instrumenta vai ES struktūrfonda aktivitātes sasniedzamie rādītāji: </w:t>
      </w:r>
      <w:r w:rsidRPr="00DB426E">
        <w:t>vai sasniedzamie rādītāji raksturo privāto investīciju veikšanu R&amp;D?</w:t>
      </w:r>
    </w:p>
    <w:p w:rsidR="00F13BD2" w:rsidRPr="00DB426E" w:rsidRDefault="00F13BD2" w:rsidP="00F13BD2">
      <w:r w:rsidRPr="00DB426E">
        <w:rPr>
          <w:b/>
        </w:rPr>
        <w:t>3. finanšu atbalsta instrumenta vai ES struktūrfonda aktivitātes mērķauditorija:</w:t>
      </w:r>
      <w:r w:rsidRPr="00DB426E">
        <w:t xml:space="preserve"> vai konkursos var pieteikties komersanti?</w:t>
      </w:r>
    </w:p>
    <w:p w:rsidR="00F13BD2" w:rsidRPr="00DB426E" w:rsidRDefault="00F13BD2" w:rsidP="00F13BD2">
      <w:r w:rsidRPr="00DB426E">
        <w:t xml:space="preserve">Pētījumā tika iekļauti tikai tādi komersantiem paredzētie valsts finanšu atbalsta instrumenti un ES struktūrfondu aktivitātes, kuru mērķi tieši vai netieši sekmē privāto investīciju veikšanu R&amp;D, un kuru sasniedzamie rādītāji raksturo šo ieguldījumu veikšanu. Pētījumā netika aplūkoti privātie uzņēmējdarbības atbalsta instrumenti, ieguldījumu fondi, riska kapitāls, biznesa inkubatori u.c. privātās iniciatīvas. Tādējādi kā kritērijiem atbilstošais tika identificētas šādas </w:t>
      </w:r>
      <w:r w:rsidRPr="00DB426E">
        <w:rPr>
          <w:b/>
        </w:rPr>
        <w:t>ES struktūrfondu aktivitātes:</w:t>
      </w:r>
    </w:p>
    <w:p w:rsidR="00F13BD2" w:rsidRPr="00DB426E" w:rsidRDefault="00F13BD2" w:rsidP="00F13BD2">
      <w:pPr>
        <w:pStyle w:val="ListParagraph"/>
        <w:numPr>
          <w:ilvl w:val="0"/>
          <w:numId w:val="26"/>
        </w:numPr>
        <w:suppressAutoHyphens w:val="0"/>
        <w:spacing w:after="120"/>
        <w:ind w:left="1134" w:hanging="349"/>
        <w:rPr>
          <w:bCs/>
          <w:lang w:val="lv-LV"/>
        </w:rPr>
      </w:pPr>
      <w:bookmarkStart w:id="68" w:name="OLE_LINK1"/>
      <w:r w:rsidRPr="00DB426E">
        <w:rPr>
          <w:bCs/>
          <w:lang w:val="lv-LV"/>
        </w:rPr>
        <w:t>1.3.1.1.6. Atbalsts darbavietu radīšanai</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1.3.1.9. Augstas kvalifikācijas darbinieku piesaiste</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2.1.1.1. Atbalsts zinātnei un pētniecībai</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2.1.1.2. Atbalsts starptautiskās sadarbības projektiem zinātnē un tehnoloģijās (EUREKA, 7.IP un citi)</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2.1.1.3.1. Zinātnes infrastruktūras attīstība</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2.1.2.1.1. Kompetences centri</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2.1.2.1.2. Tehnoloģiju pārneses kontaktpunkti</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2.1.2.2.1. Jaunu produktu un tehnoloģiju izstrāde</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2.1.2.2.2. Jaunu produktu un tehnoloģiju izstrāde – atbalsts jaunu produktu un tehnoloģiju ieviešanai ražošanā</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2.1.2.2.3. Jaunu produktu un tehnoloģiju izstrāde - atbalsts rūpnieciskā īpašuma tiesību nostiprināšanai</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2.1.2.2.4. MVK jaunu produktu un tehnoloģiju attīstības programma</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2.1.2.4. Augstas pievienotās vērtības investīcijas</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2.3.2.1. Biznesa inkubatori</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 xml:space="preserve">2.3.2.2. Atbalsts ieguldījumiem </w:t>
      </w:r>
      <w:proofErr w:type="spellStart"/>
      <w:r w:rsidRPr="00DB426E">
        <w:rPr>
          <w:bCs/>
          <w:lang w:val="lv-LV"/>
        </w:rPr>
        <w:t>mikro</w:t>
      </w:r>
      <w:proofErr w:type="spellEnd"/>
      <w:r w:rsidRPr="00DB426E">
        <w:rPr>
          <w:bCs/>
          <w:lang w:val="lv-LV"/>
        </w:rPr>
        <w:t>, maziem un vidējiem komersantiem īpaši atbalstāmajās teritorijās (ĪĀT)</w:t>
      </w:r>
    </w:p>
    <w:p w:rsidR="00F13BD2" w:rsidRPr="00DB426E" w:rsidRDefault="00F13BD2" w:rsidP="00F13BD2">
      <w:pPr>
        <w:pStyle w:val="ListParagraph"/>
        <w:numPr>
          <w:ilvl w:val="0"/>
          <w:numId w:val="26"/>
        </w:numPr>
        <w:suppressAutoHyphens w:val="0"/>
        <w:spacing w:after="120"/>
        <w:ind w:left="1134" w:hanging="349"/>
        <w:rPr>
          <w:bCs/>
          <w:lang w:val="lv-LV"/>
        </w:rPr>
      </w:pPr>
      <w:r w:rsidRPr="00DB426E">
        <w:rPr>
          <w:bCs/>
          <w:lang w:val="lv-LV"/>
        </w:rPr>
        <w:t>2.3.2.3. Klasteru programma</w:t>
      </w:r>
    </w:p>
    <w:bookmarkEnd w:id="68"/>
    <w:p w:rsidR="00F13BD2" w:rsidRPr="00DB426E" w:rsidRDefault="00F13BD2" w:rsidP="00F13BD2">
      <w:pPr>
        <w:spacing w:after="120"/>
      </w:pPr>
      <w:r w:rsidRPr="00DB426E">
        <w:t xml:space="preserve">Tika identificēti un analizēti šādi </w:t>
      </w:r>
      <w:r w:rsidRPr="00DB426E">
        <w:rPr>
          <w:b/>
        </w:rPr>
        <w:t>finanšu atbalsta instrumenti</w:t>
      </w:r>
      <w:r w:rsidRPr="00DB426E">
        <w:t>, kas sekmē privāto investīciju veikšanu R&amp;D:</w:t>
      </w:r>
    </w:p>
    <w:p w:rsidR="00F13BD2" w:rsidRPr="00DB426E" w:rsidRDefault="00F13BD2" w:rsidP="00F13BD2">
      <w:pPr>
        <w:pStyle w:val="ListParagraph"/>
        <w:numPr>
          <w:ilvl w:val="0"/>
          <w:numId w:val="27"/>
        </w:numPr>
        <w:suppressAutoHyphens w:val="0"/>
        <w:spacing w:after="120"/>
        <w:ind w:left="1134"/>
        <w:rPr>
          <w:bCs/>
          <w:lang w:val="lv-LV"/>
        </w:rPr>
      </w:pPr>
      <w:r w:rsidRPr="00DB426E">
        <w:rPr>
          <w:bCs/>
          <w:lang w:val="lv-LV"/>
        </w:rPr>
        <w:t>2.2.1.1. Ieguldījumu fonds investīcijām garantijās, paaugstināta riska aizdevumos, riska kapitāla fondos un cita veida finanšu instrumentos (riska kapitāla fondu riska investīcijas)</w:t>
      </w:r>
    </w:p>
    <w:p w:rsidR="00F13BD2" w:rsidRPr="00DB426E" w:rsidRDefault="00F13BD2" w:rsidP="00F13BD2">
      <w:pPr>
        <w:pStyle w:val="ListParagraph"/>
        <w:numPr>
          <w:ilvl w:val="0"/>
          <w:numId w:val="27"/>
        </w:numPr>
        <w:suppressAutoHyphens w:val="0"/>
        <w:spacing w:after="120"/>
        <w:ind w:left="1134"/>
        <w:rPr>
          <w:bCs/>
          <w:lang w:val="lv-LV"/>
        </w:rPr>
      </w:pPr>
      <w:r w:rsidRPr="00DB426E">
        <w:rPr>
          <w:bCs/>
          <w:lang w:val="lv-LV"/>
        </w:rPr>
        <w:t>2.2.1.3. Garantijas komersantu konkurētspējas uzlabošanai</w:t>
      </w:r>
    </w:p>
    <w:p w:rsidR="00F13BD2" w:rsidRPr="00DB426E" w:rsidRDefault="00F13BD2" w:rsidP="00F13BD2">
      <w:pPr>
        <w:pStyle w:val="ListParagraph"/>
        <w:numPr>
          <w:ilvl w:val="0"/>
          <w:numId w:val="27"/>
        </w:numPr>
        <w:suppressAutoHyphens w:val="0"/>
        <w:spacing w:after="120"/>
        <w:ind w:left="1134"/>
        <w:rPr>
          <w:bCs/>
          <w:lang w:val="lv-LV"/>
        </w:rPr>
      </w:pPr>
      <w:r w:rsidRPr="00DB426E">
        <w:rPr>
          <w:bCs/>
          <w:lang w:val="lv-LV"/>
        </w:rPr>
        <w:t>2.2.1.4.1. Atbalsts aizdevumu veidā komersantu konkurētspējas uzlabošanai</w:t>
      </w:r>
    </w:p>
    <w:p w:rsidR="00F13BD2" w:rsidRPr="00DB426E" w:rsidRDefault="00F13BD2" w:rsidP="00F13BD2">
      <w:pPr>
        <w:pStyle w:val="ListParagraph"/>
        <w:numPr>
          <w:ilvl w:val="0"/>
          <w:numId w:val="27"/>
        </w:numPr>
        <w:suppressAutoHyphens w:val="0"/>
        <w:spacing w:after="120"/>
        <w:ind w:left="1134"/>
        <w:rPr>
          <w:bCs/>
          <w:lang w:val="lv-LV"/>
        </w:rPr>
      </w:pPr>
      <w:r w:rsidRPr="00DB426E">
        <w:rPr>
          <w:bCs/>
          <w:lang w:val="lv-LV"/>
        </w:rPr>
        <w:t xml:space="preserve">2.2.1.4.2. </w:t>
      </w:r>
      <w:proofErr w:type="spellStart"/>
      <w:r w:rsidRPr="00DB426E">
        <w:rPr>
          <w:bCs/>
          <w:lang w:val="lv-LV"/>
        </w:rPr>
        <w:t>Mezanīna</w:t>
      </w:r>
      <w:proofErr w:type="spellEnd"/>
      <w:r w:rsidRPr="00DB426E">
        <w:rPr>
          <w:bCs/>
          <w:lang w:val="lv-LV"/>
        </w:rPr>
        <w:t xml:space="preserve"> aizdevumi investīcijām komersantu konkurētspējas uzlabošanai</w:t>
      </w:r>
    </w:p>
    <w:p w:rsidR="00F13BD2" w:rsidRPr="00DB426E" w:rsidRDefault="00F13BD2" w:rsidP="00F13BD2">
      <w:pPr>
        <w:pStyle w:val="ListParagraph"/>
        <w:numPr>
          <w:ilvl w:val="0"/>
          <w:numId w:val="27"/>
        </w:numPr>
        <w:suppressAutoHyphens w:val="0"/>
        <w:spacing w:after="120"/>
        <w:ind w:left="1134"/>
        <w:rPr>
          <w:bCs/>
          <w:lang w:val="lv-LV"/>
        </w:rPr>
      </w:pPr>
      <w:r w:rsidRPr="00DB426E">
        <w:rPr>
          <w:bCs/>
          <w:lang w:val="lv-LV"/>
        </w:rPr>
        <w:t>Valsts subsīdijas</w:t>
      </w:r>
    </w:p>
    <w:p w:rsidR="00F13BD2" w:rsidRPr="00DB426E" w:rsidRDefault="00F13BD2" w:rsidP="00F13BD2">
      <w:pPr>
        <w:pStyle w:val="ListParagraph"/>
        <w:numPr>
          <w:ilvl w:val="0"/>
          <w:numId w:val="27"/>
        </w:numPr>
        <w:suppressAutoHyphens w:val="0"/>
        <w:spacing w:after="120"/>
        <w:ind w:left="1134"/>
        <w:rPr>
          <w:bCs/>
          <w:lang w:val="lv-LV"/>
        </w:rPr>
      </w:pPr>
      <w:r w:rsidRPr="00DB426E">
        <w:rPr>
          <w:bCs/>
          <w:lang w:val="lv-LV"/>
        </w:rPr>
        <w:t>Valsts aizdevumi</w:t>
      </w:r>
    </w:p>
    <w:p w:rsidR="00F13BD2" w:rsidRPr="00DB426E" w:rsidRDefault="00F13BD2" w:rsidP="00F13BD2">
      <w:pPr>
        <w:pStyle w:val="ListParagraph"/>
        <w:numPr>
          <w:ilvl w:val="0"/>
          <w:numId w:val="27"/>
        </w:numPr>
        <w:suppressAutoHyphens w:val="0"/>
        <w:spacing w:after="120"/>
        <w:ind w:left="1134"/>
        <w:rPr>
          <w:bCs/>
          <w:lang w:val="lv-LV"/>
        </w:rPr>
      </w:pPr>
      <w:r w:rsidRPr="00DB426E">
        <w:rPr>
          <w:bCs/>
          <w:lang w:val="lv-LV"/>
        </w:rPr>
        <w:t>Nodokļu atvieglojumi</w:t>
      </w:r>
    </w:p>
    <w:p w:rsidR="00F13BD2" w:rsidRPr="00DB426E" w:rsidRDefault="00F13BD2" w:rsidP="00F13BD2">
      <w:r w:rsidRPr="00DB426E">
        <w:t>Pētījumā novērtēta šo ES struktūrfondu aktivitāšu un finanšu atbalsta instrumentu ietekme uz privātajām investīcijām R&amp;D Latvijā,</w:t>
      </w:r>
      <w:r>
        <w:t xml:space="preserve"> un,</w:t>
      </w:r>
      <w:r w:rsidRPr="00DB426E">
        <w:t xml:space="preserve"> kur tas bija iespējams, izvērtēti un analizēti rezultatīvie un ietekmes rādītāji. </w:t>
      </w:r>
    </w:p>
    <w:p w:rsidR="00F13BD2" w:rsidRPr="00DB426E" w:rsidRDefault="00F13BD2" w:rsidP="00F13BD2">
      <w:pPr>
        <w:pStyle w:val="Heading2"/>
        <w:numPr>
          <w:ilvl w:val="1"/>
          <w:numId w:val="4"/>
        </w:numPr>
        <w:suppressAutoHyphens w:val="0"/>
        <w:spacing w:before="240" w:after="60"/>
        <w:jc w:val="both"/>
      </w:pPr>
      <w:bookmarkStart w:id="69" w:name="_Toc356472842"/>
      <w:bookmarkStart w:id="70" w:name="_Toc358978694"/>
      <w:r w:rsidRPr="00DB426E">
        <w:t>Atbalsta instrumentus regulējošo normatīvo aktu analīze un projektu rezultātu un programmu rādītāju sakarību un atbilstības vērtējums</w:t>
      </w:r>
      <w:bookmarkEnd w:id="69"/>
      <w:bookmarkEnd w:id="70"/>
    </w:p>
    <w:p w:rsidR="00F13BD2" w:rsidRPr="00DB426E" w:rsidRDefault="00F13BD2" w:rsidP="00F13BD2">
      <w:r w:rsidRPr="00DB426E">
        <w:t xml:space="preserve">Veicot atbalsta instrumentus regulējošo normatīvo aktu kvalitatīvu analīzi, tika vērtēts atbalsta instrumentu mērķis un sasniedzamie rādītāji, analizēti faktori, kas nosaka atbalsta instrumentu ietekmi uz ieguldījumiem R&amp;D, kā arī faktori, kas ietekmē atbalsta instrumenta pieejamību. </w:t>
      </w:r>
    </w:p>
    <w:p w:rsidR="00F13BD2" w:rsidRPr="00DB426E" w:rsidRDefault="00F13BD2" w:rsidP="00F13BD2">
      <w:r w:rsidRPr="00DB426E">
        <w:t>Vērtējot ES struktūrfondu aktivitāšu un finanšu atbalsta instrumentu atbilstību, tika ņemts vērā arī brīvā tirgus aspekts – kuri no analizētajiem atbalsta pasākumiem potenciāli var kropļot tirgu, t. i., kavēt pilnīgu konkurenci, nepamatoti celt noteiktu uzņēmumu konkurētspēju, kavēt jaunu uzņēmumu ieiešanu tirgū, u.tml. Saskaņā ar OECD veikto pētījumu, tirgus kropļošanas definīcija ir: stāvoklis, kad cenas un ražošanas apjomi ir augstāki, nekā tie būtu pilnīgas konkurences gadījumā.</w:t>
      </w:r>
      <w:r w:rsidRPr="00DB426E">
        <w:rPr>
          <w:rStyle w:val="FootnoteReference"/>
        </w:rPr>
        <w:footnoteReference w:id="5"/>
      </w:r>
      <w:r w:rsidRPr="00DB426E">
        <w:t xml:space="preserve"> Eiropas Komisija, izstrādājot atbalsta pasākumus, rūpējas, lai tie neveicina ekonomikas kropļošanu, un tādējādi neierobežo uzņēmumu konkurētspēju.</w:t>
      </w:r>
      <w:r w:rsidRPr="00DB426E">
        <w:rPr>
          <w:rStyle w:val="FootnoteReference"/>
        </w:rPr>
        <w:footnoteReference w:id="6"/>
      </w:r>
      <w:r w:rsidRPr="00DB426E">
        <w:t xml:space="preserve"> Taču ekonomikas teorija par konkurenci ierobežojošiem uzskata šādus pasākumus:</w:t>
      </w:r>
    </w:p>
    <w:p w:rsidR="00F13BD2" w:rsidRPr="00DB426E" w:rsidRDefault="00F13BD2" w:rsidP="00F13BD2">
      <w:pPr>
        <w:pStyle w:val="ListParagraph"/>
        <w:numPr>
          <w:ilvl w:val="0"/>
          <w:numId w:val="51"/>
        </w:numPr>
        <w:suppressAutoHyphens w:val="0"/>
        <w:spacing w:after="200"/>
        <w:rPr>
          <w:lang w:val="lv-LV"/>
        </w:rPr>
      </w:pPr>
      <w:r w:rsidRPr="00DB426E">
        <w:rPr>
          <w:lang w:val="lv-LV"/>
        </w:rPr>
        <w:t>Valsts subsīdijas;</w:t>
      </w:r>
    </w:p>
    <w:p w:rsidR="00F13BD2" w:rsidRPr="00DB426E" w:rsidRDefault="00F13BD2" w:rsidP="00F13BD2">
      <w:pPr>
        <w:pStyle w:val="ListParagraph"/>
        <w:numPr>
          <w:ilvl w:val="0"/>
          <w:numId w:val="51"/>
        </w:numPr>
        <w:suppressAutoHyphens w:val="0"/>
        <w:spacing w:after="200"/>
        <w:rPr>
          <w:lang w:val="lv-LV"/>
        </w:rPr>
      </w:pPr>
      <w:r w:rsidRPr="00DB426E">
        <w:rPr>
          <w:lang w:val="lv-LV"/>
        </w:rPr>
        <w:t>Cita veida atbalsts (ne subsīdijas) noteiktām nozarēm vai uzņēmumiem, kas ļauj pazemināt cenu;</w:t>
      </w:r>
    </w:p>
    <w:p w:rsidR="00F13BD2" w:rsidRPr="00DB426E" w:rsidRDefault="00F13BD2" w:rsidP="00F13BD2">
      <w:pPr>
        <w:pStyle w:val="ListParagraph"/>
        <w:numPr>
          <w:ilvl w:val="0"/>
          <w:numId w:val="51"/>
        </w:numPr>
        <w:suppressAutoHyphens w:val="0"/>
        <w:spacing w:after="200"/>
        <w:rPr>
          <w:lang w:val="lv-LV"/>
        </w:rPr>
      </w:pPr>
      <w:r w:rsidRPr="00DB426E">
        <w:rPr>
          <w:lang w:val="lv-LV"/>
        </w:rPr>
        <w:t>Cenu griestu vai cenu grīdas noteikšana;</w:t>
      </w:r>
    </w:p>
    <w:p w:rsidR="00F13BD2" w:rsidRPr="00DB426E" w:rsidRDefault="00F13BD2" w:rsidP="00F13BD2">
      <w:pPr>
        <w:pStyle w:val="ListParagraph"/>
        <w:numPr>
          <w:ilvl w:val="0"/>
          <w:numId w:val="51"/>
        </w:numPr>
        <w:suppressAutoHyphens w:val="0"/>
        <w:spacing w:after="200"/>
        <w:rPr>
          <w:lang w:val="lv-LV"/>
        </w:rPr>
      </w:pPr>
      <w:r w:rsidRPr="00DB426E">
        <w:rPr>
          <w:lang w:val="lv-LV"/>
        </w:rPr>
        <w:t>Ražošanas apjomu ierobežošana;</w:t>
      </w:r>
    </w:p>
    <w:p w:rsidR="00F13BD2" w:rsidRPr="00DB426E" w:rsidRDefault="00F13BD2" w:rsidP="00F13BD2">
      <w:pPr>
        <w:pStyle w:val="ListParagraph"/>
        <w:numPr>
          <w:ilvl w:val="0"/>
          <w:numId w:val="51"/>
        </w:numPr>
        <w:suppressAutoHyphens w:val="0"/>
        <w:spacing w:after="200"/>
        <w:rPr>
          <w:lang w:val="lv-LV"/>
        </w:rPr>
      </w:pPr>
      <w:r w:rsidRPr="00DB426E">
        <w:rPr>
          <w:lang w:val="lv-LV"/>
        </w:rPr>
        <w:t xml:space="preserve">Atbalsts monopola, </w:t>
      </w:r>
      <w:proofErr w:type="spellStart"/>
      <w:r w:rsidRPr="00DB426E">
        <w:rPr>
          <w:lang w:val="lv-LV"/>
        </w:rPr>
        <w:t>monopsona</w:t>
      </w:r>
      <w:proofErr w:type="spellEnd"/>
      <w:r w:rsidRPr="00DB426E">
        <w:rPr>
          <w:lang w:val="lv-LV"/>
        </w:rPr>
        <w:t xml:space="preserve"> un oligopola veidošanās;</w:t>
      </w:r>
    </w:p>
    <w:p w:rsidR="00F13BD2" w:rsidRPr="00DB426E" w:rsidRDefault="00F13BD2" w:rsidP="00F13BD2">
      <w:pPr>
        <w:pStyle w:val="ListParagraph"/>
        <w:numPr>
          <w:ilvl w:val="0"/>
          <w:numId w:val="51"/>
        </w:numPr>
        <w:suppressAutoHyphens w:val="0"/>
        <w:spacing w:after="200"/>
        <w:rPr>
          <w:lang w:val="lv-LV"/>
        </w:rPr>
      </w:pPr>
      <w:r w:rsidRPr="00DB426E">
        <w:rPr>
          <w:lang w:val="lv-LV"/>
        </w:rPr>
        <w:t>Nelikvīda tirgus veidošanās, u. c.</w:t>
      </w:r>
      <w:r w:rsidRPr="00DB426E">
        <w:rPr>
          <w:rStyle w:val="FootnoteReference"/>
          <w:lang w:val="lv-LV"/>
        </w:rPr>
        <w:footnoteReference w:id="7"/>
      </w:r>
    </w:p>
    <w:p w:rsidR="00F13BD2" w:rsidRPr="00DB426E" w:rsidRDefault="00F13BD2" w:rsidP="00F13BD2">
      <w:r w:rsidRPr="00DB426E">
        <w:t xml:space="preserve">Līdz ar to, teorētiski arī ES struktūrfondu un valsts finanšu atbalsta instrumentu pasākumi var būt tirgu kropļojoši. Par to liecina, piemēram, atbalsta sniegšana ekskluzīvi tikai lielajiem uzņēmumiem vai tikai uzņēmumiem, kuri dibināti pirms kāda noteikta laika vai tirgū darbojušies noteiktu laiku; to nozaru atbalsts, kurās darbojas tirgus monopoli, u. c. pasākumi. </w:t>
      </w:r>
    </w:p>
    <w:p w:rsidR="00F13BD2" w:rsidRPr="00DB426E" w:rsidRDefault="00F13BD2" w:rsidP="00F13BD2">
      <w:pPr>
        <w:contextualSpacing/>
      </w:pPr>
      <w:r>
        <w:t xml:space="preserve">Katras aktivitātes detalizēta izvērtējuma ietvaros (skatīt Pielikumu 8.4.) </w:t>
      </w:r>
      <w:r w:rsidRPr="00DB426E">
        <w:t>tika veikta normatīvo aktu analīze (gan atbalsta pasākumu īstenošanu reglamentējošo normatīvo aktu, gan vispārīgo normatīvo aktu analīze) un atbalsta instrumenti tika vērtēti pēc atbilstības šādiem kritērijiem:</w:t>
      </w:r>
    </w:p>
    <w:p w:rsidR="00F13BD2" w:rsidRPr="00DB426E" w:rsidRDefault="00F13BD2" w:rsidP="00F13BD2">
      <w:pPr>
        <w:numPr>
          <w:ilvl w:val="0"/>
          <w:numId w:val="52"/>
        </w:numPr>
        <w:ind w:left="714" w:hanging="357"/>
        <w:contextualSpacing/>
      </w:pPr>
      <w:r w:rsidRPr="00DB426E">
        <w:t>Vai atbalsta instrumenta ieviešanas rezultātā plānots sasniegt tādus rezultāta un ietekmes rādītājus, kam ir tieša vai netieša ietekme uz ieguldījumiem R&amp;D;</w:t>
      </w:r>
    </w:p>
    <w:p w:rsidR="00F13BD2" w:rsidRPr="00DB426E" w:rsidRDefault="00F13BD2" w:rsidP="00F13BD2">
      <w:pPr>
        <w:numPr>
          <w:ilvl w:val="0"/>
          <w:numId w:val="52"/>
        </w:numPr>
        <w:ind w:left="714" w:hanging="357"/>
        <w:contextualSpacing/>
      </w:pPr>
      <w:r w:rsidRPr="00DB426E">
        <w:t>Vai atbalsta saņemšanai komersantam jāveic ieguldījumi R&amp;D;</w:t>
      </w:r>
    </w:p>
    <w:p w:rsidR="00F13BD2" w:rsidRPr="00DB426E" w:rsidRDefault="00F13BD2" w:rsidP="00F13BD2">
      <w:pPr>
        <w:numPr>
          <w:ilvl w:val="0"/>
          <w:numId w:val="52"/>
        </w:numPr>
        <w:ind w:left="714" w:hanging="357"/>
        <w:contextualSpacing/>
      </w:pPr>
      <w:r w:rsidRPr="00DB426E">
        <w:t>Administratīvais slogs piesakoties atbalstam;</w:t>
      </w:r>
    </w:p>
    <w:p w:rsidR="00F13BD2" w:rsidRPr="00DB426E" w:rsidRDefault="00F13BD2" w:rsidP="00F13BD2">
      <w:pPr>
        <w:numPr>
          <w:ilvl w:val="0"/>
          <w:numId w:val="52"/>
        </w:numPr>
        <w:ind w:left="714" w:hanging="357"/>
        <w:contextualSpacing/>
      </w:pPr>
      <w:r w:rsidRPr="00DB426E">
        <w:t>Atbalsta pieejamība un ietekme uz brīvo tirgu;</w:t>
      </w:r>
    </w:p>
    <w:p w:rsidR="00F13BD2" w:rsidRDefault="00F13BD2" w:rsidP="00F13BD2">
      <w:pPr>
        <w:numPr>
          <w:ilvl w:val="0"/>
          <w:numId w:val="52"/>
        </w:numPr>
        <w:ind w:left="714" w:hanging="357"/>
        <w:contextualSpacing/>
      </w:pPr>
      <w:r w:rsidRPr="00DB426E">
        <w:t xml:space="preserve">Cik liels ir nepieciešamo privāto ieguldījumu apjoms R&amp;D attiecībā pret atbalsta </w:t>
      </w:r>
      <w:r>
        <w:t>apjomu</w:t>
      </w:r>
    </w:p>
    <w:p w:rsidR="00F13BD2" w:rsidRPr="00DB426E" w:rsidRDefault="00F13BD2" w:rsidP="00F13BD2">
      <w:pPr>
        <w:spacing w:before="240"/>
      </w:pPr>
      <w:r w:rsidRPr="00DB426E">
        <w:t>Vērtējot pēc izvirzītajiem kritērijiem tika izmantota punktu sistēma, par pilnīgu atbilstību kritērijam tika piešķirti 0 punkti, ja informācija nebija pieejama, bet bija identificējama atbilstība</w:t>
      </w:r>
      <w:r>
        <w:t>,</w:t>
      </w:r>
      <w:r w:rsidRPr="00DB426E">
        <w:t xml:space="preserve"> tika piešķirts 1 punkts, ja tika konstatēta netieša vai daļēja atbilstība tika piešķirti 2 punkti, ja atbilstība netika konstatēta, vai ietekme uz kritēriju bija negatīva tika piešķirti 3 punkti. Jo zemāks kopējais punktu skaits, jo labāks aktivitātes vērtējums. Tā kā atsevišķos gadījumos precīza informācija kritērija novērtēšanai nebija pieejama, tad šis vērtējums uzskatāms par indikatīvu. Analīzes rezultātu apkopojums sniegts tabulā zemāk.</w:t>
      </w:r>
    </w:p>
    <w:p w:rsidR="00F13BD2" w:rsidRPr="00DB426E" w:rsidRDefault="00F13BD2" w:rsidP="00F13BD2">
      <w:r w:rsidRPr="00DB426E">
        <w:t>Par lietderīgāko un efektīvāko aktivitāti atzīta 2.1.2.2.3. Jaunu produktu un tehnoloģiju izstrāde - atbalsts rūpnieciskā īpašuma tiesību nostiprināšanai. Tomēr aktivitātes kopējais finansējuma apjoms ir neliels un pēc atbalstāmo izmaksu formas tā ir uzskatāma par sekundāru aktivitāti R&amp;D procesā. Kā nākamās ar vienādu punktu skaitu seko 1.3.1.9. Augstas kvalifikācijas darbinieku piesaiste un 2.1.2.2.1. Jaunu produktu un tehnoloģiju izstrāde. Aktivitāšu mērogi ir dažādi. 1.3.1.9. ir neliels kopējais pieejamais finansējums, kas tiek piešķirts darba samaksas līdzfinansēšanai un neliels apstiprināto projektu skaits, kamēr 2.1.2.2.1. tiek piešķirts finansējums tieši pētniecības darbību veikšanai, un kopējais finansējums tuvojās 6 000 000LVL. Kā nākamās seko 2.1.2.2.4. MVK jaunu produktu un tehnoloģiju attīstības programma, 2.1.2.2.2. Jaunu produktu un tehnoloģiju izstrāde – atbalsts jaunu produktu un tehnoloģiju ieviešanai ražošanā un 2.1.2.1.2. Tehnoloģiju pārneses kontaktpunkti. Visas aktivitātes, izņemot tehnoloģiju pārneses kontaktpunktus paredz nepieciešamību aktivitātes īstenošanas procesā veikt privātos ieguldījumus R&amp;D.</w:t>
      </w:r>
    </w:p>
    <w:p w:rsidR="00F13BD2" w:rsidRPr="00DB426E" w:rsidRDefault="00F13BD2" w:rsidP="00F13BD2">
      <w:pPr>
        <w:sectPr w:rsidR="00F13BD2" w:rsidRPr="00DB426E" w:rsidSect="00774603">
          <w:pgSz w:w="11906" w:h="16838"/>
          <w:pgMar w:top="1440" w:right="1800" w:bottom="1440" w:left="1800" w:header="708" w:footer="708" w:gutter="0"/>
          <w:cols w:space="708"/>
          <w:docGrid w:linePitch="360"/>
        </w:sectPr>
      </w:pPr>
      <w:r w:rsidRPr="00DB426E">
        <w:t xml:space="preserve">Kā nelietderīgākās un neefektīvākās aktivitātes privātā sektora ieguldījumu sekmēšanā R&amp;D darbībās identificētas 2.1.1.3.1. Zinātnes infrastruktūras attīstība, 2.3.2.3. Klasteru programma, 2.3.2.2. Atbalsts ieguldījumiem </w:t>
      </w:r>
      <w:proofErr w:type="spellStart"/>
      <w:r w:rsidRPr="00DB426E">
        <w:t>mikro</w:t>
      </w:r>
      <w:proofErr w:type="spellEnd"/>
      <w:r w:rsidRPr="00DB426E">
        <w:t xml:space="preserve">, maziem un vidējiem komersantiem īpaši atbalstāmajās teritorijās (ĪĀT), 2.2.1.1. Ieguldījumu fonds investīcijām garantijās, paaugstināta riska aizdevumos, riska kapitāla fondos un cita veida finanšu instrumentos (riska kapitāla fondu riska investīcijas) un 1.3.1.1.6. Atbalsts darba vietu radīšanai. Tikai pēdējā no aktivitātēm tās ieviešanai nepieciešams ieguldījums R&amp;D. </w:t>
      </w:r>
    </w:p>
    <w:tbl>
      <w:tblPr>
        <w:tblW w:w="5000" w:type="pct"/>
        <w:tblLayout w:type="fixed"/>
        <w:tblLook w:val="04A0" w:firstRow="1" w:lastRow="0" w:firstColumn="1" w:lastColumn="0" w:noHBand="0" w:noVBand="1"/>
      </w:tblPr>
      <w:tblGrid>
        <w:gridCol w:w="11309"/>
        <w:gridCol w:w="425"/>
        <w:gridCol w:w="425"/>
        <w:gridCol w:w="425"/>
        <w:gridCol w:w="428"/>
        <w:gridCol w:w="425"/>
        <w:gridCol w:w="737"/>
      </w:tblGrid>
      <w:tr w:rsidR="00F13BD2" w:rsidRPr="00DB426E" w:rsidTr="00F13BD2">
        <w:trPr>
          <w:trHeight w:val="300"/>
        </w:trPr>
        <w:tc>
          <w:tcPr>
            <w:tcW w:w="3989" w:type="pct"/>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13BD2" w:rsidRPr="00DB426E" w:rsidRDefault="00F13BD2" w:rsidP="00F13BD2">
            <w:pPr>
              <w:spacing w:afterLines="40" w:after="96" w:line="240" w:lineRule="auto"/>
              <w:jc w:val="center"/>
              <w:rPr>
                <w:rFonts w:eastAsia="Times New Roman"/>
                <w:b/>
                <w:color w:val="000000"/>
                <w:sz w:val="20"/>
                <w:szCs w:val="20"/>
                <w:lang w:eastAsia="lv-LV"/>
              </w:rPr>
            </w:pPr>
            <w:r w:rsidRPr="00DB426E">
              <w:rPr>
                <w:rFonts w:eastAsia="Times New Roman"/>
                <w:b/>
                <w:color w:val="000000"/>
                <w:sz w:val="20"/>
                <w:szCs w:val="20"/>
                <w:lang w:eastAsia="lv-LV"/>
              </w:rPr>
              <w:t>Aktivitāte/Kritērijs</w:t>
            </w:r>
          </w:p>
        </w:tc>
        <w:tc>
          <w:tcPr>
            <w:tcW w:w="150" w:type="pct"/>
            <w:tcBorders>
              <w:top w:val="single" w:sz="4" w:space="0" w:color="auto"/>
              <w:left w:val="nil"/>
              <w:bottom w:val="single" w:sz="4" w:space="0" w:color="auto"/>
              <w:right w:val="single" w:sz="4" w:space="0" w:color="auto"/>
            </w:tcBorders>
            <w:shd w:val="clear" w:color="auto" w:fill="F2F2F2"/>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cs="Calibri"/>
                <w:b/>
                <w:color w:val="000000"/>
                <w:sz w:val="20"/>
                <w:szCs w:val="20"/>
                <w:lang w:eastAsia="lv-LV"/>
              </w:rPr>
              <w:t>1.</w:t>
            </w:r>
          </w:p>
        </w:tc>
        <w:tc>
          <w:tcPr>
            <w:tcW w:w="150" w:type="pct"/>
            <w:tcBorders>
              <w:top w:val="single" w:sz="4" w:space="0" w:color="auto"/>
              <w:left w:val="nil"/>
              <w:bottom w:val="single" w:sz="4" w:space="0" w:color="auto"/>
              <w:right w:val="single" w:sz="4" w:space="0" w:color="auto"/>
            </w:tcBorders>
            <w:shd w:val="clear" w:color="auto" w:fill="F2F2F2"/>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cs="Calibri"/>
                <w:b/>
                <w:color w:val="000000"/>
                <w:sz w:val="20"/>
                <w:szCs w:val="20"/>
                <w:lang w:eastAsia="lv-LV"/>
              </w:rPr>
              <w:t>2.</w:t>
            </w:r>
          </w:p>
        </w:tc>
        <w:tc>
          <w:tcPr>
            <w:tcW w:w="150" w:type="pct"/>
            <w:tcBorders>
              <w:top w:val="single" w:sz="4" w:space="0" w:color="auto"/>
              <w:left w:val="nil"/>
              <w:bottom w:val="single" w:sz="4" w:space="0" w:color="auto"/>
              <w:right w:val="single" w:sz="4" w:space="0" w:color="auto"/>
            </w:tcBorders>
            <w:shd w:val="clear" w:color="auto" w:fill="F2F2F2"/>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cs="Calibri"/>
                <w:b/>
                <w:color w:val="000000"/>
                <w:sz w:val="20"/>
                <w:szCs w:val="20"/>
                <w:lang w:eastAsia="lv-LV"/>
              </w:rPr>
              <w:t>3.</w:t>
            </w:r>
          </w:p>
        </w:tc>
        <w:tc>
          <w:tcPr>
            <w:tcW w:w="151" w:type="pct"/>
            <w:tcBorders>
              <w:top w:val="single" w:sz="4" w:space="0" w:color="auto"/>
              <w:left w:val="nil"/>
              <w:bottom w:val="single" w:sz="4" w:space="0" w:color="auto"/>
              <w:right w:val="single" w:sz="4" w:space="0" w:color="auto"/>
            </w:tcBorders>
            <w:shd w:val="clear" w:color="auto" w:fill="F2F2F2"/>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cs="Calibri"/>
                <w:b/>
                <w:color w:val="000000"/>
                <w:sz w:val="20"/>
                <w:szCs w:val="20"/>
                <w:lang w:eastAsia="lv-LV"/>
              </w:rPr>
              <w:t>4.</w:t>
            </w:r>
          </w:p>
        </w:tc>
        <w:tc>
          <w:tcPr>
            <w:tcW w:w="150" w:type="pct"/>
            <w:tcBorders>
              <w:top w:val="single" w:sz="4" w:space="0" w:color="auto"/>
              <w:left w:val="nil"/>
              <w:bottom w:val="single" w:sz="4" w:space="0" w:color="auto"/>
              <w:right w:val="single" w:sz="4" w:space="0" w:color="auto"/>
            </w:tcBorders>
            <w:shd w:val="clear" w:color="auto" w:fill="F2F2F2"/>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5.</w:t>
            </w:r>
          </w:p>
        </w:tc>
        <w:tc>
          <w:tcPr>
            <w:tcW w:w="260" w:type="pct"/>
            <w:tcBorders>
              <w:top w:val="single" w:sz="4" w:space="0" w:color="auto"/>
              <w:left w:val="nil"/>
              <w:bottom w:val="single" w:sz="4" w:space="0" w:color="auto"/>
              <w:right w:val="single" w:sz="4" w:space="0" w:color="auto"/>
            </w:tcBorders>
            <w:shd w:val="clear" w:color="auto" w:fill="F2F2F2"/>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Kopā</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2.1.2.2.3. Jaunu produktu un tehnoloģiju izstrāde - atbalsts rūpnieciskā īpašuma tiesību nostiprināšanai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0</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1.3.1.9. Augstas kvalifikācijas darbinieku piesaiste</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2</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2.1.2.2.1. Jaunu produktu un tehnoloģiju izstrāde</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2</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2.1.2.2.4. MVK jaunu produktu un tehnoloģiju attīstības programma</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3</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2.1.2.2.2. Jaunu produktu un tehnoloģiju izstrāde – atbalsts jaunu produktu un tehnoloģiju ieviešanai ražošanā</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4</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 xml:space="preserve"> 2.1.2.1.2. Tehnoloģiju pārneses kontaktpunkti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4</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2.3.2.1. Biznesa inkubatori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5</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2.2.1.3. Garantijas komersantu konkurētspējas uzlabošanai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5</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 xml:space="preserve"> 2.2.1.4.1. Atbalsts aizdevumu veidā komersantu konkurētspējas uzlabošanai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5</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2.1.1.2. Atbalsts starptautiskās sadarbības projektiem zinātnē un tehnoloģijās (EUREKA, 7.IP un citi)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5</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 xml:space="preserve"> 2.2.1.4.2. Mezonīna aizdevumi investīcijām komersantu konkurētspējas uzlabošanai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5</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 xml:space="preserve"> 2.1.2.1.1. Kompetences centri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5</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2.1.1.1. Atbalsts zinātnei un pētniecībai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6</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MVU izaugsmes aizdevums</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6</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2.1.2.4. Augstas pievienotās vērtības investīcijas</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7</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1.3.1.1.6. Atbalsts darbavietu radīšanai</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8</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2.2.1.1. Ieguldījumu fonds investīcijām garantijās, paaugstināta riska aizdevumos, riska kapitāla fondos un cita veida finanšu instrumentos (riska kapitāla fondu riska investīcijas)</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8</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 xml:space="preserve">2.3.2.2. Atbalsts ieguldījumiem </w:t>
            </w:r>
            <w:proofErr w:type="spellStart"/>
            <w:r w:rsidRPr="00DB426E">
              <w:rPr>
                <w:rFonts w:eastAsia="Times New Roman" w:cs="Calibri"/>
                <w:bCs/>
                <w:color w:val="000000"/>
                <w:sz w:val="20"/>
                <w:szCs w:val="20"/>
                <w:lang w:eastAsia="lv-LV"/>
              </w:rPr>
              <w:t>mikro</w:t>
            </w:r>
            <w:proofErr w:type="spellEnd"/>
            <w:r w:rsidRPr="00DB426E">
              <w:rPr>
                <w:rFonts w:eastAsia="Times New Roman" w:cs="Calibri"/>
                <w:bCs/>
                <w:color w:val="000000"/>
                <w:sz w:val="20"/>
                <w:szCs w:val="20"/>
                <w:lang w:eastAsia="lv-LV"/>
              </w:rPr>
              <w:t>, maziem un vidējiem komersantiem īpaši atbalstāmajās teritorijās (ĪĀT)</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9</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2.3.2.3. Klasteru programma</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1</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9</w:t>
            </w:r>
          </w:p>
        </w:tc>
      </w:tr>
      <w:tr w:rsidR="00F13BD2" w:rsidRPr="00DB426E" w:rsidTr="00F13BD2">
        <w:trPr>
          <w:trHeight w:val="300"/>
        </w:trPr>
        <w:tc>
          <w:tcPr>
            <w:tcW w:w="3989" w:type="pct"/>
            <w:tcBorders>
              <w:top w:val="nil"/>
              <w:left w:val="single" w:sz="4" w:space="0" w:color="auto"/>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s="Calibri"/>
                <w:bCs/>
                <w:color w:val="000000"/>
                <w:sz w:val="20"/>
                <w:szCs w:val="20"/>
                <w:lang w:eastAsia="lv-LV"/>
              </w:rPr>
              <w:t>2.1.1.3.1. Zinātnes infrastruktūras attīstība</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0</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151"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2</w:t>
            </w:r>
          </w:p>
        </w:tc>
        <w:tc>
          <w:tcPr>
            <w:tcW w:w="15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color w:val="000000"/>
                <w:sz w:val="20"/>
                <w:szCs w:val="20"/>
                <w:lang w:eastAsia="lv-LV"/>
              </w:rPr>
            </w:pPr>
            <w:r w:rsidRPr="00DB426E">
              <w:rPr>
                <w:rFonts w:eastAsia="Times New Roman"/>
                <w:color w:val="000000"/>
                <w:sz w:val="20"/>
                <w:szCs w:val="20"/>
                <w:lang w:eastAsia="lv-LV"/>
              </w:rPr>
              <w:t>3</w:t>
            </w:r>
          </w:p>
        </w:tc>
        <w:tc>
          <w:tcPr>
            <w:tcW w:w="260" w:type="pct"/>
            <w:tcBorders>
              <w:top w:val="nil"/>
              <w:left w:val="nil"/>
              <w:bottom w:val="single" w:sz="4" w:space="0" w:color="auto"/>
              <w:right w:val="single" w:sz="4" w:space="0" w:color="auto"/>
            </w:tcBorders>
            <w:shd w:val="clear" w:color="auto" w:fill="auto"/>
            <w:noWrap/>
            <w:vAlign w:val="bottom"/>
            <w:hideMark/>
          </w:tcPr>
          <w:p w:rsidR="00F13BD2" w:rsidRPr="00DB426E" w:rsidRDefault="00F13BD2" w:rsidP="00F13BD2">
            <w:pPr>
              <w:spacing w:afterLines="40" w:after="96" w:line="240" w:lineRule="auto"/>
              <w:rPr>
                <w:rFonts w:eastAsia="Times New Roman"/>
                <w:b/>
                <w:color w:val="000000"/>
                <w:sz w:val="20"/>
                <w:szCs w:val="20"/>
                <w:lang w:eastAsia="lv-LV"/>
              </w:rPr>
            </w:pPr>
            <w:r w:rsidRPr="00DB426E">
              <w:rPr>
                <w:rFonts w:eastAsia="Times New Roman"/>
                <w:b/>
                <w:color w:val="000000"/>
                <w:sz w:val="20"/>
                <w:szCs w:val="20"/>
                <w:lang w:eastAsia="lv-LV"/>
              </w:rPr>
              <w:t>10</w:t>
            </w:r>
          </w:p>
        </w:tc>
      </w:tr>
    </w:tbl>
    <w:p w:rsidR="00F13BD2" w:rsidRPr="00DB426E" w:rsidRDefault="00F13BD2" w:rsidP="00F13BD2">
      <w:pPr>
        <w:rPr>
          <w:b/>
          <w:bCs/>
          <w:color w:val="1F497D"/>
        </w:rPr>
      </w:pPr>
    </w:p>
    <w:p w:rsidR="00F13BD2" w:rsidRPr="00DB426E" w:rsidRDefault="00F13BD2" w:rsidP="00F13BD2">
      <w:pPr>
        <w:rPr>
          <w:b/>
          <w:bCs/>
          <w:color w:val="1F497D"/>
        </w:rPr>
        <w:sectPr w:rsidR="00F13BD2" w:rsidRPr="00DB426E" w:rsidSect="007702F3">
          <w:pgSz w:w="16838" w:h="11906" w:orient="landscape"/>
          <w:pgMar w:top="1797" w:right="1440" w:bottom="1797" w:left="1440" w:header="709" w:footer="709" w:gutter="0"/>
          <w:cols w:space="708"/>
          <w:docGrid w:linePitch="360"/>
        </w:sectPr>
      </w:pPr>
    </w:p>
    <w:p w:rsidR="00F13BD2" w:rsidRPr="00DB426E" w:rsidRDefault="00F13BD2" w:rsidP="00F13BD2">
      <w:pPr>
        <w:pStyle w:val="Heading2"/>
        <w:numPr>
          <w:ilvl w:val="1"/>
          <w:numId w:val="4"/>
        </w:numPr>
        <w:suppressAutoHyphens w:val="0"/>
        <w:spacing w:before="240" w:after="60"/>
        <w:jc w:val="both"/>
      </w:pPr>
      <w:bookmarkStart w:id="71" w:name="_Toc358978695"/>
      <w:r w:rsidRPr="00DB426E">
        <w:t>Citu atbalstu pētniecībai un attīstībai regulējošo normatīvo aktu analīze</w:t>
      </w:r>
      <w:bookmarkEnd w:id="71"/>
    </w:p>
    <w:p w:rsidR="00F13BD2" w:rsidRPr="00DB426E" w:rsidRDefault="00F13BD2" w:rsidP="00F13BD2">
      <w:r w:rsidRPr="00DB426E">
        <w:t>Pētījumā tika analizēti arī Latvijas Republikas vispārējie normatīvie akti, kuri neregulē konkrētu ES struktūrfondu aktivitāšu vai finanšu atbalsta instrumentu darbību, tomēr kopumā ietekmē R&amp;D aktivitāšu finansēšanu Latvijā. Tika analizēti būtiskākie normatīvie akti, kuri regulē atbalsta saņemšanas nosacījumus.</w:t>
      </w:r>
    </w:p>
    <w:p w:rsidR="00F13BD2" w:rsidRPr="00DB426E" w:rsidRDefault="00F13BD2" w:rsidP="00F13BD2">
      <w:r w:rsidRPr="00DB426E">
        <w:t>Kritēriji „jumta” normatīvo aktu izvēlei analīzes veikšanai bija:</w:t>
      </w:r>
    </w:p>
    <w:p w:rsidR="00F13BD2" w:rsidRPr="00DB426E" w:rsidRDefault="00F13BD2" w:rsidP="00F13BD2">
      <w:pPr>
        <w:numPr>
          <w:ilvl w:val="0"/>
          <w:numId w:val="54"/>
        </w:numPr>
      </w:pPr>
      <w:r w:rsidRPr="00DB426E">
        <w:t>Normatīvais akts regulē ES struktūrfondu piešķiršanas un finanšu atbalsta instrumentu izmantošanas kārtību;</w:t>
      </w:r>
    </w:p>
    <w:p w:rsidR="00F13BD2" w:rsidRPr="00DB426E" w:rsidRDefault="00F13BD2" w:rsidP="00F13BD2">
      <w:pPr>
        <w:numPr>
          <w:ilvl w:val="0"/>
          <w:numId w:val="54"/>
        </w:numPr>
      </w:pPr>
      <w:r w:rsidRPr="00DB426E">
        <w:t>Normatīvajā aktā ir atrunāti nosacījumi, kas ietekmē privāto ieguldījumu veikšanu R&amp;D.</w:t>
      </w:r>
    </w:p>
    <w:p w:rsidR="00F13BD2" w:rsidRPr="00DB426E" w:rsidRDefault="00F13BD2" w:rsidP="00F13BD2">
      <w:pPr>
        <w:rPr>
          <w:rFonts w:cs="Calibri"/>
          <w:b/>
        </w:rPr>
      </w:pPr>
      <w:r w:rsidRPr="00DB426E">
        <w:rPr>
          <w:rFonts w:cs="Calibri"/>
          <w:b/>
        </w:rPr>
        <w:t>„Eiropas Savienības struktūrfondu un Kohēzijas fonda vadības likums”</w:t>
      </w:r>
      <w:r w:rsidRPr="00DB426E">
        <w:rPr>
          <w:rStyle w:val="FootnoteReference"/>
          <w:rFonts w:cs="Calibri"/>
          <w:b/>
        </w:rPr>
        <w:footnoteReference w:id="8"/>
      </w:r>
      <w:r w:rsidRPr="00DB426E">
        <w:rPr>
          <w:rFonts w:cs="Calibri"/>
          <w:b/>
        </w:rPr>
        <w:t xml:space="preserve"> </w:t>
      </w:r>
      <w:r w:rsidRPr="00DB426E">
        <w:rPr>
          <w:rFonts w:cs="Calibri"/>
          <w:sz w:val="20"/>
          <w:szCs w:val="20"/>
        </w:rPr>
        <w:t>(30.07.2011. redakcija)</w:t>
      </w:r>
    </w:p>
    <w:p w:rsidR="00F13BD2" w:rsidRPr="00DB426E" w:rsidRDefault="00F13BD2" w:rsidP="00F13BD2">
      <w:r w:rsidRPr="00DB426E">
        <w:t>Likuma mērķis ir noteikt Eiropas Savienības fondu vadību, lai veicinātu efektīvu, caurredzamu un finanšu vadības principiem atbilstošu Eiropas Savienības fondu ieviešanu Latvijā.</w:t>
      </w:r>
    </w:p>
    <w:p w:rsidR="00F13BD2" w:rsidRPr="00DB426E" w:rsidRDefault="00F13BD2" w:rsidP="00F13BD2">
      <w:r w:rsidRPr="00DB426E">
        <w:t xml:space="preserve">Likums nosaka par ES struktūrfondu ieviešanu atbildīgo iestāžu funkcijas un uzdevumus 2007. – 2013. gada plānošanas periodā. Likumā ir definētas atbalsta saņēmēja tiesības un pienākumi. </w:t>
      </w:r>
    </w:p>
    <w:p w:rsidR="00F13BD2" w:rsidRPr="00DB426E" w:rsidRDefault="00F13BD2" w:rsidP="00F13BD2">
      <w:r w:rsidRPr="00DB426E">
        <w:t xml:space="preserve">Likums tiešā veidā neietekmē ieguldījumu veikšanu R&amp;D, taču regulē to prioritāšu, programmu un aktivitāšu ieviešanu, kuras ir radītas ar mērķi sekmēt privāto investīciju veikšanu R&amp;D. </w:t>
      </w:r>
    </w:p>
    <w:p w:rsidR="00F13BD2" w:rsidRPr="00DB426E" w:rsidRDefault="00F13BD2" w:rsidP="00F13BD2">
      <w:r w:rsidRPr="00DB426E">
        <w:t xml:space="preserve">Likumā nav definēti brīvās konkurences ierobežošanas pasākumu kontroles mehānismi un tirgu kropļojošu pasākumu ierobežojumi. </w:t>
      </w:r>
    </w:p>
    <w:p w:rsidR="00F13BD2" w:rsidRPr="00DB426E" w:rsidRDefault="00F13BD2" w:rsidP="00F13BD2">
      <w:pPr>
        <w:rPr>
          <w:sz w:val="20"/>
          <w:szCs w:val="20"/>
        </w:rPr>
      </w:pPr>
      <w:r w:rsidRPr="00DB426E">
        <w:t>„Lauksaimniecības un lauku attīstības likums”</w:t>
      </w:r>
      <w:r w:rsidRPr="00DB426E">
        <w:rPr>
          <w:rStyle w:val="FootnoteReference"/>
          <w:rFonts w:cs="Calibri"/>
          <w:b/>
        </w:rPr>
        <w:footnoteReference w:id="9"/>
      </w:r>
      <w:r w:rsidRPr="00DB426E">
        <w:t xml:space="preserve"> </w:t>
      </w:r>
      <w:r w:rsidRPr="00DB426E">
        <w:rPr>
          <w:sz w:val="20"/>
          <w:szCs w:val="20"/>
        </w:rPr>
        <w:t>(01.03.2013. redakcija)</w:t>
      </w:r>
    </w:p>
    <w:p w:rsidR="00F13BD2" w:rsidRPr="00DB426E" w:rsidRDefault="00F13BD2" w:rsidP="00F13BD2">
      <w:r w:rsidRPr="00DB426E">
        <w:t>Likuma mērķis ir radīt tiesisku pamatu lauksaimniecības attīstībai un noteikt ilglaicīgu lauksaimniecības un lauku attīstības politiku saskaņā ar Eiropas Savienības kopējo lauksaimniecības politiku un kopējo zivsaimniecības politiku.</w:t>
      </w:r>
    </w:p>
    <w:p w:rsidR="00F13BD2" w:rsidRPr="00DB426E" w:rsidRDefault="00F13BD2" w:rsidP="00F13BD2">
      <w:r w:rsidRPr="00DB426E">
        <w:t xml:space="preserve">Likums nosaka lauksaimniecības un lauku attīstības politikas īstenošanas pamatprincipus un veidus, valsts un ES atbalsta saņemšanas nosacījumus, zemes izmantošanas un saglabāšanas nosacījumus, sadarbības pasākumus, risku vadību, u. c. </w:t>
      </w:r>
    </w:p>
    <w:p w:rsidR="00F13BD2" w:rsidRPr="00DB426E" w:rsidRDefault="00F13BD2" w:rsidP="00F13BD2">
      <w:r w:rsidRPr="00DB426E">
        <w:t>Likumā ir atrunātas būtiskākās lauku attīstībai nepieciešamās R&amp;D aktivitātes. 10. panta 1</w:t>
      </w:r>
      <w:r w:rsidRPr="00DB426E">
        <w:rPr>
          <w:vertAlign w:val="superscript"/>
        </w:rPr>
        <w:t>2</w:t>
      </w:r>
      <w:r w:rsidRPr="00DB426E">
        <w:t xml:space="preserve"> daļa nosaka to, ka </w:t>
      </w:r>
      <w:r w:rsidRPr="00DB426E">
        <w:rPr>
          <w:color w:val="000000"/>
          <w:sz w:val="18"/>
          <w:szCs w:val="18"/>
          <w:shd w:val="clear" w:color="auto" w:fill="FFFFFF"/>
        </w:rPr>
        <w:t xml:space="preserve">lauksaimniecībā izmantojamās zemes ilgtspējīgas izmantošanas nodrošināšanai ir veicamas </w:t>
      </w:r>
      <w:r w:rsidRPr="00DB426E">
        <w:t>šādas aktivitātes:</w:t>
      </w:r>
    </w:p>
    <w:p w:rsidR="00F13BD2" w:rsidRPr="00DB426E" w:rsidRDefault="00F13BD2" w:rsidP="00F13BD2">
      <w:pPr>
        <w:numPr>
          <w:ilvl w:val="0"/>
          <w:numId w:val="55"/>
        </w:numPr>
        <w:ind w:left="714" w:hanging="357"/>
        <w:contextualSpacing/>
      </w:pPr>
      <w:r w:rsidRPr="00DB426E">
        <w:t>augšņu agroķīmisko izpēti nolūkā iegūt informāciju par lauksaimniecībā izmantojamās zemes auglības līmeni un tā pārmaiņām, kā arī izveido un uztur augšņu agroķīmiskās izpētes datubāzi;</w:t>
      </w:r>
    </w:p>
    <w:p w:rsidR="00F13BD2" w:rsidRPr="00DB426E" w:rsidRDefault="00F13BD2" w:rsidP="00F13BD2">
      <w:pPr>
        <w:numPr>
          <w:ilvl w:val="0"/>
          <w:numId w:val="55"/>
        </w:numPr>
        <w:ind w:left="714" w:hanging="357"/>
        <w:contextualSpacing/>
      </w:pPr>
      <w:r w:rsidRPr="00DB426E">
        <w:t>augšņu agroķīmisko izpēti pēc zemes īpašnieka vai tiesiskā valdītāja pieprasījuma.</w:t>
      </w:r>
    </w:p>
    <w:p w:rsidR="00F13BD2" w:rsidRPr="00DB426E" w:rsidRDefault="00F13BD2" w:rsidP="00F13BD2">
      <w:pPr>
        <w:numPr>
          <w:ilvl w:val="0"/>
          <w:numId w:val="55"/>
        </w:numPr>
        <w:ind w:left="714" w:hanging="357"/>
        <w:contextualSpacing/>
      </w:pPr>
      <w:r w:rsidRPr="00DB426E">
        <w:t>Šīs aktivitātes ir tieši saistītas ar R&amp;D, un ir īpaši svarīgas lauksaimniecībā.</w:t>
      </w:r>
    </w:p>
    <w:p w:rsidR="00F13BD2" w:rsidRPr="00DB426E" w:rsidRDefault="00F13BD2" w:rsidP="00F13BD2">
      <w:pPr>
        <w:spacing w:before="240"/>
      </w:pPr>
      <w:r w:rsidRPr="00DB426E">
        <w:t xml:space="preserve">Likums nosaka arī brīvo konkurenci ierobežojošo pasākumu kontroli un to ieviešanu lauksaimniecības nozarēs. Lai stiprinātu lauksaimnieku konkurētspēju un izlīdzinātu tirgu, likumā ir paredzēti un detalizēti atrunāti tirgus intervences pasākumi, kvotu piemērošanas pasākumi, ārējās tirdzniecības režīma piemērošanas pasākumi un ražotāju grupu atbalstīšana. </w:t>
      </w:r>
    </w:p>
    <w:p w:rsidR="00F13BD2" w:rsidRPr="00DB426E" w:rsidRDefault="00F13BD2" w:rsidP="00F13BD2">
      <w:pPr>
        <w:rPr>
          <w:rFonts w:cs="Calibri"/>
          <w:b/>
        </w:rPr>
      </w:pPr>
      <w:r w:rsidRPr="00DB426E">
        <w:rPr>
          <w:rFonts w:cs="Calibri"/>
          <w:b/>
        </w:rPr>
        <w:t>MK noteikumi nr. 112 „Noteikumi par valsts atbalstu lauksaimniecībai un tā piešķiršanas kārtību” (05.04.2013.)</w:t>
      </w:r>
      <w:r w:rsidRPr="00DB426E">
        <w:rPr>
          <w:rStyle w:val="FootnoteReference"/>
          <w:rFonts w:cs="Calibri"/>
          <w:b/>
        </w:rPr>
        <w:footnoteReference w:id="10"/>
      </w:r>
    </w:p>
    <w:p w:rsidR="00F13BD2" w:rsidRPr="00DB426E" w:rsidRDefault="00F13BD2" w:rsidP="00F13BD2">
      <w:r w:rsidRPr="00DB426E">
        <w:t xml:space="preserve">Noteikumi nosaka valsts atbalsta lauksaimniecībai un lauku attīstībai pasākumus, atbalsta apmēru, kā arī piešķiršanas kritērijus un kārtību. Noteikumos ir atrunāti atbalsta saņemšanas nosacījumi lopkopībai, augkopībai, pētījumiem, starptautiskai un savstarpējai sadarbībai, tirgus veicināšanai, dalībai pārtikas kvalitātes shēmās, lauksaimniecības nozaru riska samazināšanai un kooperācijas attīstībai. </w:t>
      </w:r>
    </w:p>
    <w:p w:rsidR="00F13BD2" w:rsidRPr="00DB426E" w:rsidRDefault="00F13BD2" w:rsidP="00F13BD2">
      <w:r w:rsidRPr="00DB426E">
        <w:t xml:space="preserve">Noteikumi netieši ietekmē privāto investīciju veikšanu R&amp;D. </w:t>
      </w:r>
      <w:bookmarkStart w:id="72" w:name="n4.1"/>
      <w:r w:rsidRPr="00DB426E">
        <w:t>Tajos paredzēts atbalsts lauksaimniecībā izmantojamiem zinātnes projektiem</w:t>
      </w:r>
      <w:bookmarkEnd w:id="72"/>
      <w:r w:rsidRPr="00DB426E">
        <w:t>, kura mērķis ir veicināt sabiedrības izglītošanu lauksaimniecības jomā. Atbalsta piešķiršanu administrē Lauku atbalsta dienests. Atbalsta saņēmējs ir izpildītājs, kas ir reģistrējies Zinātnisko institūciju reģistrā. Tā kā atbalsts nav vērsts uz komersantu, tā ietekme uz pētījuma priekšmetu ir netieša.</w:t>
      </w:r>
    </w:p>
    <w:p w:rsidR="00F13BD2" w:rsidRPr="00DB426E" w:rsidRDefault="00F13BD2" w:rsidP="00F13BD2">
      <w:r w:rsidRPr="00DB426E">
        <w:t>Noteikumi nenosaka brīvās konkurences ierobežošanas kontroli.</w:t>
      </w:r>
    </w:p>
    <w:p w:rsidR="00F13BD2" w:rsidRPr="00DB426E" w:rsidRDefault="00F13BD2" w:rsidP="00F13BD2">
      <w:pPr>
        <w:rPr>
          <w:rFonts w:cs="Calibri"/>
          <w:sz w:val="20"/>
          <w:szCs w:val="20"/>
        </w:rPr>
      </w:pPr>
      <w:r w:rsidRPr="00DB426E">
        <w:rPr>
          <w:rFonts w:cs="Calibri"/>
          <w:b/>
        </w:rPr>
        <w:t>„Likums par budžetu un finanšu vadību”</w:t>
      </w:r>
      <w:r w:rsidRPr="00DB426E">
        <w:rPr>
          <w:rStyle w:val="FootnoteReference"/>
          <w:rFonts w:cs="Calibri"/>
          <w:b/>
        </w:rPr>
        <w:footnoteReference w:id="11"/>
      </w:r>
      <w:r w:rsidRPr="00DB426E">
        <w:rPr>
          <w:rFonts w:cs="Calibri"/>
          <w:b/>
        </w:rPr>
        <w:t xml:space="preserve"> </w:t>
      </w:r>
      <w:r w:rsidRPr="00DB426E">
        <w:rPr>
          <w:rFonts w:cs="Calibri"/>
          <w:sz w:val="20"/>
          <w:szCs w:val="20"/>
        </w:rPr>
        <w:t>(26.04.2013. redakcija)</w:t>
      </w:r>
    </w:p>
    <w:p w:rsidR="00F13BD2" w:rsidRPr="00DB426E" w:rsidRDefault="00F13BD2" w:rsidP="00F13BD2">
      <w:r w:rsidRPr="00DB426E">
        <w:t>Likums nosaka valsts budžeta un pašvaldību budžetu izstrādāšanas, apstiprināšanas un izpildes kārtību un atbildību budžeta procesā. Tai skaitā, likums nosaka ārvalstu finanšu instrumentu administrēšanas kārtību un valsts un pašvaldību budžeta piešķiršanu atbalstītajām programmām. Likums nosaka katras budžeta izmaksu pozīcijas mērķi un saņēmējus, t. sk. raksturojot atbalsta sniegšanas kārtību.</w:t>
      </w:r>
    </w:p>
    <w:p w:rsidR="00F13BD2" w:rsidRPr="00DB426E" w:rsidRDefault="00F13BD2" w:rsidP="00F13BD2">
      <w:r w:rsidRPr="00DB426E">
        <w:t xml:space="preserve">Likums netieši nosaka arī investīciju veikšanu R&amp;D, piemēram, nosakot investīciju projektu īstenošanas kārtību un valsts finansējuma piešķiršanas kārtību tiem. Likumā uzsvērts, ka investīciju projekts ir tāds projekts, kas vērsts uz uzņēmuma attīstību. </w:t>
      </w:r>
    </w:p>
    <w:p w:rsidR="00F13BD2" w:rsidRPr="00DB426E" w:rsidRDefault="00F13BD2" w:rsidP="00F13BD2">
      <w:r w:rsidRPr="00DB426E">
        <w:t>Noteikumi nenosaka brīvās konkurences ierobežošanas kontroli.</w:t>
      </w:r>
    </w:p>
    <w:p w:rsidR="00F13BD2" w:rsidRPr="00DB426E" w:rsidRDefault="00F13BD2" w:rsidP="00F13BD2">
      <w:pPr>
        <w:rPr>
          <w:rFonts w:cs="Calibri"/>
          <w:b/>
          <w:iCs/>
        </w:rPr>
      </w:pPr>
      <w:r w:rsidRPr="00DB426E">
        <w:rPr>
          <w:rFonts w:cs="Calibri"/>
          <w:b/>
        </w:rPr>
        <w:t>MK noteikumi nr. 983 „Noteikumi par atbalsta piešķiršanu tehnoloģiju pārneses un riska kapitāla jomā” (08.06.2012.)</w:t>
      </w:r>
      <w:r w:rsidRPr="00DB426E">
        <w:rPr>
          <w:rStyle w:val="FootnoteReference"/>
          <w:rFonts w:cs="Calibri"/>
          <w:b/>
        </w:rPr>
        <w:footnoteReference w:id="12"/>
      </w:r>
    </w:p>
    <w:p w:rsidR="00F13BD2" w:rsidRPr="00DB426E" w:rsidRDefault="00F13BD2" w:rsidP="00F13BD2">
      <w:r w:rsidRPr="00DB426E">
        <w:t>Noteikumi nosaka atbalsta piešķiršanas nosacījumus tehnoloģiju pārneses jomā un riska kapitāla jomā darbības programmas „Uzņēmējdarbība un inovācijas” papildinājuma 2.2.1.1. aktivitātē „Ieguldījumu fonds investīcijām garantijās, paaugstināta riska aizdevumos, riska kapitāla fondos un cita veida finanšu instrumentos”.</w:t>
      </w:r>
    </w:p>
    <w:p w:rsidR="00F13BD2" w:rsidRPr="00DB426E" w:rsidRDefault="00F13BD2" w:rsidP="00F13BD2">
      <w:r w:rsidRPr="00DB426E">
        <w:t>Noteikumi nosaka aktivitātes finansējumu un darbības termiņu, tās finanšu starpniekus, fondu investorus un fondus, neatbalstāmās nozares, atbalstāmās darbības, fondu investīcijas un investīciju saņēmējus, finanšu starpnieku vērtēšanas kritērijus un atbalsta kumulācijas nosacījumus.</w:t>
      </w:r>
    </w:p>
    <w:p w:rsidR="00F13BD2" w:rsidRPr="00DB426E" w:rsidRDefault="00F13BD2" w:rsidP="00F13BD2">
      <w:r w:rsidRPr="00DB426E">
        <w:t xml:space="preserve">Noteikumiem ir tieša ietekme uz R&amp;D aktivitātēm un privātajām investīcijām tajās. Tā kā iepriekš analizētā 2.2.1.1. aktivitāte tieši ietekmē ieguldījumus R&amp;D, arī šie „jumta” nosacījumi raksturo atbalsta saņemšanas iespējas tieši R&amp;D aktivitātēm. </w:t>
      </w:r>
    </w:p>
    <w:p w:rsidR="00F13BD2" w:rsidRPr="00DB426E" w:rsidRDefault="00F13BD2" w:rsidP="00F13BD2">
      <w:r w:rsidRPr="00DB426E">
        <w:t xml:space="preserve">Šie noteikumi nenosaka, kādā veidā tiek kontrolēta brīvās konkurences ierobežošana. Lai gan noteikumos ir raksturotas neatbalstāmās nozares, šie ierobežojumi neietekmē brīvo konkurenci – nozaru ierobežojumi ir nelieli, un pārsvarā ierobežotas tiek tādas nozares kā azartspēles, finanšu darījumi, u.tml. nozares, kurām valsts atbalsts netiek paredzēts. </w:t>
      </w:r>
    </w:p>
    <w:p w:rsidR="00F13BD2" w:rsidRPr="00DB426E" w:rsidRDefault="00F13BD2" w:rsidP="00F13BD2">
      <w:r w:rsidRPr="00DB426E">
        <w:t xml:space="preserve">Kopumā normatīvie akti precīzi nosaka ieguldījumu R&amp;D veikšanā nosacījumus un piemērojamo atbalstu šo investīciju veicējiem. </w:t>
      </w:r>
    </w:p>
    <w:p w:rsidR="00F13BD2" w:rsidRPr="00DB426E" w:rsidRDefault="00F13BD2" w:rsidP="00F13BD2">
      <w:pPr>
        <w:pStyle w:val="Heading2"/>
        <w:numPr>
          <w:ilvl w:val="1"/>
          <w:numId w:val="4"/>
        </w:numPr>
        <w:suppressAutoHyphens w:val="0"/>
        <w:spacing w:before="240" w:after="60"/>
        <w:jc w:val="both"/>
      </w:pPr>
      <w:bookmarkStart w:id="73" w:name="_Toc356472846"/>
      <w:bookmarkStart w:id="74" w:name="_Toc358978696"/>
      <w:r>
        <w:t>Atsevišķu ā</w:t>
      </w:r>
      <w:r w:rsidRPr="00DB426E">
        <w:t xml:space="preserve">rvalstu </w:t>
      </w:r>
      <w:r>
        <w:t xml:space="preserve">un ES kopējā mēroga </w:t>
      </w:r>
      <w:r w:rsidRPr="00DB426E">
        <w:t>pieredzes analīze atbalsta instrumentu izmantošanā privātā sektora ieguldījumu pētniecības un attīstības sekmēšanai</w:t>
      </w:r>
      <w:bookmarkEnd w:id="73"/>
      <w:bookmarkEnd w:id="74"/>
    </w:p>
    <w:p w:rsidR="00F13BD2" w:rsidRDefault="00F13BD2" w:rsidP="00F13BD2">
      <w:r w:rsidRPr="00DB426E">
        <w:t>Lai veiktu sekmīgu analīzi par ārvalstu atbalsta instrumentu izmantošanu privātā sektora ieguldījumu sekmēšanai R&amp;D, tika apzinātas par investīcijām un attīstību atbildīgās organizācijas katrā valstī, kuras veic līdzīgas funkcijas, kādas ir Latvijas Investīciju un attīstības aģentūrai (LIAA) Latvijā. Papildus tam, tika apzināta ārvalstu finanšu ministriju rīcībā esošā informācija par atbalsta pasākumiem R&amp;D. Atbildīgās iestādes tika identificētas, izmantojot Pasaules Investīciju Veicināšanas Aģentūru Asociācijas (</w:t>
      </w:r>
      <w:proofErr w:type="spellStart"/>
      <w:r w:rsidRPr="00DB426E">
        <w:t>World</w:t>
      </w:r>
      <w:proofErr w:type="spellEnd"/>
      <w:r w:rsidRPr="00DB426E">
        <w:t xml:space="preserve"> </w:t>
      </w:r>
      <w:proofErr w:type="spellStart"/>
      <w:r w:rsidRPr="00DB426E">
        <w:t>Association</w:t>
      </w:r>
      <w:proofErr w:type="spellEnd"/>
      <w:r w:rsidRPr="00DB426E">
        <w:t xml:space="preserve"> </w:t>
      </w:r>
      <w:proofErr w:type="spellStart"/>
      <w:r w:rsidRPr="00DB426E">
        <w:t>of</w:t>
      </w:r>
      <w:proofErr w:type="spellEnd"/>
      <w:r w:rsidRPr="00DB426E">
        <w:t xml:space="preserve"> </w:t>
      </w:r>
      <w:proofErr w:type="spellStart"/>
      <w:r w:rsidRPr="00DB426E">
        <w:t>Investment</w:t>
      </w:r>
      <w:proofErr w:type="spellEnd"/>
      <w:r w:rsidRPr="00DB426E">
        <w:t xml:space="preserve"> </w:t>
      </w:r>
      <w:proofErr w:type="spellStart"/>
      <w:r w:rsidRPr="00DB426E">
        <w:t>Promotion</w:t>
      </w:r>
      <w:proofErr w:type="spellEnd"/>
      <w:r w:rsidRPr="00DB426E">
        <w:t xml:space="preserve"> </w:t>
      </w:r>
      <w:proofErr w:type="spellStart"/>
      <w:r w:rsidRPr="00DB426E">
        <w:t>Agencies</w:t>
      </w:r>
      <w:proofErr w:type="spellEnd"/>
      <w:r w:rsidRPr="00DB426E">
        <w:t>)</w:t>
      </w:r>
      <w:r w:rsidRPr="00DB426E">
        <w:rPr>
          <w:rStyle w:val="FootnoteReference"/>
        </w:rPr>
        <w:footnoteReference w:id="13"/>
      </w:r>
      <w:r w:rsidRPr="00DB426E">
        <w:t xml:space="preserve"> resursus. Katrā valstī tika analizēti finanšu atbalsta instrumenti un ES struktūrfondi, kas sniedza atbalstu R&amp;D sekmēšanai 2007. – 2013. g. plānošanas periodā. </w:t>
      </w:r>
    </w:p>
    <w:p w:rsidR="00F13BD2" w:rsidRDefault="00F13BD2" w:rsidP="00F13BD2">
      <w:r>
        <w:t xml:space="preserve">Izvērsta katras analizētās valsts atbalsta instrumentu analīze, kas sekmē privātā sektora ieguldījumus pētniecībā un attīstībā ir sniegta Pielikumā 8.5. </w:t>
      </w:r>
    </w:p>
    <w:p w:rsidR="00F13BD2" w:rsidRPr="0063702A" w:rsidRDefault="00F13BD2" w:rsidP="00F13BD2">
      <w:r>
        <w:t>Savukārt analizējot atbalsta instrumentus R&amp;D sekmēšanai ES mērogā tika gūtas sekojošas atziņas un secinājumi:</w:t>
      </w:r>
    </w:p>
    <w:p w:rsidR="00F13BD2" w:rsidRPr="0063702A" w:rsidRDefault="00F13BD2" w:rsidP="00F13BD2">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 xml:space="preserve">Viens no nozīmīgākajiem inovāciju centriem </w:t>
      </w:r>
      <w:r w:rsidRPr="0063702A">
        <w:rPr>
          <w:rFonts w:asciiTheme="minorHAnsi" w:eastAsia="Arial" w:hAnsiTheme="minorHAnsi"/>
          <w:color w:val="000000" w:themeColor="text1"/>
          <w:lang w:val="lv-LV"/>
        </w:rPr>
        <w:t xml:space="preserve">ES </w:t>
      </w:r>
      <w:proofErr w:type="spellStart"/>
      <w:r w:rsidRPr="0063702A">
        <w:rPr>
          <w:rFonts w:asciiTheme="minorHAnsi" w:eastAsia="Arial" w:hAnsiTheme="minorHAnsi"/>
          <w:color w:val="000000" w:themeColor="text1"/>
          <w:lang w:val="lv-LV"/>
        </w:rPr>
        <w:t>ir Eiropas</w:t>
      </w:r>
      <w:proofErr w:type="spellEnd"/>
      <w:r w:rsidRPr="0063702A">
        <w:rPr>
          <w:rFonts w:asciiTheme="minorHAnsi" w:eastAsia="Arial" w:hAnsiTheme="minorHAnsi"/>
          <w:color w:val="000000" w:themeColor="text1"/>
          <w:lang w:val="lv-LV"/>
        </w:rPr>
        <w:t xml:space="preserve"> biznesa un inovāciju centru </w:t>
      </w:r>
      <w:proofErr w:type="spellStart"/>
      <w:r w:rsidRPr="0063702A">
        <w:rPr>
          <w:rFonts w:asciiTheme="minorHAnsi" w:eastAsia="Arial" w:hAnsiTheme="minorHAnsi"/>
          <w:color w:val="000000" w:themeColor="text1"/>
          <w:lang w:val="lv-LV"/>
        </w:rPr>
        <w:t>tīmeklis Briselē</w:t>
      </w:r>
      <w:proofErr w:type="spellEnd"/>
      <w:r w:rsidRPr="0063702A">
        <w:rPr>
          <w:rFonts w:asciiTheme="minorHAnsi" w:eastAsia="Arial" w:hAnsiTheme="minorHAnsi"/>
          <w:color w:val="000000" w:themeColor="text1"/>
          <w:lang w:val="lv-LV"/>
        </w:rPr>
        <w:t>, kurš apvieno vairāk nekā 200 nacionālos</w:t>
      </w:r>
      <w:r w:rsidRPr="0063702A">
        <w:rPr>
          <w:rFonts w:asciiTheme="minorHAnsi" w:eastAsia="Arial" w:hAnsiTheme="minorHAnsi"/>
          <w:lang w:val="lv-LV"/>
        </w:rPr>
        <w:t xml:space="preserve"> biznesa un inovāciju centrus Eiropā. Viens no galvenajiem tā uzdevumiem ir inovāciju pārnese no sākotnējām to rašanās vietām uz citām valstīm.</w:t>
      </w:r>
    </w:p>
    <w:p w:rsidR="00F13BD2" w:rsidRPr="0063702A" w:rsidRDefault="00F13BD2" w:rsidP="00F13BD2">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 xml:space="preserve">Eiropas Savienībā inovācija ir viena no svarīgākajām prioritātēm, kurai būtu jānodrošina Kopienas izaugsme un jaunas darbavietas. </w:t>
      </w:r>
      <w:proofErr w:type="spellStart"/>
      <w:r w:rsidRPr="0063702A">
        <w:rPr>
          <w:rFonts w:asciiTheme="minorHAnsi" w:eastAsia="Arial" w:hAnsiTheme="minorHAnsi"/>
          <w:lang w:val="lv-LV"/>
        </w:rPr>
        <w:t>Tādēļ </w:t>
      </w:r>
      <w:r w:rsidRPr="0063702A">
        <w:rPr>
          <w:rFonts w:asciiTheme="minorHAnsi" w:eastAsia="Arial" w:hAnsiTheme="minorHAnsi"/>
          <w:color w:val="000000" w:themeColor="text1"/>
          <w:lang w:val="lv-LV"/>
        </w:rPr>
        <w:t>Eiropas</w:t>
      </w:r>
      <w:proofErr w:type="spellEnd"/>
      <w:r w:rsidRPr="0063702A">
        <w:rPr>
          <w:rFonts w:asciiTheme="minorHAnsi" w:eastAsia="Arial" w:hAnsiTheme="minorHAnsi"/>
          <w:color w:val="000000" w:themeColor="text1"/>
          <w:lang w:val="lv-LV"/>
        </w:rPr>
        <w:t xml:space="preserve"> Komisija </w:t>
      </w:r>
      <w:proofErr w:type="spellStart"/>
      <w:r w:rsidRPr="0063702A">
        <w:rPr>
          <w:rFonts w:asciiTheme="minorHAnsi" w:eastAsia="Arial" w:hAnsiTheme="minorHAnsi"/>
          <w:color w:val="000000" w:themeColor="text1"/>
          <w:lang w:val="lv-LV"/>
        </w:rPr>
        <w:t>aicina dalībvalstis</w:t>
      </w:r>
      <w:proofErr w:type="spellEnd"/>
      <w:r w:rsidRPr="0063702A">
        <w:rPr>
          <w:rFonts w:asciiTheme="minorHAnsi" w:eastAsia="Arial" w:hAnsiTheme="minorHAnsi"/>
          <w:color w:val="000000" w:themeColor="text1"/>
          <w:lang w:val="lv-LV"/>
        </w:rPr>
        <w:t xml:space="preserve"> panākt, lai finansējums pētījumiem un attīstībai sasniegtu vismaz 3% no IKP.</w:t>
      </w:r>
      <w:r w:rsidRPr="0063702A">
        <w:rPr>
          <w:rFonts w:asciiTheme="minorHAnsi" w:eastAsia="Arial" w:hAnsiTheme="minorHAnsi"/>
          <w:lang w:val="lv-LV"/>
        </w:rPr>
        <w:t xml:space="preserve"> Tajā skaitā, vēlams, lai aptuveni 1% būtu publiskie, bet, vismaz 2% - privātie finanšu līdzekļi.</w:t>
      </w:r>
    </w:p>
    <w:p w:rsidR="00F13BD2" w:rsidRPr="0063702A" w:rsidRDefault="00F13BD2" w:rsidP="00F13BD2">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 xml:space="preserve">ES kopumā ir izveidota programma Horizonts </w:t>
      </w:r>
      <w:r w:rsidRPr="0063702A">
        <w:rPr>
          <w:rFonts w:asciiTheme="minorHAnsi" w:eastAsia="Arial" w:hAnsiTheme="minorHAnsi"/>
          <w:color w:val="000000" w:themeColor="text1"/>
          <w:lang w:val="lv-LV"/>
        </w:rPr>
        <w:t>2020 (</w:t>
      </w:r>
      <w:proofErr w:type="spellStart"/>
      <w:r w:rsidRPr="0063702A">
        <w:rPr>
          <w:rFonts w:asciiTheme="minorHAnsi" w:eastAsia="Arial" w:hAnsiTheme="minorHAnsi"/>
          <w:i/>
          <w:color w:val="000000" w:themeColor="text1"/>
          <w:lang w:val="lv-LV"/>
        </w:rPr>
        <w:t>Horizon</w:t>
      </w:r>
      <w:proofErr w:type="spellEnd"/>
      <w:r w:rsidRPr="0063702A">
        <w:rPr>
          <w:rFonts w:asciiTheme="minorHAnsi" w:eastAsia="Arial" w:hAnsiTheme="minorHAnsi"/>
          <w:i/>
          <w:color w:val="000000" w:themeColor="text1"/>
          <w:lang w:val="lv-LV"/>
        </w:rPr>
        <w:t xml:space="preserve"> 2020</w:t>
      </w:r>
      <w:r w:rsidRPr="0063702A">
        <w:rPr>
          <w:rFonts w:asciiTheme="minorHAnsi" w:eastAsia="Arial" w:hAnsiTheme="minorHAnsi"/>
          <w:color w:val="000000" w:themeColor="text1"/>
          <w:lang w:val="lv-LV"/>
        </w:rPr>
        <w:t>) - Inovācijas Savienības izveidošanas finanšu instruments. Tā galvenais mērķis ir pēc iespējas vairāk zinātnisku ideju ievirzīt tirgū, kas būtībā nav nekas cits, kā inovācijas</w:t>
      </w:r>
      <w:r w:rsidRPr="0063702A">
        <w:rPr>
          <w:rFonts w:asciiTheme="minorHAnsi" w:eastAsia="Arial" w:hAnsiTheme="minorHAnsi"/>
          <w:lang w:val="lv-LV"/>
        </w:rPr>
        <w:t xml:space="preserve"> procesa vadība. Šī mērķa galvenie rezultāti ir:</w:t>
      </w:r>
    </w:p>
    <w:p w:rsidR="00F13BD2" w:rsidRPr="0063702A" w:rsidRDefault="00F13BD2" w:rsidP="00F13BD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Attīstīta zinātne (</w:t>
      </w:r>
      <w:proofErr w:type="spellStart"/>
      <w:r w:rsidRPr="0063702A">
        <w:rPr>
          <w:rFonts w:asciiTheme="minorHAnsi" w:eastAsia="Arial" w:hAnsiTheme="minorHAnsi"/>
          <w:i/>
          <w:lang w:val="lv-LV"/>
        </w:rPr>
        <w:t>Excellent</w:t>
      </w:r>
      <w:proofErr w:type="spellEnd"/>
      <w:r w:rsidRPr="0063702A">
        <w:rPr>
          <w:rFonts w:asciiTheme="minorHAnsi" w:eastAsia="Arial" w:hAnsiTheme="minorHAnsi"/>
          <w:i/>
          <w:lang w:val="lv-LV"/>
        </w:rPr>
        <w:t xml:space="preserve"> </w:t>
      </w:r>
      <w:proofErr w:type="spellStart"/>
      <w:r w:rsidRPr="0063702A">
        <w:rPr>
          <w:rFonts w:asciiTheme="minorHAnsi" w:eastAsia="Arial" w:hAnsiTheme="minorHAnsi"/>
          <w:i/>
          <w:lang w:val="lv-LV"/>
        </w:rPr>
        <w:t>Science</w:t>
      </w:r>
      <w:proofErr w:type="spellEnd"/>
      <w:r w:rsidRPr="0063702A">
        <w:rPr>
          <w:rFonts w:asciiTheme="minorHAnsi" w:eastAsia="Arial" w:hAnsiTheme="minorHAnsi"/>
          <w:lang w:val="lv-LV"/>
        </w:rPr>
        <w:t>);</w:t>
      </w:r>
    </w:p>
    <w:p w:rsidR="00F13BD2" w:rsidRPr="0063702A" w:rsidRDefault="00F13BD2" w:rsidP="00F13BD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Konkurētspējīgas industrijas;</w:t>
      </w:r>
    </w:p>
    <w:p w:rsidR="00F13BD2" w:rsidRPr="0063702A" w:rsidRDefault="00F13BD2" w:rsidP="00F13BD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Labāka sabiedrība.</w:t>
      </w:r>
    </w:p>
    <w:p w:rsidR="00F13BD2" w:rsidRPr="0063702A" w:rsidRDefault="00F13BD2" w:rsidP="00F13BD2">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 xml:space="preserve">Viens no Horizonts 2020 uzdevumiem </w:t>
      </w:r>
      <w:proofErr w:type="spellStart"/>
      <w:r w:rsidRPr="0063702A">
        <w:rPr>
          <w:rFonts w:asciiTheme="minorHAnsi" w:eastAsia="Arial" w:hAnsiTheme="minorHAnsi"/>
          <w:lang w:val="lv-LV"/>
        </w:rPr>
        <w:t>ir vienotas</w:t>
      </w:r>
      <w:proofErr w:type="spellEnd"/>
      <w:r w:rsidRPr="0063702A">
        <w:rPr>
          <w:rFonts w:asciiTheme="minorHAnsi" w:eastAsia="Arial" w:hAnsiTheme="minorHAnsi"/>
          <w:lang w:val="lv-LV"/>
        </w:rPr>
        <w:t xml:space="preserve"> ES zinātnes infrastruktūras, jeb zinātnes "telpas" izveide, kas spēj izstrādāt jaunas augsta līmeņa ("izrāviena") tehnoloģijas. Tas norāda, ka katras ES dalībvalsts zinātnes, it īpaši pētījumu un attīstības tālākās attīstības tendences ir tieši saistāmas un integrējamas ar Eiropas zinātnes tīklu un attiecīgu finansējumu. Jau šobrīd vairums EK sludināto </w:t>
      </w:r>
      <w:proofErr w:type="spellStart"/>
      <w:r w:rsidRPr="0063702A">
        <w:rPr>
          <w:rFonts w:asciiTheme="minorHAnsi" w:eastAsia="Arial" w:hAnsiTheme="minorHAnsi"/>
          <w:lang w:val="lv-LV"/>
        </w:rPr>
        <w:t>grantu</w:t>
      </w:r>
      <w:proofErr w:type="spellEnd"/>
      <w:r w:rsidRPr="0063702A">
        <w:rPr>
          <w:rFonts w:asciiTheme="minorHAnsi" w:eastAsia="Arial" w:hAnsiTheme="minorHAnsi"/>
          <w:lang w:val="lv-LV"/>
        </w:rPr>
        <w:t xml:space="preserve"> noteikumi paredz obligātu vismaz 3-4 valstu sadarbību konkrētos projektos, dibinot konsorcijus vai citus organizatoriskus formējumus. Turklāt šādos konsorcijos var un pat vēlams piedalīties ne tikai dalībvalstu zinātniskām vai mācību iestādēm (universitātēm, pētniecības institūtiem un tml.) bet arī privātām kompānijām ar savu finansējumu.</w:t>
      </w:r>
    </w:p>
    <w:p w:rsidR="00F13BD2" w:rsidRPr="0063702A" w:rsidRDefault="00F13BD2" w:rsidP="00F13BD2">
      <w:pPr>
        <w:spacing w:before="96" w:after="120" w:line="288" w:lineRule="auto"/>
        <w:rPr>
          <w:rFonts w:asciiTheme="minorHAnsi" w:hAnsiTheme="minorHAnsi"/>
        </w:rPr>
      </w:pPr>
      <w:r w:rsidRPr="0063702A">
        <w:rPr>
          <w:rFonts w:asciiTheme="minorHAnsi" w:eastAsia="Arial" w:hAnsiTheme="minorHAnsi"/>
        </w:rPr>
        <w:t>Var viennozīmīgi atzīmēt, ka neatkarīgi no šajā pētījumā apskatītajām R&amp;D un inovācijas finansēšanas metodēm, būtisks ir šīs jomas finansēšanas apjoms un organizācija, kā, cik efektīvi, attiecīgie līdzekļi tiek izmantoti. Šinī sakarā noderīga var būt arī Somijas pieredze, kura šajā pētījumā tika mazāk apskatīta, taču, kura atrodas inovācijas līderpozīcijās ne tikai ES, bet arī pasaulē.</w:t>
      </w:r>
    </w:p>
    <w:p w:rsidR="00F13BD2" w:rsidRPr="0063702A" w:rsidRDefault="00F13BD2" w:rsidP="00F13BD2">
      <w:pPr>
        <w:spacing w:before="96" w:after="120" w:line="288" w:lineRule="auto"/>
        <w:rPr>
          <w:rFonts w:asciiTheme="minorHAnsi" w:hAnsiTheme="minorHAnsi"/>
        </w:rPr>
      </w:pPr>
      <w:r w:rsidRPr="0063702A">
        <w:rPr>
          <w:rFonts w:asciiTheme="minorHAnsi" w:eastAsia="Arial" w:hAnsiTheme="minorHAnsi"/>
        </w:rPr>
        <w:t>Somijas inovāciju stratēģija balstās uz šādiem galvenajiem faktoriem:</w:t>
      </w:r>
    </w:p>
    <w:p w:rsidR="00F13BD2" w:rsidRPr="0063702A" w:rsidRDefault="00F13BD2" w:rsidP="00F13BD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Augstas kvalitātes izglītības sistēma;</w:t>
      </w:r>
    </w:p>
    <w:p w:rsidR="00F13BD2" w:rsidRPr="0063702A" w:rsidRDefault="00F13BD2" w:rsidP="00F13BD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Uzņēmumu ilgtermiņa investīcijas;</w:t>
      </w:r>
    </w:p>
    <w:p w:rsidR="00F13BD2" w:rsidRPr="0063702A" w:rsidRDefault="00F13BD2" w:rsidP="00F13BD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Publiskā sektora R&amp;D;</w:t>
      </w:r>
    </w:p>
    <w:p w:rsidR="00F13BD2" w:rsidRPr="0063702A" w:rsidRDefault="00F13BD2" w:rsidP="00F13BD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Cieša institūciju savstarpējā sadarbība.</w:t>
      </w:r>
    </w:p>
    <w:p w:rsidR="00F13BD2" w:rsidRPr="0063702A" w:rsidRDefault="00F13BD2" w:rsidP="00F13BD2">
      <w:pPr>
        <w:spacing w:before="96" w:after="120" w:line="288" w:lineRule="auto"/>
        <w:rPr>
          <w:rFonts w:asciiTheme="minorHAnsi" w:hAnsiTheme="minorHAnsi"/>
        </w:rPr>
      </w:pPr>
      <w:r w:rsidRPr="0063702A">
        <w:rPr>
          <w:rFonts w:asciiTheme="minorHAnsi" w:eastAsia="Arial" w:hAnsiTheme="minorHAnsi"/>
        </w:rPr>
        <w:t xml:space="preserve">Somijas veiksmes stāsta </w:t>
      </w:r>
      <w:r w:rsidRPr="0063702A">
        <w:rPr>
          <w:rFonts w:asciiTheme="minorHAnsi" w:eastAsia="Arial" w:hAnsiTheme="minorHAnsi"/>
          <w:color w:val="000000" w:themeColor="text1"/>
        </w:rPr>
        <w:t xml:space="preserve">sākums </w:t>
      </w:r>
      <w:proofErr w:type="spellStart"/>
      <w:r w:rsidRPr="0063702A">
        <w:rPr>
          <w:rFonts w:asciiTheme="minorHAnsi" w:eastAsia="Arial" w:hAnsiTheme="minorHAnsi"/>
          <w:color w:val="000000" w:themeColor="text1"/>
        </w:rPr>
        <w:t>ir </w:t>
      </w:r>
      <w:r w:rsidRPr="0063702A">
        <w:rPr>
          <w:rFonts w:asciiTheme="minorHAnsi" w:eastAsia="Arial" w:hAnsiTheme="minorHAnsi"/>
          <w:color w:val="000000" w:themeColor="text1"/>
          <w:u w:val="single"/>
        </w:rPr>
        <w:t>nacionālā</w:t>
      </w:r>
      <w:proofErr w:type="spellEnd"/>
      <w:r w:rsidRPr="0063702A">
        <w:rPr>
          <w:rFonts w:asciiTheme="minorHAnsi" w:eastAsia="Arial" w:hAnsiTheme="minorHAnsi"/>
          <w:color w:val="000000" w:themeColor="text1"/>
          <w:u w:val="single"/>
        </w:rPr>
        <w:t xml:space="preserve"> inovāciju stratēģija</w:t>
      </w:r>
      <w:r w:rsidRPr="0063702A">
        <w:rPr>
          <w:rFonts w:asciiTheme="minorHAnsi" w:eastAsia="Arial" w:hAnsiTheme="minorHAnsi"/>
          <w:color w:val="000000" w:themeColor="text1"/>
        </w:rPr>
        <w:t>, kurā rūpīgi izstrādāta iepriekš minēto faktoru mijiedarbība. Inovācijas stratēģijas īstenošanai Somijā nodibinātas specializētas institūcijas:</w:t>
      </w:r>
    </w:p>
    <w:p w:rsidR="00F13BD2" w:rsidRPr="0063702A" w:rsidRDefault="009B0188" w:rsidP="00F13BD2">
      <w:pPr>
        <w:pStyle w:val="ListParagraph"/>
        <w:numPr>
          <w:ilvl w:val="1"/>
          <w:numId w:val="113"/>
        </w:numPr>
        <w:spacing w:before="96" w:after="120" w:line="288" w:lineRule="auto"/>
        <w:rPr>
          <w:rFonts w:asciiTheme="minorHAnsi" w:hAnsiTheme="minorHAnsi"/>
          <w:lang w:val="lv-LV"/>
        </w:rPr>
      </w:pPr>
      <w:hyperlink r:id="rId37">
        <w:proofErr w:type="spellStart"/>
        <w:r w:rsidR="00F13BD2" w:rsidRPr="0063702A">
          <w:rPr>
            <w:rFonts w:asciiTheme="minorHAnsi" w:eastAsia="Arial" w:hAnsiTheme="minorHAnsi"/>
            <w:color w:val="000000" w:themeColor="text1"/>
            <w:u w:val="single"/>
            <w:lang w:val="lv-LV"/>
          </w:rPr>
          <w:t>Tekes</w:t>
        </w:r>
      </w:hyperlink>
      <w:r w:rsidR="00F13BD2" w:rsidRPr="0063702A">
        <w:rPr>
          <w:rFonts w:asciiTheme="minorHAnsi" w:eastAsia="Arial" w:hAnsiTheme="minorHAnsi"/>
          <w:color w:val="000000" w:themeColor="text1"/>
          <w:lang w:val="lv-LV"/>
        </w:rPr>
        <w:t> -</w:t>
      </w:r>
      <w:proofErr w:type="spellEnd"/>
      <w:r w:rsidR="00F13BD2" w:rsidRPr="0063702A">
        <w:rPr>
          <w:rFonts w:asciiTheme="minorHAnsi" w:eastAsia="Arial" w:hAnsiTheme="minorHAnsi"/>
          <w:color w:val="000000" w:themeColor="text1"/>
          <w:lang w:val="lv-LV"/>
        </w:rPr>
        <w:t xml:space="preserve"> publiska institūcija, kas finansē pētījumus, attīstību un inovāciju,</w:t>
      </w:r>
    </w:p>
    <w:p w:rsidR="00F13BD2" w:rsidRPr="0063702A" w:rsidRDefault="009B0188" w:rsidP="00F13BD2">
      <w:pPr>
        <w:pStyle w:val="ListParagraph"/>
        <w:numPr>
          <w:ilvl w:val="1"/>
          <w:numId w:val="113"/>
        </w:numPr>
        <w:spacing w:before="96" w:after="120" w:line="288" w:lineRule="auto"/>
        <w:rPr>
          <w:rFonts w:asciiTheme="minorHAnsi" w:hAnsiTheme="minorHAnsi"/>
          <w:lang w:val="lv-LV"/>
        </w:rPr>
      </w:pPr>
      <w:hyperlink r:id="rId38">
        <w:proofErr w:type="spellStart"/>
        <w:r w:rsidR="00F13BD2" w:rsidRPr="0063702A">
          <w:rPr>
            <w:rFonts w:asciiTheme="minorHAnsi" w:eastAsia="Arial" w:hAnsiTheme="minorHAnsi"/>
            <w:color w:val="000000" w:themeColor="text1"/>
            <w:u w:val="single"/>
            <w:lang w:val="lv-LV"/>
          </w:rPr>
          <w:t>Sitra</w:t>
        </w:r>
      </w:hyperlink>
      <w:r w:rsidR="00F13BD2" w:rsidRPr="0063702A">
        <w:rPr>
          <w:rFonts w:asciiTheme="minorHAnsi" w:eastAsia="Arial" w:hAnsiTheme="minorHAnsi"/>
          <w:color w:val="000000" w:themeColor="text1"/>
          <w:lang w:val="lv-LV"/>
        </w:rPr>
        <w:t> -</w:t>
      </w:r>
      <w:proofErr w:type="spellEnd"/>
      <w:r w:rsidR="00F13BD2" w:rsidRPr="0063702A">
        <w:rPr>
          <w:rFonts w:asciiTheme="minorHAnsi" w:eastAsia="Arial" w:hAnsiTheme="minorHAnsi"/>
          <w:color w:val="000000" w:themeColor="text1"/>
          <w:lang w:val="lv-LV"/>
        </w:rPr>
        <w:t xml:space="preserve"> finansēšanas</w:t>
      </w:r>
      <w:r w:rsidR="00F13BD2" w:rsidRPr="0063702A">
        <w:rPr>
          <w:rFonts w:asciiTheme="minorHAnsi" w:eastAsia="Arial" w:hAnsiTheme="minorHAnsi"/>
          <w:lang w:val="lv-LV"/>
        </w:rPr>
        <w:t xml:space="preserve"> fonds Somijas parlamenta pārraudzībā, kas attīsta projektus divos galvenajos virzienos: 1) sabiedrības, jeb cilvēkkapitāla attīstība, galveno uzmanību pievēršot publiskās administrācijas kapacitātes paaugstināšanai; 2) ekoloģiskā ilgtspēja - racionāla, vidi saudzējoša resursu izmantošana (</w:t>
      </w:r>
      <w:proofErr w:type="spellStart"/>
      <w:r w:rsidR="00F13BD2" w:rsidRPr="0063702A">
        <w:rPr>
          <w:rFonts w:asciiTheme="minorHAnsi" w:eastAsia="Arial" w:hAnsiTheme="minorHAnsi"/>
          <w:lang w:val="lv-LV"/>
        </w:rPr>
        <w:t>bioekonomika</w:t>
      </w:r>
      <w:proofErr w:type="spellEnd"/>
      <w:r w:rsidR="00F13BD2" w:rsidRPr="0063702A">
        <w:rPr>
          <w:rFonts w:asciiTheme="minorHAnsi" w:eastAsia="Arial" w:hAnsiTheme="minorHAnsi"/>
          <w:lang w:val="lv-LV"/>
        </w:rPr>
        <w:t>).</w:t>
      </w:r>
    </w:p>
    <w:p w:rsidR="00F13BD2" w:rsidRPr="0063702A" w:rsidRDefault="00F13BD2" w:rsidP="00F13BD2">
      <w:pPr>
        <w:spacing w:before="96" w:after="120" w:line="288" w:lineRule="auto"/>
        <w:rPr>
          <w:rFonts w:asciiTheme="minorHAnsi" w:eastAsia="Arial" w:hAnsiTheme="minorHAnsi"/>
          <w:color w:val="000000" w:themeColor="text1"/>
        </w:rPr>
      </w:pPr>
      <w:r w:rsidRPr="0063702A">
        <w:rPr>
          <w:rFonts w:asciiTheme="minorHAnsi" w:eastAsia="Arial" w:hAnsiTheme="minorHAnsi"/>
        </w:rPr>
        <w:t xml:space="preserve">Viens no galvenajiem Somijas inovācijas sistēmas elementiem ir </w:t>
      </w:r>
      <w:proofErr w:type="spellStart"/>
      <w:r w:rsidRPr="0063702A">
        <w:rPr>
          <w:rFonts w:asciiTheme="minorHAnsi" w:eastAsia="Arial" w:hAnsiTheme="minorHAnsi"/>
        </w:rPr>
        <w:t>Tekes</w:t>
      </w:r>
      <w:proofErr w:type="spellEnd"/>
      <w:r w:rsidRPr="0063702A">
        <w:rPr>
          <w:rFonts w:asciiTheme="minorHAnsi" w:eastAsia="Arial" w:hAnsiTheme="minorHAnsi"/>
        </w:rPr>
        <w:t xml:space="preserve"> iniciēti un </w:t>
      </w:r>
      <w:proofErr w:type="spellStart"/>
      <w:r w:rsidRPr="0063702A">
        <w:rPr>
          <w:rFonts w:asciiTheme="minorHAnsi" w:eastAsia="Arial" w:hAnsiTheme="minorHAnsi"/>
        </w:rPr>
        <w:t>atbalstīti zinātnes</w:t>
      </w:r>
      <w:proofErr w:type="spellEnd"/>
      <w:r w:rsidRPr="0063702A">
        <w:rPr>
          <w:rFonts w:asciiTheme="minorHAnsi" w:eastAsia="Arial" w:hAnsiTheme="minorHAnsi"/>
        </w:rPr>
        <w:t xml:space="preserve">, tehnoloģijas un inovācijas stratēģiskie centri, jeb klasteri pa galvenajiem </w:t>
      </w:r>
      <w:r w:rsidRPr="0063702A">
        <w:rPr>
          <w:rFonts w:asciiTheme="minorHAnsi" w:eastAsia="Arial" w:hAnsiTheme="minorHAnsi"/>
          <w:color w:val="000000" w:themeColor="text1"/>
        </w:rPr>
        <w:t>zinātnes un tautsaimniecības virzieniem:</w:t>
      </w:r>
    </w:p>
    <w:p w:rsidR="00F13BD2" w:rsidRPr="0063702A" w:rsidRDefault="00F13BD2" w:rsidP="00F13BD2">
      <w:pPr>
        <w:pStyle w:val="ListParagraph"/>
        <w:numPr>
          <w:ilvl w:val="0"/>
          <w:numId w:val="113"/>
        </w:numPr>
        <w:spacing w:before="96" w:after="120" w:line="288" w:lineRule="auto"/>
        <w:rPr>
          <w:rFonts w:asciiTheme="minorHAnsi" w:eastAsia="Arial" w:hAnsiTheme="minorHAnsi"/>
          <w:color w:val="000000" w:themeColor="text1"/>
          <w:lang w:val="lv-LV"/>
        </w:rPr>
      </w:pPr>
      <w:r w:rsidRPr="0063702A">
        <w:rPr>
          <w:rFonts w:asciiTheme="minorHAnsi" w:eastAsia="Arial" w:hAnsiTheme="minorHAnsi"/>
          <w:color w:val="000000" w:themeColor="text1"/>
          <w:lang w:val="lv-LV"/>
        </w:rPr>
        <w:t>Enerģija un apkārtējā vide;</w:t>
      </w:r>
    </w:p>
    <w:p w:rsidR="00F13BD2" w:rsidRPr="0063702A" w:rsidRDefault="00F13BD2" w:rsidP="00F13BD2">
      <w:pPr>
        <w:pStyle w:val="ListParagraph"/>
        <w:numPr>
          <w:ilvl w:val="0"/>
          <w:numId w:val="113"/>
        </w:numPr>
        <w:spacing w:before="96" w:after="120" w:line="288" w:lineRule="auto"/>
        <w:rPr>
          <w:rFonts w:asciiTheme="minorHAnsi" w:eastAsia="Arial" w:hAnsiTheme="minorHAnsi"/>
          <w:color w:val="000000" w:themeColor="text1"/>
          <w:lang w:val="lv-LV"/>
        </w:rPr>
      </w:pPr>
      <w:r w:rsidRPr="0063702A">
        <w:rPr>
          <w:rFonts w:asciiTheme="minorHAnsi" w:eastAsia="Arial" w:hAnsiTheme="minorHAnsi"/>
          <w:color w:val="000000" w:themeColor="text1"/>
          <w:lang w:val="lv-LV"/>
        </w:rPr>
        <w:t xml:space="preserve">Metālapstrāde un </w:t>
      </w:r>
      <w:proofErr w:type="spellStart"/>
      <w:r w:rsidRPr="0063702A">
        <w:rPr>
          <w:rFonts w:asciiTheme="minorHAnsi" w:eastAsia="Arial" w:hAnsiTheme="minorHAnsi"/>
          <w:color w:val="000000" w:themeColor="text1"/>
          <w:lang w:val="lv-LV"/>
        </w:rPr>
        <w:t>inženīrings</w:t>
      </w:r>
      <w:proofErr w:type="spellEnd"/>
      <w:r w:rsidRPr="0063702A">
        <w:rPr>
          <w:rFonts w:asciiTheme="minorHAnsi" w:eastAsia="Arial" w:hAnsiTheme="minorHAnsi"/>
          <w:color w:val="000000" w:themeColor="text1"/>
          <w:lang w:val="lv-LV"/>
        </w:rPr>
        <w:t>;</w:t>
      </w:r>
    </w:p>
    <w:p w:rsidR="00F13BD2" w:rsidRPr="0063702A" w:rsidRDefault="00F13BD2" w:rsidP="00F13BD2">
      <w:pPr>
        <w:pStyle w:val="ListParagraph"/>
        <w:numPr>
          <w:ilvl w:val="0"/>
          <w:numId w:val="113"/>
        </w:numPr>
        <w:spacing w:before="96" w:after="120" w:line="288" w:lineRule="auto"/>
        <w:rPr>
          <w:rFonts w:asciiTheme="minorHAnsi" w:eastAsia="Arial" w:hAnsiTheme="minorHAnsi"/>
          <w:color w:val="000000" w:themeColor="text1"/>
          <w:lang w:val="lv-LV"/>
        </w:rPr>
      </w:pPr>
      <w:r w:rsidRPr="0063702A">
        <w:rPr>
          <w:rFonts w:asciiTheme="minorHAnsi" w:eastAsia="Arial" w:hAnsiTheme="minorHAnsi"/>
          <w:color w:val="000000" w:themeColor="text1"/>
          <w:lang w:val="lv-LV"/>
        </w:rPr>
        <w:t>Būvniecība;</w:t>
      </w:r>
    </w:p>
    <w:p w:rsidR="00F13BD2" w:rsidRPr="0063702A" w:rsidRDefault="00F13BD2" w:rsidP="00F13BD2">
      <w:pPr>
        <w:pStyle w:val="ListParagraph"/>
        <w:numPr>
          <w:ilvl w:val="0"/>
          <w:numId w:val="113"/>
        </w:numPr>
        <w:spacing w:before="96" w:after="120" w:line="288" w:lineRule="auto"/>
        <w:rPr>
          <w:rFonts w:asciiTheme="minorHAnsi" w:eastAsia="Arial" w:hAnsiTheme="minorHAnsi"/>
          <w:color w:val="000000" w:themeColor="text1"/>
          <w:lang w:val="lv-LV"/>
        </w:rPr>
      </w:pPr>
      <w:r w:rsidRPr="0063702A">
        <w:rPr>
          <w:rFonts w:asciiTheme="minorHAnsi" w:eastAsia="Arial" w:hAnsiTheme="minorHAnsi"/>
          <w:color w:val="000000" w:themeColor="text1"/>
          <w:lang w:val="lv-LV"/>
        </w:rPr>
        <w:t>Veselība un labklājība;</w:t>
      </w:r>
    </w:p>
    <w:p w:rsidR="00F13BD2" w:rsidRPr="0063702A" w:rsidRDefault="00F13BD2" w:rsidP="00F13BD2">
      <w:pPr>
        <w:pStyle w:val="ListParagraph"/>
        <w:numPr>
          <w:ilvl w:val="0"/>
          <w:numId w:val="113"/>
        </w:numPr>
        <w:spacing w:before="96" w:after="120" w:line="288" w:lineRule="auto"/>
        <w:rPr>
          <w:rFonts w:asciiTheme="minorHAnsi" w:eastAsia="Arial" w:hAnsiTheme="minorHAnsi"/>
          <w:color w:val="000000" w:themeColor="text1"/>
          <w:lang w:val="lv-LV"/>
        </w:rPr>
      </w:pPr>
      <w:r w:rsidRPr="0063702A">
        <w:rPr>
          <w:rFonts w:asciiTheme="minorHAnsi" w:eastAsia="Arial" w:hAnsiTheme="minorHAnsi"/>
          <w:lang w:val="lv-LV"/>
        </w:rPr>
        <w:t>Informācija un telekomunikāciju industrija un pakalpojumi.</w:t>
      </w:r>
    </w:p>
    <w:p w:rsidR="00F13BD2" w:rsidRPr="0063702A" w:rsidRDefault="00F13BD2" w:rsidP="00F13BD2">
      <w:pPr>
        <w:spacing w:before="96" w:after="120" w:line="288" w:lineRule="auto"/>
        <w:rPr>
          <w:rFonts w:asciiTheme="minorHAnsi" w:hAnsiTheme="minorHAnsi"/>
        </w:rPr>
      </w:pPr>
      <w:r w:rsidRPr="0063702A">
        <w:rPr>
          <w:rFonts w:asciiTheme="minorHAnsi" w:eastAsia="Arial" w:hAnsiTheme="minorHAnsi"/>
        </w:rPr>
        <w:t>Somijas pieredze nepārprotami liecina, cik svarīga no inovācijas attīstības viedokļa, ir labi organizēta, integrēta pētniecības un inovācijas sistēma, kā arī sabiedrības izglītošana un valsts pārvaldes iestāžu kapacitātes paaugstināšana ar vienotu gala mērķi - valsts un sabiedrības attīstība. Šāda sistēma nodrošina vieglu un ērtu Somijas uzņēmumu, kā arī atsevišķu pētnieku pieeju pasaules inovācijas tīkliem, kā arī, pretēji - ārvalstu operatoru pieeju Somijas inovācijas resursiem.</w:t>
      </w:r>
    </w:p>
    <w:p w:rsidR="00F13BD2" w:rsidRPr="00B24F7E" w:rsidRDefault="009B0188" w:rsidP="00F13BD2">
      <w:pPr>
        <w:spacing w:before="96" w:after="120" w:line="288" w:lineRule="auto"/>
        <w:rPr>
          <w:rFonts w:asciiTheme="minorHAnsi" w:hAnsiTheme="minorHAnsi"/>
        </w:rPr>
      </w:pPr>
      <w:hyperlink r:id="rId39">
        <w:proofErr w:type="spellStart"/>
        <w:r w:rsidR="00F13BD2" w:rsidRPr="0063702A">
          <w:rPr>
            <w:rFonts w:asciiTheme="minorHAnsi" w:eastAsia="Arial" w:hAnsiTheme="minorHAnsi"/>
            <w:b/>
            <w:color w:val="663366"/>
            <w:u w:val="single"/>
          </w:rPr>
          <w:t>Sitra</w:t>
        </w:r>
        <w:proofErr w:type="spellEnd"/>
      </w:hyperlink>
      <w:r w:rsidR="00F13BD2" w:rsidRPr="0063702A">
        <w:rPr>
          <w:rFonts w:asciiTheme="minorHAnsi" w:eastAsia="Arial" w:hAnsiTheme="minorHAnsi"/>
        </w:rPr>
        <w:t xml:space="preserve">. Savdabīga ir finanšu fonda </w:t>
      </w:r>
      <w:proofErr w:type="spellStart"/>
      <w:r w:rsidR="00F13BD2" w:rsidRPr="0063702A">
        <w:rPr>
          <w:rFonts w:asciiTheme="minorHAnsi" w:eastAsia="Arial" w:hAnsiTheme="minorHAnsi"/>
        </w:rPr>
        <w:t>Sitra</w:t>
      </w:r>
      <w:proofErr w:type="spellEnd"/>
      <w:r w:rsidR="00F13BD2" w:rsidRPr="0063702A">
        <w:rPr>
          <w:rFonts w:asciiTheme="minorHAnsi" w:eastAsia="Arial" w:hAnsiTheme="minorHAnsi"/>
        </w:rPr>
        <w:t xml:space="preserve"> loma Somijas inovācijas kultūras veidošanā sabiedrībā. Tieši šī augstā mērķa dēļ </w:t>
      </w:r>
      <w:proofErr w:type="spellStart"/>
      <w:r w:rsidR="00F13BD2" w:rsidRPr="0063702A">
        <w:rPr>
          <w:rFonts w:asciiTheme="minorHAnsi" w:eastAsia="Arial" w:hAnsiTheme="minorHAnsi"/>
        </w:rPr>
        <w:t>Sitra</w:t>
      </w:r>
      <w:proofErr w:type="spellEnd"/>
      <w:r w:rsidR="00F13BD2" w:rsidRPr="0063702A">
        <w:rPr>
          <w:rFonts w:asciiTheme="minorHAnsi" w:eastAsia="Arial" w:hAnsiTheme="minorHAnsi"/>
        </w:rPr>
        <w:t xml:space="preserve"> kā neatkarīga institūcija ir pakļauta </w:t>
      </w:r>
      <w:proofErr w:type="spellStart"/>
      <w:r w:rsidR="00F13BD2" w:rsidRPr="0063702A">
        <w:rPr>
          <w:rFonts w:asciiTheme="minorHAnsi" w:eastAsia="Arial" w:hAnsiTheme="minorHAnsi"/>
        </w:rPr>
        <w:t>tieši </w:t>
      </w:r>
      <w:r w:rsidR="00F13BD2" w:rsidRPr="0063702A">
        <w:rPr>
          <w:rFonts w:asciiTheme="minorHAnsi" w:eastAsia="Arial" w:hAnsiTheme="minorHAnsi"/>
          <w:color w:val="000000" w:themeColor="text1"/>
        </w:rPr>
        <w:t>parlamentam</w:t>
      </w:r>
      <w:proofErr w:type="spellEnd"/>
      <w:r w:rsidR="00F13BD2" w:rsidRPr="0063702A">
        <w:rPr>
          <w:rFonts w:asciiTheme="minorHAnsi" w:eastAsia="Arial" w:hAnsiTheme="minorHAnsi"/>
        </w:rPr>
        <w:t xml:space="preserve">. </w:t>
      </w:r>
      <w:proofErr w:type="spellStart"/>
      <w:r w:rsidR="00F13BD2" w:rsidRPr="0063702A">
        <w:rPr>
          <w:rFonts w:asciiTheme="minorHAnsi" w:eastAsia="Arial" w:hAnsiTheme="minorHAnsi"/>
        </w:rPr>
        <w:t>Sitra</w:t>
      </w:r>
      <w:proofErr w:type="spellEnd"/>
      <w:r w:rsidR="00F13BD2" w:rsidRPr="0063702A">
        <w:rPr>
          <w:rFonts w:asciiTheme="minorHAnsi" w:eastAsia="Arial" w:hAnsiTheme="minorHAnsi"/>
        </w:rPr>
        <w:t xml:space="preserve"> finansē konkrētus projektus, kas saistīti ar apziņas veidošanu sabiedrībā par savu atbildību savas, savas ģimenes un sabiedrības kopumā labklājības, kā arī tīras un draudzīgas apkārtējās</w:t>
      </w:r>
      <w:r w:rsidR="00F13BD2" w:rsidRPr="00B24F7E">
        <w:rPr>
          <w:rFonts w:asciiTheme="minorHAnsi" w:eastAsia="Arial" w:hAnsiTheme="minorHAnsi"/>
        </w:rPr>
        <w:t xml:space="preserve"> vides veidošanu. Lai gan tas skan nedaudz abstrakti, tā ir vērtējama kā </w:t>
      </w:r>
      <w:proofErr w:type="spellStart"/>
      <w:r w:rsidR="00F13BD2" w:rsidRPr="00B24F7E">
        <w:rPr>
          <w:rFonts w:asciiTheme="minorHAnsi" w:eastAsia="Arial" w:hAnsiTheme="minorHAnsi"/>
        </w:rPr>
        <w:t>Sitras</w:t>
      </w:r>
      <w:proofErr w:type="spellEnd"/>
      <w:r w:rsidR="00F13BD2" w:rsidRPr="00B24F7E">
        <w:rPr>
          <w:rFonts w:asciiTheme="minorHAnsi" w:eastAsia="Arial" w:hAnsiTheme="minorHAnsi"/>
        </w:rPr>
        <w:t xml:space="preserve"> misija. Praksē tās ir sabiedrības aptaujas par minētajām tēmām, analītiski pētījumi, prognozes un tml. Rezultāti tiek izmantoti parlamenta un citu valsts un nevalstisko institūciju lēmumu pieņemšanā un rīcībā, meklējot attiecīgus, uz nākotni vērstus inovatīvus risinājumus.</w:t>
      </w:r>
    </w:p>
    <w:p w:rsidR="00F13BD2" w:rsidRPr="00B24F7E" w:rsidRDefault="00F13BD2" w:rsidP="00F13BD2">
      <w:pPr>
        <w:spacing w:before="96" w:after="120" w:line="288" w:lineRule="auto"/>
        <w:rPr>
          <w:rFonts w:asciiTheme="minorHAnsi" w:hAnsiTheme="minorHAnsi"/>
        </w:rPr>
      </w:pPr>
      <w:r w:rsidRPr="00B24F7E">
        <w:rPr>
          <w:rFonts w:asciiTheme="minorHAnsi" w:eastAsia="Arial" w:hAnsiTheme="minorHAnsi"/>
        </w:rPr>
        <w:t xml:space="preserve">Papildus </w:t>
      </w:r>
      <w:proofErr w:type="spellStart"/>
      <w:r w:rsidRPr="00B24F7E">
        <w:rPr>
          <w:rFonts w:asciiTheme="minorHAnsi" w:eastAsia="Arial" w:hAnsiTheme="minorHAnsi"/>
        </w:rPr>
        <w:t>Sitra</w:t>
      </w:r>
      <w:proofErr w:type="spellEnd"/>
      <w:r w:rsidRPr="00B24F7E">
        <w:rPr>
          <w:rFonts w:asciiTheme="minorHAnsi" w:eastAsia="Arial" w:hAnsiTheme="minorHAnsi"/>
        </w:rPr>
        <w:t xml:space="preserve"> investē arī inovatīvos uzņēmumos, kuri atbilst šādiem kritērijiem:</w:t>
      </w:r>
    </w:p>
    <w:p w:rsidR="00F13BD2" w:rsidRPr="00B24F7E" w:rsidRDefault="00F13BD2" w:rsidP="00987517">
      <w:pPr>
        <w:numPr>
          <w:ilvl w:val="0"/>
          <w:numId w:val="121"/>
        </w:numPr>
        <w:spacing w:before="100" w:after="24" w:line="288" w:lineRule="auto"/>
        <w:jc w:val="left"/>
        <w:rPr>
          <w:rFonts w:asciiTheme="minorHAnsi" w:hAnsiTheme="minorHAnsi"/>
        </w:rPr>
      </w:pPr>
      <w:r w:rsidRPr="00B24F7E">
        <w:rPr>
          <w:rFonts w:asciiTheme="minorHAnsi" w:eastAsia="Arial" w:hAnsiTheme="minorHAnsi"/>
        </w:rPr>
        <w:t>uzlabo veselību un cilvēku labklājību;</w:t>
      </w:r>
    </w:p>
    <w:p w:rsidR="00F13BD2" w:rsidRPr="00B24F7E" w:rsidRDefault="00F13BD2" w:rsidP="00987517">
      <w:pPr>
        <w:numPr>
          <w:ilvl w:val="0"/>
          <w:numId w:val="121"/>
        </w:numPr>
        <w:spacing w:before="100" w:after="24" w:line="288" w:lineRule="auto"/>
        <w:jc w:val="left"/>
        <w:rPr>
          <w:rFonts w:asciiTheme="minorHAnsi" w:hAnsiTheme="minorHAnsi"/>
        </w:rPr>
      </w:pPr>
      <w:r w:rsidRPr="00B24F7E">
        <w:rPr>
          <w:rFonts w:asciiTheme="minorHAnsi" w:eastAsia="Arial" w:hAnsiTheme="minorHAnsi"/>
        </w:rPr>
        <w:t>risina sociālas problēmas sabiedrībā;</w:t>
      </w:r>
    </w:p>
    <w:p w:rsidR="00F13BD2" w:rsidRPr="00B24F7E" w:rsidRDefault="00F13BD2" w:rsidP="00987517">
      <w:pPr>
        <w:numPr>
          <w:ilvl w:val="0"/>
          <w:numId w:val="121"/>
        </w:numPr>
        <w:spacing w:before="100" w:after="24" w:line="288" w:lineRule="auto"/>
        <w:jc w:val="left"/>
        <w:rPr>
          <w:rFonts w:asciiTheme="minorHAnsi" w:hAnsiTheme="minorHAnsi"/>
        </w:rPr>
      </w:pPr>
      <w:r w:rsidRPr="00B24F7E">
        <w:rPr>
          <w:rFonts w:asciiTheme="minorHAnsi" w:eastAsia="Arial" w:hAnsiTheme="minorHAnsi"/>
        </w:rPr>
        <w:t>uzlabo materiālo resursu un enerģijas izmantošanas efektivitāti;</w:t>
      </w:r>
    </w:p>
    <w:p w:rsidR="00F13BD2" w:rsidRPr="00B24F7E" w:rsidRDefault="00F13BD2" w:rsidP="00987517">
      <w:pPr>
        <w:numPr>
          <w:ilvl w:val="0"/>
          <w:numId w:val="121"/>
        </w:numPr>
        <w:spacing w:before="100" w:after="24" w:line="288" w:lineRule="auto"/>
        <w:jc w:val="left"/>
        <w:rPr>
          <w:rFonts w:asciiTheme="minorHAnsi" w:hAnsiTheme="minorHAnsi"/>
        </w:rPr>
      </w:pPr>
      <w:r w:rsidRPr="00B24F7E">
        <w:rPr>
          <w:rFonts w:asciiTheme="minorHAnsi" w:eastAsia="Arial" w:hAnsiTheme="minorHAnsi"/>
        </w:rPr>
        <w:t>ievieš jaunus resursu izmantošanas veidus;</w:t>
      </w:r>
    </w:p>
    <w:p w:rsidR="00F13BD2" w:rsidRPr="00B24F7E" w:rsidRDefault="00F13BD2" w:rsidP="00987517">
      <w:pPr>
        <w:numPr>
          <w:ilvl w:val="0"/>
          <w:numId w:val="121"/>
        </w:numPr>
        <w:spacing w:before="100" w:after="24" w:line="288" w:lineRule="auto"/>
        <w:jc w:val="left"/>
        <w:rPr>
          <w:rFonts w:asciiTheme="minorHAnsi" w:hAnsiTheme="minorHAnsi"/>
        </w:rPr>
      </w:pPr>
      <w:r w:rsidRPr="00B24F7E">
        <w:rPr>
          <w:rFonts w:asciiTheme="minorHAnsi" w:eastAsia="Arial" w:hAnsiTheme="minorHAnsi"/>
        </w:rPr>
        <w:t>attīsta ekoloģiski draudzīgas saimniekošanas metodes un dzīves veidu.</w:t>
      </w:r>
    </w:p>
    <w:p w:rsidR="00F13BD2" w:rsidRPr="007702F3" w:rsidRDefault="00F13BD2" w:rsidP="007702F3">
      <w:pPr>
        <w:shd w:val="clear" w:color="auto" w:fill="FFFFFF" w:themeFill="background1"/>
        <w:spacing w:before="96" w:after="120" w:line="288" w:lineRule="auto"/>
        <w:rPr>
          <w:rFonts w:asciiTheme="minorHAnsi" w:hAnsiTheme="minorHAnsi"/>
        </w:rPr>
      </w:pPr>
      <w:proofErr w:type="spellStart"/>
      <w:r w:rsidRPr="00B24F7E">
        <w:rPr>
          <w:rFonts w:asciiTheme="minorHAnsi" w:eastAsia="Arial" w:hAnsiTheme="minorHAnsi"/>
        </w:rPr>
        <w:t>Sitra</w:t>
      </w:r>
      <w:proofErr w:type="spellEnd"/>
      <w:r w:rsidRPr="00B24F7E">
        <w:rPr>
          <w:rFonts w:asciiTheme="minorHAnsi" w:eastAsia="Arial" w:hAnsiTheme="minorHAnsi"/>
        </w:rPr>
        <w:t xml:space="preserve"> investē arī dažādos fondos, kuri tādā vai citādā veidā veicina sabiedrības labklājību. Līdz ar to </w:t>
      </w:r>
      <w:proofErr w:type="spellStart"/>
      <w:r w:rsidRPr="00B24F7E">
        <w:rPr>
          <w:rFonts w:asciiTheme="minorHAnsi" w:eastAsia="Arial" w:hAnsiTheme="minorHAnsi"/>
        </w:rPr>
        <w:t>Sitra</w:t>
      </w:r>
      <w:proofErr w:type="spellEnd"/>
      <w:r w:rsidRPr="00B24F7E">
        <w:rPr>
          <w:rFonts w:asciiTheme="minorHAnsi" w:eastAsia="Arial" w:hAnsiTheme="minorHAnsi"/>
        </w:rPr>
        <w:t xml:space="preserve">, atšķirībā no </w:t>
      </w:r>
      <w:proofErr w:type="spellStart"/>
      <w:r w:rsidRPr="00B24F7E">
        <w:rPr>
          <w:rFonts w:asciiTheme="minorHAnsi" w:eastAsia="Arial" w:hAnsiTheme="minorHAnsi"/>
        </w:rPr>
        <w:t>Tekes</w:t>
      </w:r>
      <w:proofErr w:type="spellEnd"/>
      <w:r w:rsidRPr="00B24F7E">
        <w:rPr>
          <w:rFonts w:asciiTheme="minorHAnsi" w:eastAsia="Arial" w:hAnsiTheme="minorHAnsi"/>
        </w:rPr>
        <w:t xml:space="preserve">, ir nacionāls finanšu instruments, kas vērsts uz sabiedrības labklājības paaugstināšanu, īstenojot </w:t>
      </w:r>
      <w:r w:rsidRPr="007702F3">
        <w:rPr>
          <w:rFonts w:asciiTheme="minorHAnsi" w:eastAsia="Arial" w:hAnsiTheme="minorHAnsi"/>
        </w:rPr>
        <w:t>attiecīgus R&amp;D un inovācijas projektus.</w:t>
      </w:r>
    </w:p>
    <w:p w:rsidR="00F13BD2" w:rsidRPr="007702F3" w:rsidRDefault="00F13BD2" w:rsidP="007702F3">
      <w:pPr>
        <w:pStyle w:val="Heading2"/>
        <w:numPr>
          <w:ilvl w:val="1"/>
          <w:numId w:val="4"/>
        </w:numPr>
        <w:shd w:val="clear" w:color="auto" w:fill="FFFFFF" w:themeFill="background1"/>
        <w:suppressAutoHyphens w:val="0"/>
        <w:spacing w:before="240" w:after="60"/>
        <w:jc w:val="both"/>
      </w:pPr>
      <w:bookmarkStart w:id="75" w:name="_Toc358978697"/>
      <w:r w:rsidRPr="007702F3">
        <w:t>Secinājumi par galvenajām nepilnībām esošajā atbalsta sistēmā Latvijā</w:t>
      </w:r>
      <w:bookmarkEnd w:id="75"/>
    </w:p>
    <w:p w:rsidR="00F13BD2" w:rsidRPr="007702F3" w:rsidRDefault="00F13BD2" w:rsidP="007702F3">
      <w:pPr>
        <w:shd w:val="clear" w:color="auto" w:fill="FFFFFF" w:themeFill="background1"/>
      </w:pPr>
      <w:r w:rsidRPr="007702F3">
        <w:t>Esošās atbalsta sistēmas nepilnību identificēšanai tika pielietoti divi paņēmieni: „Aptaujas par uzņēmumu biznesa praksi pētniecības un inovācijas jomā tehniskā ziņojuma” analīze un ekspertu viedoklis, izdarot secinājumus par esošo atbalsta instrumentu sekundāro datu analīzi.</w:t>
      </w:r>
    </w:p>
    <w:p w:rsidR="00F13BD2" w:rsidRPr="007702F3" w:rsidRDefault="00F13BD2" w:rsidP="007702F3">
      <w:pPr>
        <w:shd w:val="clear" w:color="auto" w:fill="FFFFFF" w:themeFill="background1"/>
        <w:rPr>
          <w:b/>
        </w:rPr>
      </w:pPr>
      <w:r w:rsidRPr="007702F3">
        <w:rPr>
          <w:b/>
        </w:rPr>
        <w:t>Uzņēmumu aptauju rezultāti</w:t>
      </w:r>
    </w:p>
    <w:p w:rsidR="00F13BD2" w:rsidRPr="007702F3" w:rsidRDefault="00F13BD2" w:rsidP="007702F3">
      <w:pPr>
        <w:shd w:val="clear" w:color="auto" w:fill="FFFFFF" w:themeFill="background1"/>
      </w:pPr>
      <w:r w:rsidRPr="007702F3">
        <w:t>Veicot aptauju par uzņēmumu motivāciju ieguldīt pētniecībā un attīstībā, 60% respondentu atzina, ka esošie valsts atbalsta instrumenti ir nepietiekami (pilnībā nepietiekami vai drīzāk nepietiekami). 37% savukārt atzina, ka viņiem nav viedokļa šajā jautājumā. Tā kā ar valsts atbalsta instrumentiem ir apmierināti tikai nedaudz vairāk kā 3% respondentu, var secināt, ka esošās atbalsta sistēmas nepilnības var būt nozīmīgs iemesls zemajām R&amp;D investīcijām un vājajam inovāciju līmenim Latvijā.</w:t>
      </w:r>
    </w:p>
    <w:p w:rsidR="00F13BD2" w:rsidRPr="007702F3" w:rsidRDefault="00F13BD2" w:rsidP="007702F3">
      <w:pPr>
        <w:shd w:val="clear" w:color="auto" w:fill="FFFFFF" w:themeFill="background1"/>
      </w:pPr>
      <w:r w:rsidRPr="007702F3">
        <w:t xml:space="preserve">61% respondentu atzina, ka R&amp;D investīciju stimulēšanai, viņuprāt, ir nepieciešami papildus nodokļu atvieglojumi. 35% minēja, ka tam nepieciešama labāka finansējuma pieejamība un granti. Savukārt 9% atzina, ka būtu nepieciešams samazināt birokrātiju. </w:t>
      </w:r>
    </w:p>
    <w:p w:rsidR="00F13BD2" w:rsidRPr="007702F3" w:rsidRDefault="00F13BD2" w:rsidP="007702F3">
      <w:pPr>
        <w:shd w:val="clear" w:color="auto" w:fill="FFFFFF" w:themeFill="background1"/>
      </w:pPr>
      <w:r w:rsidRPr="007702F3">
        <w:t xml:space="preserve">Kā vēlamos nodokļu atvieglojumus 56% respondentu norādīja nodokļu atvieglojumus kopumā, neprecizējot, kādus tieši. 16% respondentu atzina, ka ir nepieciešami IIN atvieglojumi, t. i. – atvieglojumi personāla izmaksām. Savukārt 9% respondentu atzina, ka vēlas saņemt UIN atvieglojumus. </w:t>
      </w:r>
    </w:p>
    <w:p w:rsidR="00F13BD2" w:rsidRPr="007702F3" w:rsidRDefault="00F13BD2" w:rsidP="007702F3">
      <w:pPr>
        <w:shd w:val="clear" w:color="auto" w:fill="FFFFFF" w:themeFill="background1"/>
        <w:rPr>
          <w:b/>
        </w:rPr>
      </w:pPr>
      <w:r w:rsidRPr="007702F3">
        <w:rPr>
          <w:b/>
        </w:rPr>
        <w:t>Ekspertu viedoklis</w:t>
      </w:r>
    </w:p>
    <w:p w:rsidR="00F13BD2" w:rsidRPr="007702F3" w:rsidRDefault="00F13BD2" w:rsidP="007702F3">
      <w:pPr>
        <w:shd w:val="clear" w:color="auto" w:fill="FFFFFF" w:themeFill="background1"/>
      </w:pPr>
      <w:r w:rsidRPr="007702F3">
        <w:t>Veicot sekundāro datu analīzi, tika identificētas četras galvenās problēmas:</w:t>
      </w:r>
    </w:p>
    <w:p w:rsidR="00F13BD2" w:rsidRPr="007702F3" w:rsidRDefault="00F13BD2" w:rsidP="007702F3">
      <w:pPr>
        <w:pStyle w:val="ListParagraph"/>
        <w:numPr>
          <w:ilvl w:val="0"/>
          <w:numId w:val="119"/>
        </w:numPr>
        <w:shd w:val="clear" w:color="auto" w:fill="FFFFFF" w:themeFill="background1"/>
        <w:spacing w:after="200" w:line="276" w:lineRule="auto"/>
        <w:ind w:left="714" w:hanging="357"/>
        <w:contextualSpacing w:val="0"/>
        <w:rPr>
          <w:lang w:val="lv-LV"/>
        </w:rPr>
      </w:pPr>
      <w:r w:rsidRPr="007702F3">
        <w:rPr>
          <w:lang w:val="lv-LV"/>
        </w:rPr>
        <w:t xml:space="preserve">Birokrātija un administratīvais slogs. Lai pieteiktos valsts finanšu atbalsta instrumentiem, pašlaik uzņēmumi saskaras ar lielu administratīvo slogu. Neskatoties uz to, ka uzņēmumi piesakās vairākās aktivitātēs, visi pavaddokumenti ir sniedzami katrā programmā atsevišķi. Atbilstošo pavaddokumentu sagatavošana prasa lielus laika un finanšu resursus, kas daudzus uzņēmējus attur no dalības </w:t>
      </w:r>
      <w:proofErr w:type="spellStart"/>
      <w:r w:rsidRPr="007702F3">
        <w:rPr>
          <w:lang w:val="lv-LV"/>
        </w:rPr>
        <w:t>grantu</w:t>
      </w:r>
      <w:proofErr w:type="spellEnd"/>
      <w:r w:rsidRPr="007702F3">
        <w:rPr>
          <w:lang w:val="lv-LV"/>
        </w:rPr>
        <w:t xml:space="preserve"> projektos un nodokļu atvieglojumu izmantošanas. Tāpat nosacījumi atbalsta saņemšanai bieži ir neskaidri un pretrunīgi. </w:t>
      </w:r>
    </w:p>
    <w:p w:rsidR="00F13BD2" w:rsidRPr="007702F3" w:rsidRDefault="00F13BD2" w:rsidP="007702F3">
      <w:pPr>
        <w:pStyle w:val="ListParagraph"/>
        <w:numPr>
          <w:ilvl w:val="0"/>
          <w:numId w:val="119"/>
        </w:numPr>
        <w:shd w:val="clear" w:color="auto" w:fill="FFFFFF" w:themeFill="background1"/>
        <w:spacing w:after="200" w:line="276" w:lineRule="auto"/>
        <w:ind w:left="714" w:hanging="357"/>
        <w:contextualSpacing w:val="0"/>
        <w:rPr>
          <w:lang w:val="lv-LV"/>
        </w:rPr>
      </w:pPr>
      <w:r w:rsidRPr="007702F3">
        <w:rPr>
          <w:lang w:val="lv-LV"/>
        </w:rPr>
        <w:t xml:space="preserve">Stratēģiskās pieejas trūkums. Latvijā nav izstrādāta stratēģija R&amp;D atbalsta sniegšanai. ES struktūrfondu u. c. </w:t>
      </w:r>
      <w:proofErr w:type="spellStart"/>
      <w:r w:rsidRPr="007702F3">
        <w:rPr>
          <w:lang w:val="lv-LV"/>
        </w:rPr>
        <w:t>grantu</w:t>
      </w:r>
      <w:proofErr w:type="spellEnd"/>
      <w:r w:rsidRPr="007702F3">
        <w:rPr>
          <w:lang w:val="lv-LV"/>
        </w:rPr>
        <w:t xml:space="preserve"> atbalsts tiek plānots īstermiņā, t. i., uzņēmumi saņem informāciju par programmu pieejamību un pieteikšanās nosacījumiem pēdējā brīdī. Tas uzņēmumiem neļauj plānot ilgtermiņa aktivitātes un atbalsta saņemšanu. Stratēģijas izstrāde vairākiem gadiem uz  priekšu ļautu uzņēmumiem justies drošāk un stabilāk, rēķināties ar pieejamo finansējumu un plānot arī ilgtermiņa R&amp;D aktivitātes.</w:t>
      </w:r>
    </w:p>
    <w:p w:rsidR="00F13BD2" w:rsidRPr="007702F3" w:rsidRDefault="00F13BD2" w:rsidP="007702F3">
      <w:pPr>
        <w:pStyle w:val="ListParagraph"/>
        <w:numPr>
          <w:ilvl w:val="0"/>
          <w:numId w:val="119"/>
        </w:numPr>
        <w:shd w:val="clear" w:color="auto" w:fill="FFFFFF" w:themeFill="background1"/>
        <w:spacing w:after="200" w:line="276" w:lineRule="auto"/>
        <w:ind w:left="714" w:hanging="357"/>
        <w:contextualSpacing w:val="0"/>
        <w:rPr>
          <w:lang w:val="lv-LV"/>
        </w:rPr>
      </w:pPr>
      <w:r w:rsidRPr="007702F3">
        <w:rPr>
          <w:lang w:val="lv-LV"/>
        </w:rPr>
        <w:t>Vienotas koordinējošās funkcijas trūkums. Pašlaik valsts atbalsta saņemšanu koordinē vairākas savstarpēji nesaistītas vai vāji saistītas institūcijas. Tas uzņēmumiem rada papildus administratīvo slogu, kā arī koordinējošās un kontroles funkcijas pārklājas. Tāpat uzņēmumu vadītāji ne vienmēr saņem sev nepieciešamo informatīvo atbalstu. Vienas koordinējošās un kontroles iestādes izveide vairāku iestāžu vietā uzlabos uzņēmēju informētības līmeni, samazinās administratīvo slogu, kā arī ļaus efektīvāk plānot laiku R&amp;D aktivitāšu īstenošanai.</w:t>
      </w:r>
    </w:p>
    <w:p w:rsidR="00F13BD2" w:rsidRPr="007702F3" w:rsidRDefault="00F13BD2" w:rsidP="007702F3">
      <w:pPr>
        <w:pStyle w:val="ListParagraph"/>
        <w:numPr>
          <w:ilvl w:val="0"/>
          <w:numId w:val="119"/>
        </w:numPr>
        <w:shd w:val="clear" w:color="auto" w:fill="FFFFFF" w:themeFill="background1"/>
        <w:spacing w:after="200" w:line="276" w:lineRule="auto"/>
        <w:ind w:left="714" w:hanging="357"/>
        <w:contextualSpacing w:val="0"/>
        <w:rPr>
          <w:lang w:val="lv-LV"/>
        </w:rPr>
      </w:pPr>
      <w:r w:rsidRPr="007702F3">
        <w:rPr>
          <w:lang w:val="lv-LV"/>
        </w:rPr>
        <w:t xml:space="preserve">Mazs pieejamā finansējuma apjoms. Šī problēma vairāk saistīta ar </w:t>
      </w:r>
      <w:proofErr w:type="spellStart"/>
      <w:r w:rsidRPr="007702F3">
        <w:rPr>
          <w:lang w:val="lv-LV"/>
        </w:rPr>
        <w:t>grantu</w:t>
      </w:r>
      <w:proofErr w:type="spellEnd"/>
      <w:r w:rsidRPr="007702F3">
        <w:rPr>
          <w:lang w:val="lv-LV"/>
        </w:rPr>
        <w:t xml:space="preserve"> pieejamību. Uzņēmumi neaktīvi iesaistās Eiropas Komisijas </w:t>
      </w:r>
      <w:proofErr w:type="spellStart"/>
      <w:r w:rsidRPr="007702F3">
        <w:rPr>
          <w:lang w:val="lv-LV"/>
        </w:rPr>
        <w:t>grantu</w:t>
      </w:r>
      <w:proofErr w:type="spellEnd"/>
      <w:r w:rsidRPr="007702F3">
        <w:rPr>
          <w:lang w:val="lv-LV"/>
        </w:rPr>
        <w:t xml:space="preserve"> saņemšanai, savukārt caur ES struktūrfondiem piešķirto līdzekļu apjoms neļauj īstenot vērienīgas uz R&amp;D attīstību vērstas aktivitātes. Viens no problēmas risināšanas paņēmieniem ir Eiropas Komisijas programmu popularizēšana Latvijā, uzņēmēju un zinātnisko institūciju informēšana par tām, piemēram, par iespējām saņemt finansējumu 7. ietvarprogrammas (</w:t>
      </w:r>
      <w:r w:rsidR="00A82D8E" w:rsidRPr="007702F3">
        <w:rPr>
          <w:lang w:val="lv-LV"/>
        </w:rPr>
        <w:t>nākamajā plānošanas periodā</w:t>
      </w:r>
      <w:r w:rsidRPr="007702F3">
        <w:rPr>
          <w:lang w:val="lv-LV"/>
        </w:rPr>
        <w:t xml:space="preserve"> – 8. ietvarprogrammas) aktivitātēs.</w:t>
      </w:r>
    </w:p>
    <w:p w:rsidR="00F13BD2" w:rsidRPr="00DB426E" w:rsidRDefault="00F13BD2" w:rsidP="007702F3">
      <w:pPr>
        <w:shd w:val="clear" w:color="auto" w:fill="FFFFFF" w:themeFill="background1"/>
      </w:pPr>
      <w:r w:rsidRPr="007702F3">
        <w:t xml:space="preserve">Ekspertu viedoklis kopumā sakrita ar uzņēmēju interviju rezultātiem. Tādējādi arī ieteikumi esošās atbalsta sistēmas uzlabošanai ir balstīti gan uz uzņēmumu aptauju, gan ekspertu analīzes rezultātiem – galvenais uzsvars tiek likts uz nodokļu atvieglojumu pieejamības nodrošināšanu, </w:t>
      </w:r>
      <w:proofErr w:type="spellStart"/>
      <w:r w:rsidRPr="007702F3">
        <w:t>grantu</w:t>
      </w:r>
      <w:proofErr w:type="spellEnd"/>
      <w:r w:rsidRPr="007702F3">
        <w:t xml:space="preserve"> pieejamības un konsekvences nodrošināšanu, kā arī birokrātijas samazināšanu visu veidu un līmeņu atbalsta saņemšanai.</w:t>
      </w:r>
    </w:p>
    <w:p w:rsidR="00F13BD2" w:rsidRPr="00DB426E" w:rsidRDefault="00F13BD2" w:rsidP="00F13BD2">
      <w:pPr>
        <w:pStyle w:val="Heading1"/>
        <w:pageBreakBefore/>
        <w:widowControl/>
        <w:numPr>
          <w:ilvl w:val="0"/>
          <w:numId w:val="4"/>
        </w:numPr>
        <w:tabs>
          <w:tab w:val="clear" w:pos="284"/>
        </w:tabs>
        <w:suppressAutoHyphens w:val="0"/>
        <w:snapToGrid/>
        <w:spacing w:before="240" w:after="60"/>
        <w:ind w:left="431" w:hanging="431"/>
        <w:jc w:val="both"/>
      </w:pPr>
      <w:bookmarkStart w:id="76" w:name="_Toc356472858"/>
      <w:bookmarkStart w:id="77" w:name="_Toc358978698"/>
      <w:r w:rsidRPr="00DB426E">
        <w:t>Piemērotākie un efektīvākie valsts intervences veidi un priekšlikumi to pilnveidošanai</w:t>
      </w:r>
      <w:bookmarkEnd w:id="76"/>
      <w:bookmarkEnd w:id="77"/>
    </w:p>
    <w:p w:rsidR="00F13BD2" w:rsidRPr="00DB426E" w:rsidRDefault="00F13BD2" w:rsidP="00F13BD2">
      <w:r w:rsidRPr="00DB426E">
        <w:t>Balstoties uz uzņēmēju aptauju, kā arī identificējot ārvalstu labās prakses piemērus, kas ir piemēroti ieviešanai Latvijā, katra analizētās valsts atbalsta sistēma</w:t>
      </w:r>
      <w:r>
        <w:t xml:space="preserve"> (t.sk. nodokļu atvieglojumi)</w:t>
      </w:r>
      <w:r w:rsidRPr="00DB426E">
        <w:t xml:space="preserve"> R&amp;D investīciju veicināšanai tika aplūkota un analizēta no šādiem aspektiem:</w:t>
      </w:r>
    </w:p>
    <w:p w:rsidR="00F13BD2" w:rsidRPr="00DB426E" w:rsidRDefault="00F13BD2" w:rsidP="00F13BD2">
      <w:pPr>
        <w:pStyle w:val="ListParagraph"/>
        <w:numPr>
          <w:ilvl w:val="1"/>
          <w:numId w:val="72"/>
        </w:numPr>
        <w:suppressAutoHyphens w:val="0"/>
        <w:rPr>
          <w:lang w:val="lv-LV"/>
        </w:rPr>
      </w:pPr>
      <w:r w:rsidRPr="00DB426E">
        <w:rPr>
          <w:lang w:val="lv-LV"/>
        </w:rPr>
        <w:t>Atbalsta instruments vai atbalsta sistēma līdz šim nav izmantota Latvijā;</w:t>
      </w:r>
    </w:p>
    <w:p w:rsidR="00F13BD2" w:rsidRPr="00DB426E" w:rsidRDefault="00F13BD2" w:rsidP="00F13BD2">
      <w:pPr>
        <w:pStyle w:val="ListParagraph"/>
        <w:numPr>
          <w:ilvl w:val="1"/>
          <w:numId w:val="72"/>
        </w:numPr>
        <w:suppressAutoHyphens w:val="0"/>
        <w:rPr>
          <w:lang w:val="lv-LV"/>
        </w:rPr>
      </w:pPr>
      <w:r w:rsidRPr="00DB426E">
        <w:rPr>
          <w:lang w:val="lv-LV"/>
        </w:rPr>
        <w:t>Atbalsta instruments vai atbalsta sistēma veicina augstu privāto investīciju piesaisti R&amp;D;</w:t>
      </w:r>
    </w:p>
    <w:p w:rsidR="00F13BD2" w:rsidRPr="00DB426E" w:rsidRDefault="00F13BD2" w:rsidP="00F13BD2">
      <w:pPr>
        <w:pStyle w:val="ListParagraph"/>
        <w:numPr>
          <w:ilvl w:val="1"/>
          <w:numId w:val="72"/>
        </w:numPr>
        <w:suppressAutoHyphens w:val="0"/>
        <w:rPr>
          <w:lang w:val="lv-LV"/>
        </w:rPr>
      </w:pPr>
      <w:r w:rsidRPr="00DB426E">
        <w:rPr>
          <w:lang w:val="lv-LV"/>
        </w:rPr>
        <w:t>Atbalsta instruments vai atbalsta sistēma veicina inovāciju attīstību;</w:t>
      </w:r>
    </w:p>
    <w:p w:rsidR="00F13BD2" w:rsidRPr="00DB426E" w:rsidRDefault="00F13BD2" w:rsidP="00F13BD2">
      <w:pPr>
        <w:pStyle w:val="ListParagraph"/>
        <w:numPr>
          <w:ilvl w:val="1"/>
          <w:numId w:val="72"/>
        </w:numPr>
        <w:suppressAutoHyphens w:val="0"/>
        <w:rPr>
          <w:lang w:val="lv-LV"/>
        </w:rPr>
      </w:pPr>
      <w:r w:rsidRPr="00DB426E">
        <w:rPr>
          <w:lang w:val="lv-LV"/>
        </w:rPr>
        <w:t>Atbalsta instrumenta vai atbalsta sistēmas mērķim ir tieša ietekme uz investīciju piesaisti R&amp;D;</w:t>
      </w:r>
    </w:p>
    <w:p w:rsidR="00F13BD2" w:rsidRPr="00DB426E" w:rsidRDefault="00F13BD2" w:rsidP="00F13BD2">
      <w:pPr>
        <w:pStyle w:val="ListParagraph"/>
        <w:numPr>
          <w:ilvl w:val="1"/>
          <w:numId w:val="72"/>
        </w:numPr>
        <w:suppressAutoHyphens w:val="0"/>
        <w:rPr>
          <w:lang w:val="lv-LV"/>
        </w:rPr>
      </w:pPr>
      <w:r w:rsidRPr="00DB426E">
        <w:rPr>
          <w:lang w:val="lv-LV"/>
        </w:rPr>
        <w:t>Atbalsta instrumentam vai atbalsta sistēmai attiecīgajā valstī ir augsti atdeves rādītāji;</w:t>
      </w:r>
    </w:p>
    <w:p w:rsidR="00F13BD2" w:rsidRPr="00DB426E" w:rsidRDefault="00F13BD2" w:rsidP="00F13BD2">
      <w:pPr>
        <w:pStyle w:val="ListParagraph"/>
        <w:numPr>
          <w:ilvl w:val="1"/>
          <w:numId w:val="72"/>
        </w:numPr>
        <w:suppressAutoHyphens w:val="0"/>
        <w:rPr>
          <w:lang w:val="lv-LV"/>
        </w:rPr>
      </w:pPr>
      <w:r w:rsidRPr="00DB426E">
        <w:rPr>
          <w:lang w:val="lv-LV"/>
        </w:rPr>
        <w:t>Atbalsta instruments vai atbalsta sistēma ir vienkārši administrējama, vienkārši lietojama, saprotama un caurskatāma.</w:t>
      </w:r>
    </w:p>
    <w:p w:rsidR="00F13BD2" w:rsidRDefault="00F13BD2" w:rsidP="00F13BD2"/>
    <w:p w:rsidR="00F13BD2" w:rsidRPr="00DB426E" w:rsidRDefault="00F13BD2" w:rsidP="00F13BD2">
      <w:r w:rsidRPr="00DB426E">
        <w:t>Rezultātā tika identificēti trīs labākie prakses piemēri, kas ir piemēroti ieviešanai Latvijā:</w:t>
      </w:r>
    </w:p>
    <w:p w:rsidR="00F13BD2" w:rsidRPr="00DB426E" w:rsidRDefault="00F13BD2" w:rsidP="00F13BD2">
      <w:pPr>
        <w:pStyle w:val="ListParagraph"/>
        <w:numPr>
          <w:ilvl w:val="0"/>
          <w:numId w:val="73"/>
        </w:numPr>
        <w:rPr>
          <w:lang w:val="lv-LV"/>
        </w:rPr>
      </w:pPr>
      <w:r w:rsidRPr="00DB426E">
        <w:rPr>
          <w:lang w:val="lv-LV"/>
        </w:rPr>
        <w:t>Nodokļu atvieglojumu sistēma R&amp;D atbalstam Lietuvā;</w:t>
      </w:r>
    </w:p>
    <w:p w:rsidR="00F13BD2" w:rsidRPr="00DB426E" w:rsidRDefault="00F13BD2" w:rsidP="00F13BD2">
      <w:pPr>
        <w:pStyle w:val="ListParagraph"/>
        <w:numPr>
          <w:ilvl w:val="0"/>
          <w:numId w:val="73"/>
        </w:numPr>
        <w:rPr>
          <w:lang w:val="lv-LV"/>
        </w:rPr>
      </w:pPr>
      <w:proofErr w:type="spellStart"/>
      <w:r w:rsidRPr="00DB426E">
        <w:rPr>
          <w:lang w:val="lv-LV"/>
        </w:rPr>
        <w:t>Grantu</w:t>
      </w:r>
      <w:proofErr w:type="spellEnd"/>
      <w:r w:rsidRPr="00DB426E">
        <w:rPr>
          <w:lang w:val="lv-LV"/>
        </w:rPr>
        <w:t xml:space="preserve"> piešķiršanas sistēma Vācijā;</w:t>
      </w:r>
    </w:p>
    <w:p w:rsidR="00F13BD2" w:rsidRPr="00DB426E" w:rsidRDefault="00F13BD2" w:rsidP="00F13BD2">
      <w:pPr>
        <w:pStyle w:val="ListParagraph"/>
        <w:numPr>
          <w:ilvl w:val="0"/>
          <w:numId w:val="73"/>
        </w:numPr>
        <w:rPr>
          <w:lang w:val="lv-LV"/>
        </w:rPr>
      </w:pPr>
      <w:r w:rsidRPr="00DB426E">
        <w:rPr>
          <w:lang w:val="lv-LV"/>
        </w:rPr>
        <w:t>Atbalsta intensitātes fiksēšana atkarībā no uzņēmuma lieluma un administratīvi teritoriālās vienības Grieķijā.</w:t>
      </w:r>
    </w:p>
    <w:p w:rsidR="00F13BD2" w:rsidRPr="00DB426E" w:rsidRDefault="00F13BD2" w:rsidP="00F13BD2">
      <w:pPr>
        <w:pStyle w:val="ListParagraph"/>
        <w:numPr>
          <w:ilvl w:val="0"/>
          <w:numId w:val="0"/>
        </w:numPr>
        <w:suppressAutoHyphens w:val="0"/>
        <w:rPr>
          <w:lang w:val="lv-LV"/>
        </w:rPr>
      </w:pPr>
    </w:p>
    <w:p w:rsidR="00F13BD2" w:rsidRPr="00DB426E" w:rsidRDefault="00F13BD2" w:rsidP="00F13BD2">
      <w:pPr>
        <w:pStyle w:val="ListParagraph"/>
        <w:numPr>
          <w:ilvl w:val="0"/>
          <w:numId w:val="35"/>
        </w:numPr>
        <w:suppressAutoHyphens w:val="0"/>
        <w:rPr>
          <w:b/>
          <w:lang w:val="lv-LV"/>
        </w:rPr>
      </w:pPr>
      <w:r w:rsidRPr="00DB426E">
        <w:rPr>
          <w:b/>
          <w:lang w:val="lv-LV"/>
        </w:rPr>
        <w:t>Nodokļu atvieglojumu sistēma R&amp;D atbalstam Lietuvā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522"/>
      </w:tblGrid>
      <w:tr w:rsidR="00F13BD2" w:rsidRPr="00DB426E" w:rsidTr="007702F3">
        <w:tc>
          <w:tcPr>
            <w:tcW w:w="8522" w:type="dxa"/>
            <w:shd w:val="clear" w:color="auto" w:fill="F2F2F2" w:themeFill="background1" w:themeFillShade="F2"/>
          </w:tcPr>
          <w:p w:rsidR="00F13BD2" w:rsidRPr="00DB426E" w:rsidRDefault="00F13BD2" w:rsidP="00F13BD2">
            <w:pPr>
              <w:jc w:val="center"/>
              <w:rPr>
                <w:b/>
              </w:rPr>
            </w:pPr>
            <w:r w:rsidRPr="00DB426E">
              <w:rPr>
                <w:b/>
              </w:rPr>
              <w:t>Priekšrocības</w:t>
            </w:r>
          </w:p>
        </w:tc>
      </w:tr>
      <w:tr w:rsidR="00F13BD2" w:rsidRPr="00DB426E" w:rsidTr="007702F3">
        <w:tc>
          <w:tcPr>
            <w:tcW w:w="8522" w:type="dxa"/>
            <w:shd w:val="clear" w:color="auto" w:fill="FFFFFF" w:themeFill="background1"/>
          </w:tcPr>
          <w:p w:rsidR="00F13BD2" w:rsidRPr="00475128" w:rsidRDefault="00F13BD2" w:rsidP="00F13BD2">
            <w:pPr>
              <w:pStyle w:val="ListParagraph"/>
              <w:ind w:left="709" w:hanging="425"/>
              <w:rPr>
                <w:lang w:val="lv-LV"/>
              </w:rPr>
            </w:pPr>
            <w:r w:rsidRPr="00475128">
              <w:rPr>
                <w:lang w:val="lv-LV"/>
              </w:rPr>
              <w:t>Atbalsta sniegšana R&amp;D iesaistītā personāla izmaksām, tādējādi veicinot nodarbinātību R&amp;D aktivitātēs;</w:t>
            </w:r>
          </w:p>
          <w:p w:rsidR="00F13BD2" w:rsidRPr="00475128" w:rsidRDefault="00F13BD2" w:rsidP="00F13BD2">
            <w:pPr>
              <w:pStyle w:val="ListParagraph"/>
              <w:ind w:left="709" w:hanging="425"/>
              <w:rPr>
                <w:lang w:val="lv-LV"/>
              </w:rPr>
            </w:pPr>
            <w:r w:rsidRPr="00475128">
              <w:rPr>
                <w:lang w:val="lv-LV"/>
              </w:rPr>
              <w:t>Uzņēmumu iespēja izvēlēties (likuma normu ietvaros), cik ilgā laikā norakstāmi pamatlīdzekļi, atkarībā no katra uzņēmuma nepieciešamības;</w:t>
            </w:r>
          </w:p>
          <w:p w:rsidR="00F13BD2" w:rsidRPr="00475128" w:rsidRDefault="00F13BD2" w:rsidP="00F13BD2">
            <w:pPr>
              <w:pStyle w:val="ListParagraph"/>
              <w:ind w:left="709" w:hanging="425"/>
              <w:rPr>
                <w:lang w:val="lv-LV"/>
              </w:rPr>
            </w:pPr>
            <w:r w:rsidRPr="00475128">
              <w:rPr>
                <w:lang w:val="lv-LV"/>
              </w:rPr>
              <w:t>Iespēja samazināt apliekamo ienākumu par R&amp;D izmaksu apjomu, tādējādi tiešā veidā veicinot investīcijas R&amp;D;</w:t>
            </w:r>
          </w:p>
          <w:p w:rsidR="00F13BD2" w:rsidRPr="00475128" w:rsidRDefault="00F13BD2" w:rsidP="00F13BD2">
            <w:pPr>
              <w:pStyle w:val="ListParagraph"/>
              <w:ind w:left="709" w:hanging="425"/>
              <w:rPr>
                <w:lang w:val="lv-LV"/>
              </w:rPr>
            </w:pPr>
            <w:r w:rsidRPr="00475128">
              <w:rPr>
                <w:lang w:val="lv-LV"/>
              </w:rPr>
              <w:t xml:space="preserve">R&amp;D aktivitātes nav nepieciešams saskaņot ar valsti, un atvieglojumi tiek gūti pēc </w:t>
            </w:r>
            <w:proofErr w:type="spellStart"/>
            <w:r w:rsidRPr="00475128">
              <w:rPr>
                <w:lang w:val="lv-LV"/>
              </w:rPr>
              <w:t>pašdeklarēšanās</w:t>
            </w:r>
            <w:proofErr w:type="spellEnd"/>
            <w:r w:rsidRPr="00475128">
              <w:rPr>
                <w:lang w:val="lv-LV"/>
              </w:rPr>
              <w:t xml:space="preserve"> principa, tādējādi atvieglojot R&amp;D veikšanu un atvieglojumu saņemšanu, turklāt samazinot administratīvo slogu;</w:t>
            </w:r>
          </w:p>
          <w:p w:rsidR="00F13BD2" w:rsidRPr="00475128" w:rsidRDefault="00F13BD2" w:rsidP="00F13BD2">
            <w:pPr>
              <w:pStyle w:val="ListParagraph"/>
              <w:ind w:left="709" w:hanging="425"/>
              <w:rPr>
                <w:lang w:val="lv-LV"/>
              </w:rPr>
            </w:pPr>
            <w:r w:rsidRPr="00475128">
              <w:rPr>
                <w:lang w:val="lv-LV"/>
              </w:rPr>
              <w:t xml:space="preserve">Atbalsts tiek sniegts visām nozarēm, tādējādi samazināti brīvās konkurences ierobežošanas riski. </w:t>
            </w:r>
          </w:p>
        </w:tc>
      </w:tr>
      <w:tr w:rsidR="00F13BD2" w:rsidRPr="00DB426E" w:rsidTr="007702F3">
        <w:tc>
          <w:tcPr>
            <w:tcW w:w="8522" w:type="dxa"/>
            <w:shd w:val="clear" w:color="auto" w:fill="F2F2F2" w:themeFill="background1" w:themeFillShade="F2"/>
          </w:tcPr>
          <w:p w:rsidR="00F13BD2" w:rsidRPr="00DB426E" w:rsidRDefault="00F13BD2" w:rsidP="00F13BD2">
            <w:pPr>
              <w:jc w:val="center"/>
              <w:rPr>
                <w:b/>
              </w:rPr>
            </w:pPr>
            <w:r w:rsidRPr="00DB426E">
              <w:rPr>
                <w:b/>
              </w:rPr>
              <w:t>Trūkumi</w:t>
            </w:r>
          </w:p>
        </w:tc>
      </w:tr>
      <w:tr w:rsidR="00F13BD2" w:rsidRPr="00DB426E" w:rsidTr="007702F3">
        <w:tc>
          <w:tcPr>
            <w:tcW w:w="8522" w:type="dxa"/>
            <w:shd w:val="clear" w:color="auto" w:fill="FFFFFF" w:themeFill="background1"/>
          </w:tcPr>
          <w:p w:rsidR="00F13BD2" w:rsidRPr="00475128" w:rsidRDefault="00F13BD2" w:rsidP="00F13BD2">
            <w:pPr>
              <w:pStyle w:val="ListParagraph"/>
              <w:numPr>
                <w:ilvl w:val="0"/>
                <w:numId w:val="74"/>
              </w:numPr>
              <w:suppressAutoHyphens w:val="0"/>
              <w:rPr>
                <w:lang w:val="lv-LV"/>
              </w:rPr>
            </w:pPr>
            <w:proofErr w:type="spellStart"/>
            <w:r w:rsidRPr="00475128">
              <w:rPr>
                <w:lang w:val="lv-LV"/>
              </w:rPr>
              <w:t>Pašdeklarēšanās</w:t>
            </w:r>
            <w:proofErr w:type="spellEnd"/>
            <w:r w:rsidRPr="00475128">
              <w:rPr>
                <w:lang w:val="lv-LV"/>
              </w:rPr>
              <w:t xml:space="preserve"> sistēmas ieviešanas gadījumā grūti prognozēt pieteicēju skaitu un atbalsta apjomu;</w:t>
            </w:r>
          </w:p>
          <w:p w:rsidR="00F13BD2" w:rsidRPr="00475128" w:rsidRDefault="00F13BD2" w:rsidP="00F13BD2">
            <w:pPr>
              <w:pStyle w:val="ListParagraph"/>
              <w:numPr>
                <w:ilvl w:val="0"/>
                <w:numId w:val="74"/>
              </w:numPr>
              <w:suppressAutoHyphens w:val="0"/>
              <w:rPr>
                <w:lang w:val="lv-LV"/>
              </w:rPr>
            </w:pPr>
            <w:r w:rsidRPr="00475128">
              <w:rPr>
                <w:lang w:val="lv-LV"/>
              </w:rPr>
              <w:t>Pastiprinātas kontroles nepieciešamība, lai pārliecinātos, ka personāls, par ko tiek saņemti atvieglojumi, tiek nodarbināts tikai R&amp;D aktivitātēs.</w:t>
            </w:r>
          </w:p>
        </w:tc>
      </w:tr>
      <w:tr w:rsidR="00F13BD2" w:rsidRPr="00DB426E" w:rsidTr="007702F3">
        <w:tc>
          <w:tcPr>
            <w:tcW w:w="8522" w:type="dxa"/>
            <w:shd w:val="clear" w:color="auto" w:fill="F2F2F2" w:themeFill="background1" w:themeFillShade="F2"/>
          </w:tcPr>
          <w:p w:rsidR="00F13BD2" w:rsidRPr="00DB426E" w:rsidRDefault="00F13BD2" w:rsidP="00F13BD2">
            <w:pPr>
              <w:jc w:val="center"/>
              <w:rPr>
                <w:b/>
              </w:rPr>
            </w:pPr>
            <w:r w:rsidRPr="00DB426E">
              <w:rPr>
                <w:b/>
              </w:rPr>
              <w:t>Ieviešanas nosacījumi Latvijā</w:t>
            </w:r>
          </w:p>
        </w:tc>
      </w:tr>
      <w:tr w:rsidR="00F13BD2" w:rsidRPr="00DB426E" w:rsidTr="007702F3">
        <w:tc>
          <w:tcPr>
            <w:tcW w:w="8522" w:type="dxa"/>
            <w:shd w:val="clear" w:color="auto" w:fill="FFFFFF" w:themeFill="background1"/>
          </w:tcPr>
          <w:p w:rsidR="00F13BD2" w:rsidRPr="00475128" w:rsidRDefault="00F13BD2" w:rsidP="00F13BD2">
            <w:pPr>
              <w:pStyle w:val="ListParagraph"/>
              <w:numPr>
                <w:ilvl w:val="0"/>
                <w:numId w:val="75"/>
              </w:numPr>
              <w:suppressAutoHyphens w:val="0"/>
              <w:rPr>
                <w:lang w:val="lv-LV"/>
              </w:rPr>
            </w:pPr>
            <w:r w:rsidRPr="00475128">
              <w:rPr>
                <w:lang w:val="lv-LV"/>
              </w:rPr>
              <w:t>Esošo nodokļu atvieglojumu pārskatīšana un korekciju veikšana normatīvajos aktos, lai nepieļautu atbalsta dublēšanos vai citas nesakritības atbalsta saņemšanai;</w:t>
            </w:r>
          </w:p>
          <w:p w:rsidR="00F13BD2" w:rsidRPr="007702F3" w:rsidRDefault="00F13BD2" w:rsidP="007702F3">
            <w:pPr>
              <w:pStyle w:val="ListParagraph"/>
              <w:numPr>
                <w:ilvl w:val="0"/>
                <w:numId w:val="75"/>
              </w:numPr>
              <w:suppressAutoHyphens w:val="0"/>
              <w:rPr>
                <w:lang w:val="lv-LV"/>
              </w:rPr>
            </w:pPr>
            <w:r w:rsidRPr="00475128">
              <w:rPr>
                <w:lang w:val="lv-LV"/>
              </w:rPr>
              <w:t xml:space="preserve">Vērienīgu informatīvo kampaņu izveide ar mērķi informēt visus potenciālos atbalsta </w:t>
            </w:r>
            <w:r w:rsidRPr="007702F3">
              <w:rPr>
                <w:lang w:val="lv-LV"/>
              </w:rPr>
              <w:t>saņēmējus, t. sk. informējot par R&amp;D investīciju nozīmīgumu un komersantu ieguvumiem, īstenojot šīs aktivitātes;</w:t>
            </w:r>
          </w:p>
          <w:p w:rsidR="00F13BD2" w:rsidRPr="00475128" w:rsidRDefault="00F13BD2" w:rsidP="007702F3">
            <w:pPr>
              <w:pStyle w:val="ListParagraph"/>
              <w:numPr>
                <w:ilvl w:val="0"/>
                <w:numId w:val="75"/>
              </w:numPr>
              <w:suppressAutoHyphens w:val="0"/>
              <w:rPr>
                <w:lang w:val="lv-LV"/>
              </w:rPr>
            </w:pPr>
            <w:r w:rsidRPr="007702F3">
              <w:rPr>
                <w:shd w:val="clear" w:color="auto" w:fill="FFFFFF" w:themeFill="background1"/>
                <w:lang w:val="lv-LV"/>
              </w:rPr>
              <w:t xml:space="preserve">Stratēģijas izstrāde nodokļu atvieglojumu veiksmīgai kombinēšanai ar citiem atbalsta instrumentiem visos līmeņos (valsts, reģionu, pašvaldību, utt.), piemēram, </w:t>
            </w:r>
            <w:proofErr w:type="spellStart"/>
            <w:r w:rsidRPr="007702F3">
              <w:rPr>
                <w:shd w:val="clear" w:color="auto" w:fill="FFFFFF" w:themeFill="background1"/>
                <w:lang w:val="lv-LV"/>
              </w:rPr>
              <w:t>grantiem</w:t>
            </w:r>
            <w:proofErr w:type="spellEnd"/>
            <w:r w:rsidRPr="007702F3">
              <w:rPr>
                <w:shd w:val="clear" w:color="auto" w:fill="FFFFFF" w:themeFill="background1"/>
                <w:lang w:val="lv-LV"/>
              </w:rPr>
              <w:t xml:space="preserve"> un atbilstības nodrošināšanai ar valstī noteiktajiem prioritārajiem zinātnes virzieniem un nozarēm.</w:t>
            </w:r>
          </w:p>
        </w:tc>
      </w:tr>
      <w:tr w:rsidR="00F13BD2" w:rsidRPr="00DB426E" w:rsidTr="007702F3">
        <w:tc>
          <w:tcPr>
            <w:tcW w:w="8522" w:type="dxa"/>
            <w:shd w:val="clear" w:color="auto" w:fill="F2F2F2" w:themeFill="background1" w:themeFillShade="F2"/>
          </w:tcPr>
          <w:p w:rsidR="00F13BD2" w:rsidRPr="00DB426E" w:rsidRDefault="00F13BD2" w:rsidP="00F13BD2">
            <w:pPr>
              <w:jc w:val="center"/>
              <w:rPr>
                <w:b/>
              </w:rPr>
            </w:pPr>
            <w:r w:rsidRPr="00DB426E">
              <w:rPr>
                <w:b/>
              </w:rPr>
              <w:t>Ieg</w:t>
            </w:r>
            <w:r w:rsidRPr="007702F3">
              <w:rPr>
                <w:b/>
                <w:shd w:val="clear" w:color="auto" w:fill="F2F2F2" w:themeFill="background1" w:themeFillShade="F2"/>
              </w:rPr>
              <w:t>uvumi</w:t>
            </w:r>
          </w:p>
        </w:tc>
      </w:tr>
      <w:tr w:rsidR="00F13BD2" w:rsidRPr="00DB426E" w:rsidTr="007702F3">
        <w:tc>
          <w:tcPr>
            <w:tcW w:w="8522" w:type="dxa"/>
            <w:shd w:val="clear" w:color="auto" w:fill="FFFFFF" w:themeFill="background1"/>
          </w:tcPr>
          <w:p w:rsidR="00F13BD2" w:rsidRPr="00475128" w:rsidRDefault="00F13BD2" w:rsidP="00F13BD2">
            <w:pPr>
              <w:pStyle w:val="ListParagraph"/>
              <w:numPr>
                <w:ilvl w:val="0"/>
                <w:numId w:val="76"/>
              </w:numPr>
              <w:suppressAutoHyphens w:val="0"/>
              <w:rPr>
                <w:lang w:val="lv-LV"/>
              </w:rPr>
            </w:pPr>
            <w:r w:rsidRPr="00475128">
              <w:rPr>
                <w:lang w:val="lv-LV"/>
              </w:rPr>
              <w:t>Lielāks privāto investīciju ieguldījums R&amp;D;</w:t>
            </w:r>
          </w:p>
          <w:p w:rsidR="00F13BD2" w:rsidRPr="00475128" w:rsidRDefault="00F13BD2" w:rsidP="00F13BD2">
            <w:pPr>
              <w:pStyle w:val="ListParagraph"/>
              <w:numPr>
                <w:ilvl w:val="0"/>
                <w:numId w:val="76"/>
              </w:numPr>
              <w:suppressAutoHyphens w:val="0"/>
              <w:rPr>
                <w:lang w:val="lv-LV"/>
              </w:rPr>
            </w:pPr>
            <w:r w:rsidRPr="00475128">
              <w:rPr>
                <w:lang w:val="lv-LV"/>
              </w:rPr>
              <w:t>Lielāks uzņēmumu skaits, kas iegulda R&amp;D;</w:t>
            </w:r>
          </w:p>
          <w:p w:rsidR="00F13BD2" w:rsidRPr="00475128" w:rsidRDefault="00F13BD2" w:rsidP="00F13BD2">
            <w:pPr>
              <w:pStyle w:val="ListParagraph"/>
              <w:numPr>
                <w:ilvl w:val="0"/>
                <w:numId w:val="76"/>
              </w:numPr>
              <w:suppressAutoHyphens w:val="0"/>
              <w:rPr>
                <w:lang w:val="lv-LV"/>
              </w:rPr>
            </w:pPr>
            <w:r w:rsidRPr="00475128">
              <w:rPr>
                <w:lang w:val="lv-LV"/>
              </w:rPr>
              <w:t>R&amp;D ieguldījumu veicināšana tajās nozarēs, kurās pašlaik tas tiek darīts pasīvi.</w:t>
            </w:r>
          </w:p>
        </w:tc>
      </w:tr>
      <w:tr w:rsidR="00F13BD2" w:rsidRPr="00440D4A" w:rsidTr="007702F3">
        <w:tc>
          <w:tcPr>
            <w:tcW w:w="8522" w:type="dxa"/>
            <w:shd w:val="clear" w:color="auto" w:fill="F2F2F2" w:themeFill="background1" w:themeFillShade="F2"/>
          </w:tcPr>
          <w:p w:rsidR="00F13BD2" w:rsidRPr="00440D4A" w:rsidRDefault="00F13BD2" w:rsidP="00F13BD2">
            <w:pPr>
              <w:jc w:val="center"/>
              <w:rPr>
                <w:b/>
              </w:rPr>
            </w:pPr>
            <w:r w:rsidRPr="00440D4A">
              <w:rPr>
                <w:b/>
              </w:rPr>
              <w:t>Mērķauditorija</w:t>
            </w:r>
          </w:p>
        </w:tc>
      </w:tr>
      <w:tr w:rsidR="00F13BD2" w:rsidRPr="00DB426E" w:rsidTr="007702F3">
        <w:tc>
          <w:tcPr>
            <w:tcW w:w="8522" w:type="dxa"/>
            <w:shd w:val="clear" w:color="auto" w:fill="FFFFFF" w:themeFill="background1"/>
          </w:tcPr>
          <w:p w:rsidR="00F13BD2" w:rsidRPr="00475128" w:rsidRDefault="00F13BD2" w:rsidP="00F13BD2">
            <w:pPr>
              <w:pStyle w:val="ListParagraph"/>
              <w:numPr>
                <w:ilvl w:val="0"/>
                <w:numId w:val="76"/>
              </w:numPr>
              <w:suppressAutoHyphens w:val="0"/>
              <w:rPr>
                <w:lang w:val="lv-LV"/>
              </w:rPr>
            </w:pPr>
            <w:r>
              <w:rPr>
                <w:lang w:val="lv-LV"/>
              </w:rPr>
              <w:t xml:space="preserve">Visi LR reģistrētie komersanti, kuri veic ieguldījumus R&amp;D. </w:t>
            </w:r>
          </w:p>
        </w:tc>
      </w:tr>
      <w:tr w:rsidR="00F13BD2" w:rsidRPr="00643A34" w:rsidTr="007702F3">
        <w:tc>
          <w:tcPr>
            <w:tcW w:w="8522" w:type="dxa"/>
            <w:shd w:val="clear" w:color="auto" w:fill="F2F2F2" w:themeFill="background1" w:themeFillShade="F2"/>
          </w:tcPr>
          <w:p w:rsidR="00F13BD2" w:rsidRPr="00643A34" w:rsidRDefault="00F13BD2" w:rsidP="00F13BD2">
            <w:pPr>
              <w:jc w:val="center"/>
              <w:rPr>
                <w:b/>
              </w:rPr>
            </w:pPr>
            <w:r w:rsidRPr="00643A34">
              <w:rPr>
                <w:b/>
              </w:rPr>
              <w:t>Sagaidāmie rādītāji</w:t>
            </w:r>
          </w:p>
        </w:tc>
      </w:tr>
      <w:tr w:rsidR="00F13BD2" w:rsidRPr="00DB426E" w:rsidTr="007702F3">
        <w:tc>
          <w:tcPr>
            <w:tcW w:w="8522" w:type="dxa"/>
            <w:shd w:val="clear" w:color="auto" w:fill="FFFFFF" w:themeFill="background1"/>
          </w:tcPr>
          <w:p w:rsidR="00F13BD2" w:rsidRDefault="00F13BD2" w:rsidP="00F13BD2">
            <w:pPr>
              <w:pStyle w:val="ListParagraph"/>
              <w:numPr>
                <w:ilvl w:val="0"/>
                <w:numId w:val="76"/>
              </w:numPr>
              <w:suppressAutoHyphens w:val="0"/>
              <w:rPr>
                <w:lang w:val="lv-LV"/>
              </w:rPr>
            </w:pPr>
            <w:r>
              <w:rPr>
                <w:lang w:val="lv-LV"/>
              </w:rPr>
              <w:t>Rezultatīvie rādītāji:</w:t>
            </w:r>
          </w:p>
          <w:p w:rsidR="00F13BD2" w:rsidRDefault="00F13BD2" w:rsidP="00F13BD2">
            <w:pPr>
              <w:pStyle w:val="ListParagraph"/>
              <w:numPr>
                <w:ilvl w:val="1"/>
                <w:numId w:val="76"/>
              </w:numPr>
              <w:suppressAutoHyphens w:val="0"/>
              <w:rPr>
                <w:lang w:val="lv-LV"/>
              </w:rPr>
            </w:pPr>
            <w:r>
              <w:rPr>
                <w:lang w:val="lv-LV"/>
              </w:rPr>
              <w:t>ZP darbu finansējums (% no IKP): 1,5%.</w:t>
            </w:r>
          </w:p>
          <w:p w:rsidR="00F13BD2" w:rsidRDefault="00F13BD2" w:rsidP="00F13BD2">
            <w:pPr>
              <w:pStyle w:val="ListParagraph"/>
              <w:numPr>
                <w:ilvl w:val="1"/>
                <w:numId w:val="76"/>
              </w:numPr>
              <w:suppressAutoHyphens w:val="0"/>
              <w:rPr>
                <w:lang w:val="lv-LV"/>
              </w:rPr>
            </w:pPr>
            <w:r>
              <w:rPr>
                <w:lang w:val="lv-LV"/>
              </w:rPr>
              <w:t>ZP darbu finansējuma daļa no uzņēmumu pašu līdzekļiem (% no visiem izdevumiem): 50%.</w:t>
            </w:r>
          </w:p>
          <w:p w:rsidR="00F13BD2" w:rsidRDefault="00F13BD2" w:rsidP="00F13BD2">
            <w:pPr>
              <w:pStyle w:val="ListParagraph"/>
              <w:numPr>
                <w:ilvl w:val="0"/>
                <w:numId w:val="76"/>
              </w:numPr>
              <w:suppressAutoHyphens w:val="0"/>
              <w:rPr>
                <w:lang w:val="lv-LV"/>
              </w:rPr>
            </w:pPr>
            <w:r>
              <w:rPr>
                <w:lang w:val="lv-LV"/>
              </w:rPr>
              <w:t>Ietekmes rādītāji:</w:t>
            </w:r>
          </w:p>
          <w:p w:rsidR="00F13BD2" w:rsidRDefault="00F13BD2" w:rsidP="00F13BD2">
            <w:pPr>
              <w:pStyle w:val="ListParagraph"/>
              <w:numPr>
                <w:ilvl w:val="1"/>
                <w:numId w:val="76"/>
              </w:numPr>
              <w:suppressAutoHyphens w:val="0"/>
              <w:rPr>
                <w:lang w:val="lv-LV"/>
              </w:rPr>
            </w:pPr>
            <w:r>
              <w:rPr>
                <w:lang w:val="lv-LV"/>
              </w:rPr>
              <w:t xml:space="preserve">Inovāciju līmenis. Latvija no inovāciju sekotāja kļūst par mēreno </w:t>
            </w:r>
            <w:proofErr w:type="spellStart"/>
            <w:r>
              <w:rPr>
                <w:lang w:val="lv-LV"/>
              </w:rPr>
              <w:t>inovatoru</w:t>
            </w:r>
            <w:proofErr w:type="spellEnd"/>
            <w:r>
              <w:rPr>
                <w:lang w:val="lv-LV"/>
              </w:rPr>
              <w:t>.</w:t>
            </w:r>
          </w:p>
        </w:tc>
      </w:tr>
    </w:tbl>
    <w:p w:rsidR="00F13BD2" w:rsidRPr="00DB426E" w:rsidRDefault="00F13BD2" w:rsidP="00F13BD2"/>
    <w:p w:rsidR="00F13BD2" w:rsidRPr="00DB426E" w:rsidRDefault="00F13BD2" w:rsidP="00F13BD2">
      <w:pPr>
        <w:pStyle w:val="ListParagraph"/>
        <w:numPr>
          <w:ilvl w:val="0"/>
          <w:numId w:val="35"/>
        </w:numPr>
        <w:suppressAutoHyphens w:val="0"/>
        <w:rPr>
          <w:b/>
          <w:lang w:val="lv-LV"/>
        </w:rPr>
      </w:pPr>
      <w:proofErr w:type="spellStart"/>
      <w:r w:rsidRPr="00DB426E">
        <w:rPr>
          <w:b/>
          <w:lang w:val="lv-LV"/>
        </w:rPr>
        <w:t>Grantu</w:t>
      </w:r>
      <w:proofErr w:type="spellEnd"/>
      <w:r w:rsidRPr="00DB426E">
        <w:rPr>
          <w:b/>
          <w:lang w:val="lv-LV"/>
        </w:rPr>
        <w:t xml:space="preserve"> piešķiršanas sistēma Vācijā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F13BD2" w:rsidRPr="00DB426E" w:rsidTr="00F13BD2">
        <w:tc>
          <w:tcPr>
            <w:tcW w:w="8522" w:type="dxa"/>
            <w:shd w:val="clear" w:color="auto" w:fill="F2F2F2"/>
          </w:tcPr>
          <w:p w:rsidR="00F13BD2" w:rsidRPr="00DB426E" w:rsidRDefault="00F13BD2" w:rsidP="00F13BD2">
            <w:pPr>
              <w:jc w:val="center"/>
              <w:rPr>
                <w:b/>
              </w:rPr>
            </w:pPr>
            <w:r w:rsidRPr="00DB426E">
              <w:rPr>
                <w:b/>
              </w:rPr>
              <w:t>Priekšrocības</w:t>
            </w:r>
          </w:p>
        </w:tc>
      </w:tr>
      <w:tr w:rsidR="00F13BD2" w:rsidRPr="00DB426E" w:rsidTr="00F13BD2">
        <w:tc>
          <w:tcPr>
            <w:tcW w:w="8522" w:type="dxa"/>
          </w:tcPr>
          <w:p w:rsidR="00F13BD2" w:rsidRPr="00475128" w:rsidRDefault="00F13BD2" w:rsidP="00F13BD2">
            <w:pPr>
              <w:pStyle w:val="ListParagraph"/>
              <w:numPr>
                <w:ilvl w:val="0"/>
                <w:numId w:val="77"/>
              </w:numPr>
              <w:suppressAutoHyphens w:val="0"/>
              <w:rPr>
                <w:lang w:val="lv-LV"/>
              </w:rPr>
            </w:pPr>
            <w:r w:rsidRPr="00475128">
              <w:rPr>
                <w:lang w:val="lv-LV"/>
              </w:rPr>
              <w:t>Trīs līmeņu atbalsta pasākumu ieviešana, kas nodrošina kontroles mehānismu vienkāršošanu un atbildības sabalansēšanu;</w:t>
            </w:r>
          </w:p>
          <w:p w:rsidR="00F13BD2" w:rsidRPr="00475128" w:rsidRDefault="00F13BD2" w:rsidP="00F13BD2">
            <w:pPr>
              <w:pStyle w:val="ListParagraph"/>
              <w:numPr>
                <w:ilvl w:val="0"/>
                <w:numId w:val="77"/>
              </w:numPr>
              <w:suppressAutoHyphens w:val="0"/>
              <w:rPr>
                <w:lang w:val="lv-LV"/>
              </w:rPr>
            </w:pPr>
            <w:r w:rsidRPr="00475128">
              <w:rPr>
                <w:lang w:val="lv-LV"/>
              </w:rPr>
              <w:t>Pašvaldību iesaiste R&amp;D aktivitāšu veicināšanā, t.sk. pašvaldības problēmu risināšana un stratēģiskās attīstības veicināšana;</w:t>
            </w:r>
          </w:p>
          <w:p w:rsidR="00F13BD2" w:rsidRPr="00475128" w:rsidRDefault="00F13BD2" w:rsidP="00F13BD2">
            <w:pPr>
              <w:pStyle w:val="ListParagraph"/>
              <w:numPr>
                <w:ilvl w:val="0"/>
                <w:numId w:val="77"/>
              </w:numPr>
              <w:suppressAutoHyphens w:val="0"/>
              <w:rPr>
                <w:lang w:val="lv-LV"/>
              </w:rPr>
            </w:pPr>
            <w:r w:rsidRPr="00475128">
              <w:rPr>
                <w:lang w:val="lv-LV"/>
              </w:rPr>
              <w:t>Skaidri definētas valsts prioritātes R&amp;D jomā ne vien formālos dokumentos, bet arī reālos projektu konkursos, konkursu mērķu atbilstība ar nacionālajiem R&amp;D mērķiem;</w:t>
            </w:r>
          </w:p>
          <w:p w:rsidR="00F13BD2" w:rsidRPr="00475128" w:rsidRDefault="00F13BD2" w:rsidP="00F13BD2">
            <w:pPr>
              <w:pStyle w:val="ListParagraph"/>
              <w:numPr>
                <w:ilvl w:val="0"/>
                <w:numId w:val="77"/>
              </w:numPr>
              <w:suppressAutoHyphens w:val="0"/>
              <w:rPr>
                <w:lang w:val="lv-LV"/>
              </w:rPr>
            </w:pPr>
            <w:r w:rsidRPr="00475128">
              <w:rPr>
                <w:lang w:val="lv-LV"/>
              </w:rPr>
              <w:t>Sadarbības projektu veicināšana;</w:t>
            </w:r>
          </w:p>
          <w:p w:rsidR="00F13BD2" w:rsidRPr="00475128" w:rsidRDefault="00F13BD2" w:rsidP="00F13BD2">
            <w:pPr>
              <w:pStyle w:val="ListParagraph"/>
              <w:numPr>
                <w:ilvl w:val="0"/>
                <w:numId w:val="77"/>
              </w:numPr>
              <w:suppressAutoHyphens w:val="0"/>
              <w:rPr>
                <w:lang w:val="lv-LV"/>
              </w:rPr>
            </w:pPr>
            <w:r w:rsidRPr="00475128">
              <w:rPr>
                <w:lang w:val="lv-LV"/>
              </w:rPr>
              <w:t>Eiropas Komisijas programmu popularizēšana un maksimāla labuma gūšana no šīm programmām;</w:t>
            </w:r>
          </w:p>
          <w:p w:rsidR="00F13BD2" w:rsidRPr="00475128" w:rsidRDefault="00F13BD2" w:rsidP="00F13BD2">
            <w:pPr>
              <w:pStyle w:val="ListParagraph"/>
              <w:numPr>
                <w:ilvl w:val="0"/>
                <w:numId w:val="77"/>
              </w:numPr>
              <w:suppressAutoHyphens w:val="0"/>
              <w:rPr>
                <w:lang w:val="lv-LV"/>
              </w:rPr>
            </w:pPr>
            <w:r w:rsidRPr="00475128">
              <w:rPr>
                <w:lang w:val="lv-LV"/>
              </w:rPr>
              <w:t>Augsta pieteikšanās, vērtēšanas un atbalsta izsniegšanas procedūru caurskatāmības pakāpe un uzticības veicināšana;</w:t>
            </w:r>
          </w:p>
          <w:p w:rsidR="00F13BD2" w:rsidRPr="00475128" w:rsidRDefault="00F13BD2" w:rsidP="00F13BD2">
            <w:pPr>
              <w:pStyle w:val="ListParagraph"/>
              <w:numPr>
                <w:ilvl w:val="0"/>
                <w:numId w:val="77"/>
              </w:numPr>
              <w:suppressAutoHyphens w:val="0"/>
              <w:rPr>
                <w:lang w:val="lv-LV"/>
              </w:rPr>
            </w:pPr>
            <w:r w:rsidRPr="00475128">
              <w:rPr>
                <w:lang w:val="lv-LV"/>
              </w:rPr>
              <w:t>Pieteikšanās ir saprotama visiem atbalsta pretendentiem, administratīvā sloga mazināšana tiem pretendentiem, kas atbalstam piesakās vairākkārtīgi.</w:t>
            </w:r>
          </w:p>
        </w:tc>
      </w:tr>
      <w:tr w:rsidR="00F13BD2" w:rsidRPr="00DB426E" w:rsidTr="00F13BD2">
        <w:tc>
          <w:tcPr>
            <w:tcW w:w="8522" w:type="dxa"/>
            <w:shd w:val="clear" w:color="auto" w:fill="F2F2F2"/>
          </w:tcPr>
          <w:p w:rsidR="00F13BD2" w:rsidRPr="00DB426E" w:rsidRDefault="00F13BD2" w:rsidP="00F13BD2">
            <w:pPr>
              <w:jc w:val="center"/>
              <w:rPr>
                <w:b/>
              </w:rPr>
            </w:pPr>
            <w:r w:rsidRPr="00DB426E">
              <w:rPr>
                <w:b/>
              </w:rPr>
              <w:t>Trūkumi</w:t>
            </w:r>
          </w:p>
        </w:tc>
      </w:tr>
      <w:tr w:rsidR="00F13BD2" w:rsidRPr="00DB426E" w:rsidTr="00F13BD2">
        <w:tc>
          <w:tcPr>
            <w:tcW w:w="8522" w:type="dxa"/>
          </w:tcPr>
          <w:p w:rsidR="00F13BD2" w:rsidRPr="00475128" w:rsidRDefault="00F13BD2" w:rsidP="00F13BD2">
            <w:pPr>
              <w:pStyle w:val="ListParagraph"/>
              <w:numPr>
                <w:ilvl w:val="0"/>
                <w:numId w:val="78"/>
              </w:numPr>
              <w:suppressAutoHyphens w:val="0"/>
              <w:rPr>
                <w:lang w:val="lv-LV"/>
              </w:rPr>
            </w:pPr>
            <w:r w:rsidRPr="00475128">
              <w:rPr>
                <w:lang w:val="lv-LV"/>
              </w:rPr>
              <w:t>Pašlaik valstī nav skaidri definēti R&amp;D stratēģiskie attīstības mērķi, prioritārās nozares;</w:t>
            </w:r>
          </w:p>
          <w:p w:rsidR="00F13BD2" w:rsidRPr="00475128" w:rsidRDefault="00F13BD2" w:rsidP="00F13BD2">
            <w:pPr>
              <w:pStyle w:val="ListParagraph"/>
              <w:numPr>
                <w:ilvl w:val="0"/>
                <w:numId w:val="78"/>
              </w:numPr>
              <w:suppressAutoHyphens w:val="0"/>
              <w:rPr>
                <w:lang w:val="lv-LV"/>
              </w:rPr>
            </w:pPr>
            <w:r w:rsidRPr="00475128">
              <w:rPr>
                <w:lang w:val="lv-LV"/>
              </w:rPr>
              <w:t>Latvijas nacionālā attīstības plāna aktuālā versija neparedz būtisku ieguldījumu inovāciju attīstībā un neidentificē īpaši atbalstāmās nozares.</w:t>
            </w:r>
          </w:p>
        </w:tc>
      </w:tr>
      <w:tr w:rsidR="00F13BD2" w:rsidRPr="00DB426E" w:rsidTr="00F13BD2">
        <w:tc>
          <w:tcPr>
            <w:tcW w:w="8522" w:type="dxa"/>
            <w:shd w:val="clear" w:color="auto" w:fill="F2F2F2"/>
          </w:tcPr>
          <w:p w:rsidR="00F13BD2" w:rsidRPr="00DB426E" w:rsidRDefault="00F13BD2" w:rsidP="00F13BD2">
            <w:pPr>
              <w:jc w:val="center"/>
              <w:rPr>
                <w:b/>
              </w:rPr>
            </w:pPr>
            <w:r w:rsidRPr="00DB426E">
              <w:rPr>
                <w:b/>
              </w:rPr>
              <w:t>Ieviešanas nosacījumi Latvijā</w:t>
            </w:r>
          </w:p>
        </w:tc>
      </w:tr>
      <w:tr w:rsidR="00F13BD2" w:rsidRPr="00DB426E" w:rsidTr="00F13BD2">
        <w:tc>
          <w:tcPr>
            <w:tcW w:w="8522" w:type="dxa"/>
          </w:tcPr>
          <w:p w:rsidR="00F13BD2" w:rsidRPr="00475128" w:rsidRDefault="00F13BD2" w:rsidP="00F13BD2">
            <w:pPr>
              <w:pStyle w:val="ListParagraph"/>
              <w:numPr>
                <w:ilvl w:val="0"/>
                <w:numId w:val="79"/>
              </w:numPr>
              <w:suppressAutoHyphens w:val="0"/>
              <w:rPr>
                <w:lang w:val="lv-LV"/>
              </w:rPr>
            </w:pPr>
            <w:r w:rsidRPr="00475128">
              <w:rPr>
                <w:lang w:val="lv-LV"/>
              </w:rPr>
              <w:t>R&amp;D attīstības un atbalsta sniegšanas stratēģijas izstrāde un tās savietošana ar valsts finanšu atbalsta instrumentiem;</w:t>
            </w:r>
          </w:p>
          <w:p w:rsidR="00F13BD2" w:rsidRPr="00475128" w:rsidRDefault="00F13BD2" w:rsidP="00F13BD2">
            <w:pPr>
              <w:pStyle w:val="ListParagraph"/>
              <w:numPr>
                <w:ilvl w:val="0"/>
                <w:numId w:val="79"/>
              </w:numPr>
              <w:suppressAutoHyphens w:val="0"/>
              <w:rPr>
                <w:lang w:val="lv-LV"/>
              </w:rPr>
            </w:pPr>
            <w:r w:rsidRPr="00475128">
              <w:rPr>
                <w:lang w:val="lv-LV"/>
              </w:rPr>
              <w:t>Inovāciju virzienu skaidra definēšana, detalizētu plānoto rezultatīvo un ietekmes rādītāju definēšana;</w:t>
            </w:r>
          </w:p>
          <w:p w:rsidR="00F13BD2" w:rsidRPr="007702F3" w:rsidRDefault="00F13BD2" w:rsidP="007702F3">
            <w:pPr>
              <w:pStyle w:val="ListParagraph"/>
              <w:numPr>
                <w:ilvl w:val="0"/>
                <w:numId w:val="79"/>
              </w:numPr>
              <w:shd w:val="clear" w:color="auto" w:fill="FFFFFF" w:themeFill="background1"/>
              <w:suppressAutoHyphens w:val="0"/>
              <w:rPr>
                <w:lang w:val="lv-LV"/>
              </w:rPr>
            </w:pPr>
            <w:r w:rsidRPr="007702F3">
              <w:rPr>
                <w:lang w:val="lv-LV"/>
              </w:rPr>
              <w:t>Sagatavošanās pašvaldību iesaistei R&amp;D ieguldījumu sekmēšanai, t. sk. pašvaldību vajadzību, problēmu un pieejamo resursu apzināšana;</w:t>
            </w:r>
          </w:p>
          <w:p w:rsidR="00F13BD2" w:rsidRPr="00475128" w:rsidRDefault="00F13BD2" w:rsidP="007702F3">
            <w:pPr>
              <w:pStyle w:val="ListParagraph"/>
              <w:numPr>
                <w:ilvl w:val="0"/>
                <w:numId w:val="79"/>
              </w:numPr>
              <w:shd w:val="clear" w:color="auto" w:fill="FFFFFF" w:themeFill="background1"/>
              <w:suppressAutoHyphens w:val="0"/>
              <w:rPr>
                <w:lang w:val="lv-LV"/>
              </w:rPr>
            </w:pPr>
            <w:r w:rsidRPr="007702F3">
              <w:rPr>
                <w:shd w:val="clear" w:color="auto" w:fill="FFFFFF" w:themeFill="background1"/>
                <w:lang w:val="lv-LV"/>
              </w:rPr>
              <w:t xml:space="preserve">Stratēģijas izstrāde </w:t>
            </w:r>
            <w:proofErr w:type="spellStart"/>
            <w:r w:rsidRPr="007702F3">
              <w:rPr>
                <w:shd w:val="clear" w:color="auto" w:fill="FFFFFF" w:themeFill="background1"/>
                <w:lang w:val="lv-LV"/>
              </w:rPr>
              <w:t>grantu</w:t>
            </w:r>
            <w:proofErr w:type="spellEnd"/>
            <w:r w:rsidRPr="007702F3">
              <w:rPr>
                <w:shd w:val="clear" w:color="auto" w:fill="FFFFFF" w:themeFill="background1"/>
                <w:lang w:val="lv-LV"/>
              </w:rPr>
              <w:t xml:space="preserve"> piešķiršanai R&amp;D atbalstam veiksmīgai kombinēšanai ar citiem atbalsta instrumentiem visos līmeņos, t. sk. ar nodokļu atvieglojumiem un atbilstības nodrošināšanai ar valstī noteiktajiem prioritārajiem zinātnes virzieniem un nozarēm. </w:t>
            </w:r>
          </w:p>
        </w:tc>
      </w:tr>
      <w:tr w:rsidR="00F13BD2" w:rsidRPr="00DB426E" w:rsidTr="00F13BD2">
        <w:tc>
          <w:tcPr>
            <w:tcW w:w="8522" w:type="dxa"/>
            <w:shd w:val="clear" w:color="auto" w:fill="F2F2F2"/>
          </w:tcPr>
          <w:p w:rsidR="00F13BD2" w:rsidRPr="00DB426E" w:rsidRDefault="00F13BD2" w:rsidP="00F13BD2">
            <w:pPr>
              <w:jc w:val="center"/>
              <w:rPr>
                <w:b/>
              </w:rPr>
            </w:pPr>
            <w:r w:rsidRPr="00DB426E">
              <w:rPr>
                <w:b/>
              </w:rPr>
              <w:t>Ieguvumi</w:t>
            </w:r>
          </w:p>
        </w:tc>
      </w:tr>
      <w:tr w:rsidR="00F13BD2" w:rsidRPr="00DB426E" w:rsidTr="007702F3">
        <w:tc>
          <w:tcPr>
            <w:tcW w:w="8522" w:type="dxa"/>
            <w:tcBorders>
              <w:bottom w:val="single" w:sz="4" w:space="0" w:color="auto"/>
            </w:tcBorders>
          </w:tcPr>
          <w:p w:rsidR="00F13BD2" w:rsidRPr="00475128" w:rsidRDefault="00F13BD2" w:rsidP="00F13BD2">
            <w:pPr>
              <w:pStyle w:val="ListParagraph"/>
              <w:numPr>
                <w:ilvl w:val="0"/>
                <w:numId w:val="80"/>
              </w:numPr>
              <w:suppressAutoHyphens w:val="0"/>
              <w:rPr>
                <w:lang w:val="lv-LV"/>
              </w:rPr>
            </w:pPr>
            <w:r w:rsidRPr="00475128">
              <w:rPr>
                <w:lang w:val="lv-LV"/>
              </w:rPr>
              <w:t>Veicināta sacensība pašvaldību starpā;</w:t>
            </w:r>
          </w:p>
          <w:p w:rsidR="00F13BD2" w:rsidRPr="00475128" w:rsidRDefault="00F13BD2" w:rsidP="00F13BD2">
            <w:pPr>
              <w:pStyle w:val="ListParagraph"/>
              <w:numPr>
                <w:ilvl w:val="0"/>
                <w:numId w:val="80"/>
              </w:numPr>
              <w:suppressAutoHyphens w:val="0"/>
              <w:rPr>
                <w:lang w:val="lv-LV"/>
              </w:rPr>
            </w:pPr>
            <w:r w:rsidRPr="00475128">
              <w:rPr>
                <w:lang w:val="lv-LV"/>
              </w:rPr>
              <w:t>Pašvaldību problēmu atrisināšanās;</w:t>
            </w:r>
          </w:p>
          <w:p w:rsidR="00F13BD2" w:rsidRPr="00475128" w:rsidRDefault="00F13BD2" w:rsidP="00F13BD2">
            <w:pPr>
              <w:pStyle w:val="ListParagraph"/>
              <w:numPr>
                <w:ilvl w:val="0"/>
                <w:numId w:val="80"/>
              </w:numPr>
              <w:suppressAutoHyphens w:val="0"/>
              <w:rPr>
                <w:lang w:val="lv-LV"/>
              </w:rPr>
            </w:pPr>
            <w:r w:rsidRPr="00475128">
              <w:rPr>
                <w:lang w:val="lv-LV"/>
              </w:rPr>
              <w:t>Pašvaldību stratēģiskā attīstība un specializēšanās;</w:t>
            </w:r>
          </w:p>
          <w:p w:rsidR="00F13BD2" w:rsidRPr="00475128" w:rsidRDefault="00F13BD2" w:rsidP="00F13BD2">
            <w:pPr>
              <w:pStyle w:val="ListParagraph"/>
              <w:numPr>
                <w:ilvl w:val="0"/>
                <w:numId w:val="80"/>
              </w:numPr>
              <w:suppressAutoHyphens w:val="0"/>
              <w:rPr>
                <w:lang w:val="lv-LV"/>
              </w:rPr>
            </w:pPr>
            <w:r w:rsidRPr="00475128">
              <w:rPr>
                <w:lang w:val="lv-LV"/>
              </w:rPr>
              <w:t>Lielāks privāto investīciju ieguldījums R&amp;D;</w:t>
            </w:r>
          </w:p>
          <w:p w:rsidR="00F13BD2" w:rsidRPr="00475128" w:rsidRDefault="00F13BD2" w:rsidP="00F13BD2">
            <w:pPr>
              <w:pStyle w:val="ListParagraph"/>
              <w:numPr>
                <w:ilvl w:val="0"/>
                <w:numId w:val="80"/>
              </w:numPr>
              <w:suppressAutoHyphens w:val="0"/>
              <w:rPr>
                <w:lang w:val="lv-LV"/>
              </w:rPr>
            </w:pPr>
            <w:r w:rsidRPr="00475128">
              <w:rPr>
                <w:lang w:val="lv-LV"/>
              </w:rPr>
              <w:t>Lielāks uzņēmumu skaits, kas iegulda R&amp;D;</w:t>
            </w:r>
          </w:p>
          <w:p w:rsidR="00F13BD2" w:rsidRPr="00475128" w:rsidRDefault="00F13BD2" w:rsidP="00F13BD2">
            <w:pPr>
              <w:pStyle w:val="ListParagraph"/>
              <w:numPr>
                <w:ilvl w:val="0"/>
                <w:numId w:val="80"/>
              </w:numPr>
              <w:suppressAutoHyphens w:val="0"/>
              <w:rPr>
                <w:lang w:val="lv-LV"/>
              </w:rPr>
            </w:pPr>
            <w:r w:rsidRPr="00475128">
              <w:rPr>
                <w:lang w:val="lv-LV"/>
              </w:rPr>
              <w:t>R&amp;D ieguldījumu veicināšana valstī prioritārajās nozarēs.</w:t>
            </w:r>
          </w:p>
        </w:tc>
      </w:tr>
      <w:tr w:rsidR="00F13BD2" w:rsidRPr="00440D4A" w:rsidTr="007702F3">
        <w:tc>
          <w:tcPr>
            <w:tcW w:w="85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13BD2" w:rsidRPr="005E2896" w:rsidRDefault="00F13BD2" w:rsidP="00F13BD2">
            <w:pPr>
              <w:jc w:val="center"/>
              <w:rPr>
                <w:b/>
              </w:rPr>
            </w:pPr>
            <w:r w:rsidRPr="005E2896">
              <w:rPr>
                <w:b/>
              </w:rPr>
              <w:t>Mērķauditorija</w:t>
            </w:r>
          </w:p>
        </w:tc>
      </w:tr>
      <w:tr w:rsidR="00F13BD2" w:rsidRPr="00DB426E" w:rsidTr="007702F3">
        <w:tc>
          <w:tcPr>
            <w:tcW w:w="8522" w:type="dxa"/>
            <w:tcBorders>
              <w:top w:val="single" w:sz="4" w:space="0" w:color="auto"/>
              <w:left w:val="single" w:sz="4" w:space="0" w:color="auto"/>
              <w:bottom w:val="single" w:sz="4" w:space="0" w:color="auto"/>
              <w:right w:val="single" w:sz="4" w:space="0" w:color="auto"/>
            </w:tcBorders>
            <w:shd w:val="clear" w:color="auto" w:fill="FFFFFF" w:themeFill="background1"/>
          </w:tcPr>
          <w:p w:rsidR="00F13BD2" w:rsidRPr="00475128" w:rsidRDefault="00F13BD2" w:rsidP="00F13BD2">
            <w:pPr>
              <w:pStyle w:val="ListParagraph"/>
              <w:numPr>
                <w:ilvl w:val="0"/>
                <w:numId w:val="76"/>
              </w:numPr>
              <w:suppressAutoHyphens w:val="0"/>
              <w:rPr>
                <w:lang w:val="lv-LV"/>
              </w:rPr>
            </w:pPr>
            <w:r>
              <w:rPr>
                <w:lang w:val="lv-LV"/>
              </w:rPr>
              <w:t>Visi LR reģistrētie komersanti, kuri nākotnē plāno veikt ieguldījumus R&amp;D, un kuru darbības nozare vai projekta īstenošanas nozare atbilst valstī definētajiem prioritārajiem zinātnes virzieniem un prioritāri atbalstāmajām nozarēm (piemēram, saskaņā ar NAP).</w:t>
            </w:r>
          </w:p>
        </w:tc>
      </w:tr>
      <w:tr w:rsidR="00F13BD2" w:rsidRPr="00643A34" w:rsidTr="007702F3">
        <w:tc>
          <w:tcPr>
            <w:tcW w:w="85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13BD2" w:rsidRPr="00C94E89" w:rsidRDefault="00F13BD2" w:rsidP="00F13BD2">
            <w:pPr>
              <w:jc w:val="center"/>
              <w:rPr>
                <w:b/>
              </w:rPr>
            </w:pPr>
            <w:r w:rsidRPr="00C94E89">
              <w:rPr>
                <w:b/>
              </w:rPr>
              <w:t>Sagaidāmie rādītāji</w:t>
            </w:r>
          </w:p>
        </w:tc>
      </w:tr>
      <w:tr w:rsidR="00F13BD2" w:rsidRPr="00DB426E" w:rsidTr="007702F3">
        <w:tc>
          <w:tcPr>
            <w:tcW w:w="8522" w:type="dxa"/>
            <w:tcBorders>
              <w:top w:val="single" w:sz="4" w:space="0" w:color="auto"/>
              <w:left w:val="single" w:sz="4" w:space="0" w:color="auto"/>
              <w:bottom w:val="single" w:sz="4" w:space="0" w:color="auto"/>
              <w:right w:val="single" w:sz="4" w:space="0" w:color="auto"/>
            </w:tcBorders>
            <w:shd w:val="clear" w:color="auto" w:fill="FFFFFF" w:themeFill="background1"/>
          </w:tcPr>
          <w:p w:rsidR="00F13BD2" w:rsidRDefault="00F13BD2" w:rsidP="00F13BD2">
            <w:pPr>
              <w:pStyle w:val="ListParagraph"/>
              <w:numPr>
                <w:ilvl w:val="0"/>
                <w:numId w:val="76"/>
              </w:numPr>
              <w:suppressAutoHyphens w:val="0"/>
              <w:rPr>
                <w:lang w:val="lv-LV"/>
              </w:rPr>
            </w:pPr>
            <w:r>
              <w:rPr>
                <w:lang w:val="lv-LV"/>
              </w:rPr>
              <w:t>Rezultatīvie rādītāji:</w:t>
            </w:r>
          </w:p>
          <w:p w:rsidR="00F13BD2" w:rsidRDefault="00F13BD2" w:rsidP="00F13BD2">
            <w:pPr>
              <w:pStyle w:val="ListParagraph"/>
              <w:numPr>
                <w:ilvl w:val="1"/>
                <w:numId w:val="76"/>
              </w:numPr>
              <w:suppressAutoHyphens w:val="0"/>
              <w:rPr>
                <w:lang w:val="lv-LV"/>
              </w:rPr>
            </w:pPr>
            <w:r>
              <w:rPr>
                <w:lang w:val="lv-LV"/>
              </w:rPr>
              <w:t>ZP darbu finansējums (% no IKP): 1,5%.</w:t>
            </w:r>
          </w:p>
          <w:p w:rsidR="00F13BD2" w:rsidRDefault="00F13BD2" w:rsidP="00F13BD2">
            <w:pPr>
              <w:pStyle w:val="ListParagraph"/>
              <w:numPr>
                <w:ilvl w:val="1"/>
                <w:numId w:val="76"/>
              </w:numPr>
              <w:suppressAutoHyphens w:val="0"/>
              <w:rPr>
                <w:lang w:val="lv-LV"/>
              </w:rPr>
            </w:pPr>
            <w:r>
              <w:rPr>
                <w:lang w:val="lv-LV"/>
              </w:rPr>
              <w:t>ZP darbu finansējuma daļa no uzņēmumu pašu līdzekļiem (% no visiem izdevumiem): 50%.</w:t>
            </w:r>
          </w:p>
          <w:p w:rsidR="00F13BD2" w:rsidRDefault="00F13BD2" w:rsidP="00F13BD2">
            <w:pPr>
              <w:pStyle w:val="ListParagraph"/>
              <w:numPr>
                <w:ilvl w:val="0"/>
                <w:numId w:val="76"/>
              </w:numPr>
              <w:suppressAutoHyphens w:val="0"/>
              <w:rPr>
                <w:lang w:val="lv-LV"/>
              </w:rPr>
            </w:pPr>
            <w:r>
              <w:rPr>
                <w:lang w:val="lv-LV"/>
              </w:rPr>
              <w:t>Ietekmes rādītāji:</w:t>
            </w:r>
          </w:p>
          <w:p w:rsidR="00F13BD2" w:rsidRDefault="00F13BD2" w:rsidP="00F13BD2">
            <w:pPr>
              <w:pStyle w:val="ListParagraph"/>
              <w:numPr>
                <w:ilvl w:val="1"/>
                <w:numId w:val="76"/>
              </w:numPr>
              <w:suppressAutoHyphens w:val="0"/>
              <w:rPr>
                <w:lang w:val="lv-LV"/>
              </w:rPr>
            </w:pPr>
            <w:r>
              <w:rPr>
                <w:lang w:val="lv-LV"/>
              </w:rPr>
              <w:t xml:space="preserve">Inovāciju līmenis. Latvija no inovāciju sekotāja kļūst par mēreno </w:t>
            </w:r>
            <w:proofErr w:type="spellStart"/>
            <w:r>
              <w:rPr>
                <w:lang w:val="lv-LV"/>
              </w:rPr>
              <w:t>inovatoru</w:t>
            </w:r>
            <w:proofErr w:type="spellEnd"/>
            <w:r>
              <w:rPr>
                <w:lang w:val="lv-LV"/>
              </w:rPr>
              <w:t>.</w:t>
            </w:r>
          </w:p>
        </w:tc>
      </w:tr>
    </w:tbl>
    <w:p w:rsidR="00F13BD2" w:rsidRPr="00DB426E" w:rsidRDefault="00F13BD2" w:rsidP="00F13BD2"/>
    <w:p w:rsidR="00F13BD2" w:rsidRPr="00DB426E" w:rsidRDefault="00F13BD2" w:rsidP="00F13BD2">
      <w:pPr>
        <w:pStyle w:val="ListParagraph"/>
        <w:numPr>
          <w:ilvl w:val="0"/>
          <w:numId w:val="35"/>
        </w:numPr>
        <w:suppressAutoHyphens w:val="0"/>
        <w:rPr>
          <w:b/>
          <w:lang w:val="lv-LV"/>
        </w:rPr>
      </w:pPr>
      <w:r w:rsidRPr="00DB426E">
        <w:rPr>
          <w:b/>
          <w:lang w:val="lv-LV"/>
        </w:rPr>
        <w:t>Atbalsta intensitātes fiksēšana atkarībā no uzņēmuma lieluma un administratīvi teritoriālās vienības Grieķijā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522"/>
      </w:tblGrid>
      <w:tr w:rsidR="00F13BD2" w:rsidRPr="00DB426E" w:rsidTr="007702F3">
        <w:tc>
          <w:tcPr>
            <w:tcW w:w="8522" w:type="dxa"/>
            <w:shd w:val="clear" w:color="auto" w:fill="F2F2F2" w:themeFill="background1" w:themeFillShade="F2"/>
          </w:tcPr>
          <w:p w:rsidR="00F13BD2" w:rsidRPr="00DB426E" w:rsidRDefault="00F13BD2" w:rsidP="00F13BD2">
            <w:pPr>
              <w:jc w:val="center"/>
              <w:rPr>
                <w:b/>
              </w:rPr>
            </w:pPr>
            <w:r w:rsidRPr="00DB426E">
              <w:rPr>
                <w:b/>
              </w:rPr>
              <w:t>Priekšrocības</w:t>
            </w:r>
          </w:p>
        </w:tc>
      </w:tr>
      <w:tr w:rsidR="00F13BD2" w:rsidRPr="00DB426E" w:rsidTr="007702F3">
        <w:tc>
          <w:tcPr>
            <w:tcW w:w="8522" w:type="dxa"/>
            <w:shd w:val="clear" w:color="auto" w:fill="FFFFFF" w:themeFill="background1"/>
          </w:tcPr>
          <w:p w:rsidR="00F13BD2" w:rsidRPr="00475128" w:rsidRDefault="00F13BD2" w:rsidP="00F13BD2">
            <w:pPr>
              <w:pStyle w:val="ListParagraph"/>
              <w:numPr>
                <w:ilvl w:val="0"/>
                <w:numId w:val="81"/>
              </w:numPr>
              <w:suppressAutoHyphens w:val="0"/>
              <w:rPr>
                <w:lang w:val="lv-LV"/>
              </w:rPr>
            </w:pPr>
            <w:r w:rsidRPr="00475128">
              <w:rPr>
                <w:lang w:val="lv-LV"/>
              </w:rPr>
              <w:t>Teritoriju vienmērīga attīstība;</w:t>
            </w:r>
          </w:p>
          <w:p w:rsidR="00F13BD2" w:rsidRPr="00475128" w:rsidRDefault="00F13BD2" w:rsidP="00F13BD2">
            <w:pPr>
              <w:pStyle w:val="ListParagraph"/>
              <w:numPr>
                <w:ilvl w:val="0"/>
                <w:numId w:val="81"/>
              </w:numPr>
              <w:suppressAutoHyphens w:val="0"/>
              <w:rPr>
                <w:lang w:val="lv-LV"/>
              </w:rPr>
            </w:pPr>
            <w:r w:rsidRPr="00475128">
              <w:rPr>
                <w:lang w:val="lv-LV"/>
              </w:rPr>
              <w:t>Atbalsta sniegšana MVU;</w:t>
            </w:r>
          </w:p>
          <w:p w:rsidR="00F13BD2" w:rsidRPr="00475128" w:rsidRDefault="00F13BD2" w:rsidP="00F13BD2">
            <w:pPr>
              <w:pStyle w:val="ListParagraph"/>
              <w:numPr>
                <w:ilvl w:val="0"/>
                <w:numId w:val="81"/>
              </w:numPr>
              <w:suppressAutoHyphens w:val="0"/>
              <w:rPr>
                <w:lang w:val="lv-LV"/>
              </w:rPr>
            </w:pPr>
            <w:r w:rsidRPr="00475128">
              <w:rPr>
                <w:lang w:val="lv-LV"/>
              </w:rPr>
              <w:t>Jaunu industriālo parku, klasteru, biznesa inkubatoru, kompetences centu u. c. organizāciju izveide;</w:t>
            </w:r>
          </w:p>
          <w:p w:rsidR="00F13BD2" w:rsidRPr="00475128" w:rsidRDefault="00F13BD2" w:rsidP="00F13BD2">
            <w:pPr>
              <w:pStyle w:val="ListParagraph"/>
              <w:numPr>
                <w:ilvl w:val="0"/>
                <w:numId w:val="81"/>
              </w:numPr>
              <w:suppressAutoHyphens w:val="0"/>
              <w:rPr>
                <w:lang w:val="lv-LV"/>
              </w:rPr>
            </w:pPr>
            <w:r w:rsidRPr="00475128">
              <w:rPr>
                <w:lang w:val="lv-LV"/>
              </w:rPr>
              <w:t>Iespējama pašvaldību specializēšanās;</w:t>
            </w:r>
          </w:p>
          <w:p w:rsidR="00F13BD2" w:rsidRPr="00475128" w:rsidRDefault="00F13BD2" w:rsidP="00F13BD2">
            <w:pPr>
              <w:pStyle w:val="ListParagraph"/>
              <w:numPr>
                <w:ilvl w:val="0"/>
                <w:numId w:val="81"/>
              </w:numPr>
              <w:suppressAutoHyphens w:val="0"/>
              <w:rPr>
                <w:lang w:val="lv-LV"/>
              </w:rPr>
            </w:pPr>
            <w:r w:rsidRPr="00475128">
              <w:rPr>
                <w:lang w:val="lv-LV"/>
              </w:rPr>
              <w:t>Vienkāršāka pašvaldību iesaiste R&amp;D aktivitāšu veicināšanā;</w:t>
            </w:r>
          </w:p>
          <w:p w:rsidR="00F13BD2" w:rsidRPr="00475128" w:rsidRDefault="00F13BD2" w:rsidP="00F13BD2">
            <w:pPr>
              <w:pStyle w:val="ListParagraph"/>
              <w:numPr>
                <w:ilvl w:val="0"/>
                <w:numId w:val="81"/>
              </w:numPr>
              <w:suppressAutoHyphens w:val="0"/>
              <w:rPr>
                <w:lang w:val="lv-LV"/>
              </w:rPr>
            </w:pPr>
            <w:r w:rsidRPr="00475128">
              <w:rPr>
                <w:lang w:val="lv-LV"/>
              </w:rPr>
              <w:t>Skaidri definēta atbalsta intensitāte, tās paredzamība, kas atvieglo biznesa plānošanu un pieteikšanos projektu konkursos;</w:t>
            </w:r>
          </w:p>
          <w:p w:rsidR="00F13BD2" w:rsidRPr="00475128" w:rsidRDefault="00F13BD2" w:rsidP="00F13BD2">
            <w:pPr>
              <w:pStyle w:val="ListParagraph"/>
              <w:numPr>
                <w:ilvl w:val="0"/>
                <w:numId w:val="81"/>
              </w:numPr>
              <w:suppressAutoHyphens w:val="0"/>
              <w:rPr>
                <w:lang w:val="lv-LV"/>
              </w:rPr>
            </w:pPr>
            <w:r w:rsidRPr="00475128">
              <w:rPr>
                <w:lang w:val="lv-LV"/>
              </w:rPr>
              <w:t>Reģionālo zinātnisko institūciju lielāka iesaiste R&amp;D aktivitātēs;</w:t>
            </w:r>
          </w:p>
          <w:p w:rsidR="00F13BD2" w:rsidRPr="00475128" w:rsidRDefault="00F13BD2" w:rsidP="00F13BD2">
            <w:pPr>
              <w:pStyle w:val="ListParagraph"/>
              <w:numPr>
                <w:ilvl w:val="0"/>
                <w:numId w:val="81"/>
              </w:numPr>
              <w:suppressAutoHyphens w:val="0"/>
              <w:rPr>
                <w:lang w:val="lv-LV"/>
              </w:rPr>
            </w:pPr>
            <w:r w:rsidRPr="00475128">
              <w:rPr>
                <w:lang w:val="lv-LV"/>
              </w:rPr>
              <w:t>Tehnoloģiju pārneses veicināšana reģionos.</w:t>
            </w:r>
          </w:p>
        </w:tc>
      </w:tr>
      <w:tr w:rsidR="00F13BD2" w:rsidRPr="00DB426E" w:rsidTr="007702F3">
        <w:tc>
          <w:tcPr>
            <w:tcW w:w="8522" w:type="dxa"/>
            <w:shd w:val="clear" w:color="auto" w:fill="F2F2F2" w:themeFill="background1" w:themeFillShade="F2"/>
          </w:tcPr>
          <w:p w:rsidR="00F13BD2" w:rsidRPr="00DB426E" w:rsidRDefault="00F13BD2" w:rsidP="00F13BD2">
            <w:pPr>
              <w:jc w:val="center"/>
              <w:rPr>
                <w:b/>
              </w:rPr>
            </w:pPr>
            <w:r w:rsidRPr="00DB426E">
              <w:rPr>
                <w:b/>
              </w:rPr>
              <w:t>Trūkumi</w:t>
            </w:r>
          </w:p>
        </w:tc>
      </w:tr>
      <w:tr w:rsidR="00F13BD2" w:rsidRPr="00DB426E" w:rsidTr="007702F3">
        <w:tc>
          <w:tcPr>
            <w:tcW w:w="8522" w:type="dxa"/>
            <w:shd w:val="clear" w:color="auto" w:fill="FFFFFF" w:themeFill="background1"/>
          </w:tcPr>
          <w:p w:rsidR="00F13BD2" w:rsidRPr="00475128" w:rsidRDefault="00F13BD2" w:rsidP="00F13BD2">
            <w:pPr>
              <w:pStyle w:val="ListParagraph"/>
              <w:numPr>
                <w:ilvl w:val="0"/>
                <w:numId w:val="82"/>
              </w:numPr>
              <w:suppressAutoHyphens w:val="0"/>
              <w:rPr>
                <w:lang w:val="lv-LV"/>
              </w:rPr>
            </w:pPr>
            <w:r w:rsidRPr="00475128">
              <w:rPr>
                <w:lang w:val="lv-LV"/>
              </w:rPr>
              <w:t>Nepieciešamība periodiski veikt statistisko analīzi un mainīt atbalsta intensitāti atkarībā no teritorijas;</w:t>
            </w:r>
          </w:p>
          <w:p w:rsidR="00F13BD2" w:rsidRPr="00475128" w:rsidRDefault="00F13BD2" w:rsidP="00F13BD2">
            <w:pPr>
              <w:pStyle w:val="ListParagraph"/>
              <w:numPr>
                <w:ilvl w:val="0"/>
                <w:numId w:val="82"/>
              </w:numPr>
              <w:suppressAutoHyphens w:val="0"/>
              <w:rPr>
                <w:lang w:val="lv-LV"/>
              </w:rPr>
            </w:pPr>
            <w:r w:rsidRPr="00475128">
              <w:rPr>
                <w:lang w:val="lv-LV"/>
              </w:rPr>
              <w:t>Brīvās konkurences ierobežošanas risks nekorektu aprēķinu un atbalsta intensitātes apstiprināšanas gadījumā vai nesavlaicīgu teritorijas atbalsta intensitātes maiņas dēļ;</w:t>
            </w:r>
          </w:p>
          <w:p w:rsidR="00F13BD2" w:rsidRPr="00475128" w:rsidRDefault="00F13BD2" w:rsidP="00F13BD2">
            <w:pPr>
              <w:pStyle w:val="ListParagraph"/>
              <w:numPr>
                <w:ilvl w:val="0"/>
                <w:numId w:val="82"/>
              </w:numPr>
              <w:suppressAutoHyphens w:val="0"/>
              <w:rPr>
                <w:lang w:val="lv-LV"/>
              </w:rPr>
            </w:pPr>
            <w:r w:rsidRPr="00475128">
              <w:rPr>
                <w:lang w:val="lv-LV"/>
              </w:rPr>
              <w:t>Iespējama esošo industriālo parku, klasteru un kompetences centru turpmākās attīstības ierobežošana.</w:t>
            </w:r>
          </w:p>
        </w:tc>
      </w:tr>
      <w:tr w:rsidR="00F13BD2" w:rsidRPr="00DB426E" w:rsidTr="007702F3">
        <w:tc>
          <w:tcPr>
            <w:tcW w:w="8522" w:type="dxa"/>
            <w:shd w:val="clear" w:color="auto" w:fill="F2F2F2" w:themeFill="background1" w:themeFillShade="F2"/>
          </w:tcPr>
          <w:p w:rsidR="00F13BD2" w:rsidRPr="00DB426E" w:rsidRDefault="00F13BD2" w:rsidP="00F13BD2">
            <w:pPr>
              <w:jc w:val="center"/>
              <w:rPr>
                <w:b/>
              </w:rPr>
            </w:pPr>
            <w:r w:rsidRPr="00DB426E">
              <w:rPr>
                <w:b/>
              </w:rPr>
              <w:t>Ieviešanas nosacījumi Latvijā</w:t>
            </w:r>
          </w:p>
        </w:tc>
      </w:tr>
      <w:tr w:rsidR="00F13BD2" w:rsidRPr="00DB426E" w:rsidTr="00930BC8">
        <w:tc>
          <w:tcPr>
            <w:tcW w:w="8522" w:type="dxa"/>
            <w:tcBorders>
              <w:bottom w:val="single" w:sz="4" w:space="0" w:color="auto"/>
            </w:tcBorders>
            <w:shd w:val="clear" w:color="auto" w:fill="FFFFFF" w:themeFill="background1"/>
          </w:tcPr>
          <w:p w:rsidR="00F13BD2" w:rsidRPr="00475128" w:rsidRDefault="00F13BD2" w:rsidP="007702F3">
            <w:pPr>
              <w:pStyle w:val="ListParagraph"/>
              <w:numPr>
                <w:ilvl w:val="0"/>
                <w:numId w:val="83"/>
              </w:numPr>
              <w:shd w:val="clear" w:color="auto" w:fill="FFFFFF" w:themeFill="background1"/>
              <w:suppressAutoHyphens w:val="0"/>
              <w:rPr>
                <w:lang w:val="lv-LV"/>
              </w:rPr>
            </w:pPr>
            <w:r w:rsidRPr="00475128">
              <w:rPr>
                <w:lang w:val="lv-LV"/>
              </w:rPr>
              <w:t>Statistiskās analīzes veikšana par administratīvi teritoriālajām vienībām;</w:t>
            </w:r>
          </w:p>
          <w:p w:rsidR="00F13BD2" w:rsidRDefault="00F13BD2" w:rsidP="007702F3">
            <w:pPr>
              <w:pStyle w:val="ListParagraph"/>
              <w:numPr>
                <w:ilvl w:val="0"/>
                <w:numId w:val="83"/>
              </w:numPr>
              <w:shd w:val="clear" w:color="auto" w:fill="FFFFFF" w:themeFill="background1"/>
              <w:suppressAutoHyphens w:val="0"/>
              <w:rPr>
                <w:lang w:val="lv-LV"/>
              </w:rPr>
            </w:pPr>
            <w:r w:rsidRPr="00475128">
              <w:rPr>
                <w:lang w:val="lv-LV"/>
              </w:rPr>
              <w:t>Statistikas rādītāju izvēle at</w:t>
            </w:r>
            <w:r>
              <w:rPr>
                <w:lang w:val="lv-LV"/>
              </w:rPr>
              <w:t>balsta intensitātes noteikšanai;</w:t>
            </w:r>
          </w:p>
          <w:p w:rsidR="00F13BD2" w:rsidRDefault="00F13BD2" w:rsidP="007702F3">
            <w:pPr>
              <w:pStyle w:val="ListParagraph"/>
              <w:numPr>
                <w:ilvl w:val="0"/>
                <w:numId w:val="83"/>
              </w:numPr>
              <w:shd w:val="clear" w:color="auto" w:fill="FFFFFF" w:themeFill="background1"/>
              <w:suppressAutoHyphens w:val="0"/>
              <w:rPr>
                <w:lang w:val="lv-LV"/>
              </w:rPr>
            </w:pPr>
            <w:r>
              <w:rPr>
                <w:lang w:val="lv-LV"/>
              </w:rPr>
              <w:t>Metodikas izstrāde administratīvi teritoriālo vienību novērtēšanai atbalsta piešķiršanai un novērtēšanas veikšanas metodikas izstrāde;</w:t>
            </w:r>
          </w:p>
          <w:p w:rsidR="00F13BD2" w:rsidRDefault="00F13BD2" w:rsidP="007702F3">
            <w:pPr>
              <w:pStyle w:val="ListParagraph"/>
              <w:numPr>
                <w:ilvl w:val="0"/>
                <w:numId w:val="83"/>
              </w:numPr>
              <w:shd w:val="clear" w:color="auto" w:fill="FFFFFF" w:themeFill="background1"/>
              <w:suppressAutoHyphens w:val="0"/>
              <w:rPr>
                <w:lang w:val="lv-LV"/>
              </w:rPr>
            </w:pPr>
            <w:r>
              <w:rPr>
                <w:lang w:val="lv-LV"/>
              </w:rPr>
              <w:t xml:space="preserve">Stratēģijas izstrāde atbalsta kombinēšanai ar </w:t>
            </w:r>
            <w:proofErr w:type="spellStart"/>
            <w:r>
              <w:rPr>
                <w:lang w:val="lv-LV"/>
              </w:rPr>
              <w:t>grantiem</w:t>
            </w:r>
            <w:proofErr w:type="spellEnd"/>
            <w:r>
              <w:rPr>
                <w:lang w:val="lv-LV"/>
              </w:rPr>
              <w:t xml:space="preserve"> un nodokļu atvieglojumiem un atbilstības nodrošināšanai ar valstī noteiktajiem prioritārajiem zinātnes virzieniem un nozarēm;</w:t>
            </w:r>
          </w:p>
          <w:p w:rsidR="00F13BD2" w:rsidRPr="007430F7" w:rsidRDefault="00F13BD2" w:rsidP="007702F3">
            <w:pPr>
              <w:pStyle w:val="ListParagraph"/>
              <w:numPr>
                <w:ilvl w:val="0"/>
                <w:numId w:val="83"/>
              </w:numPr>
              <w:shd w:val="clear" w:color="auto" w:fill="FFFFFF" w:themeFill="background1"/>
              <w:suppressAutoHyphens w:val="0"/>
              <w:rPr>
                <w:lang w:val="lv-LV"/>
              </w:rPr>
            </w:pPr>
            <w:r>
              <w:rPr>
                <w:lang w:val="lv-LV"/>
              </w:rPr>
              <w:t>Iespējama jaunu speciālo ekonomisko zonu veidošana.</w:t>
            </w:r>
          </w:p>
        </w:tc>
      </w:tr>
      <w:tr w:rsidR="00930BC8" w:rsidRPr="00930BC8" w:rsidTr="00930BC8">
        <w:tc>
          <w:tcPr>
            <w:tcW w:w="8522" w:type="dxa"/>
            <w:shd w:val="clear" w:color="auto" w:fill="F2F2F2" w:themeFill="background1" w:themeFillShade="F2"/>
          </w:tcPr>
          <w:p w:rsidR="00930BC8" w:rsidRPr="00930BC8" w:rsidRDefault="00774603" w:rsidP="00930BC8">
            <w:pPr>
              <w:jc w:val="center"/>
              <w:rPr>
                <w:b/>
              </w:rPr>
            </w:pPr>
            <w:r>
              <w:rPr>
                <w:b/>
              </w:rPr>
              <w:t>Ieguvumi</w:t>
            </w:r>
          </w:p>
        </w:tc>
      </w:tr>
      <w:tr w:rsidR="00F13BD2" w:rsidRPr="00DB426E" w:rsidTr="00930BC8">
        <w:tc>
          <w:tcPr>
            <w:tcW w:w="8522" w:type="dxa"/>
            <w:shd w:val="clear" w:color="auto" w:fill="auto"/>
          </w:tcPr>
          <w:p w:rsidR="00F13BD2" w:rsidRPr="00475128" w:rsidRDefault="00F13BD2" w:rsidP="007702F3">
            <w:pPr>
              <w:pStyle w:val="ListParagraph"/>
              <w:numPr>
                <w:ilvl w:val="0"/>
                <w:numId w:val="84"/>
              </w:numPr>
              <w:shd w:val="clear" w:color="auto" w:fill="FFFFFF" w:themeFill="background1"/>
              <w:suppressAutoHyphens w:val="0"/>
              <w:rPr>
                <w:lang w:val="lv-LV"/>
              </w:rPr>
            </w:pPr>
            <w:r w:rsidRPr="00475128">
              <w:rPr>
                <w:lang w:val="lv-LV"/>
              </w:rPr>
              <w:t>R&amp;D ieguldījumu pieaugums mazāk attīstītās teritoriālajās vienībās;</w:t>
            </w:r>
          </w:p>
          <w:p w:rsidR="00F13BD2" w:rsidRPr="00475128" w:rsidRDefault="00F13BD2" w:rsidP="007702F3">
            <w:pPr>
              <w:pStyle w:val="ListParagraph"/>
              <w:numPr>
                <w:ilvl w:val="0"/>
                <w:numId w:val="84"/>
              </w:numPr>
              <w:shd w:val="clear" w:color="auto" w:fill="FFFFFF" w:themeFill="background1"/>
              <w:suppressAutoHyphens w:val="0"/>
              <w:rPr>
                <w:lang w:val="lv-LV"/>
              </w:rPr>
            </w:pPr>
            <w:r w:rsidRPr="00475128">
              <w:rPr>
                <w:lang w:val="lv-LV"/>
              </w:rPr>
              <w:t>Industriālo parku veidošanās;</w:t>
            </w:r>
          </w:p>
          <w:p w:rsidR="00F13BD2" w:rsidRPr="00475128" w:rsidRDefault="00F13BD2" w:rsidP="007702F3">
            <w:pPr>
              <w:pStyle w:val="ListParagraph"/>
              <w:numPr>
                <w:ilvl w:val="0"/>
                <w:numId w:val="84"/>
              </w:numPr>
              <w:shd w:val="clear" w:color="auto" w:fill="FFFFFF" w:themeFill="background1"/>
              <w:suppressAutoHyphens w:val="0"/>
              <w:rPr>
                <w:lang w:val="lv-LV"/>
              </w:rPr>
            </w:pPr>
            <w:r w:rsidRPr="00475128">
              <w:rPr>
                <w:lang w:val="lv-LV"/>
              </w:rPr>
              <w:t>Pašvaldību stratēģiskā attīstība un specializēšanās;</w:t>
            </w:r>
          </w:p>
          <w:p w:rsidR="00F13BD2" w:rsidRPr="00475128" w:rsidRDefault="00F13BD2" w:rsidP="007702F3">
            <w:pPr>
              <w:pStyle w:val="ListParagraph"/>
              <w:numPr>
                <w:ilvl w:val="0"/>
                <w:numId w:val="84"/>
              </w:numPr>
              <w:shd w:val="clear" w:color="auto" w:fill="FFFFFF" w:themeFill="background1"/>
              <w:suppressAutoHyphens w:val="0"/>
              <w:rPr>
                <w:lang w:val="lv-LV"/>
              </w:rPr>
            </w:pPr>
            <w:r w:rsidRPr="00475128">
              <w:rPr>
                <w:lang w:val="lv-LV"/>
              </w:rPr>
              <w:t>Lielāks privāto investīciju ieguldījums R&amp;D;</w:t>
            </w:r>
          </w:p>
          <w:p w:rsidR="00F13BD2" w:rsidRPr="00475128" w:rsidRDefault="00F13BD2" w:rsidP="007702F3">
            <w:pPr>
              <w:pStyle w:val="ListParagraph"/>
              <w:numPr>
                <w:ilvl w:val="0"/>
                <w:numId w:val="84"/>
              </w:numPr>
              <w:shd w:val="clear" w:color="auto" w:fill="FFFFFF" w:themeFill="background1"/>
              <w:suppressAutoHyphens w:val="0"/>
              <w:rPr>
                <w:lang w:val="lv-LV"/>
              </w:rPr>
            </w:pPr>
            <w:r w:rsidRPr="00475128">
              <w:rPr>
                <w:lang w:val="lv-LV"/>
              </w:rPr>
              <w:t>MVU attīstība un to ieguldījumu veicināšana R&amp;D.</w:t>
            </w:r>
          </w:p>
        </w:tc>
      </w:tr>
      <w:tr w:rsidR="00F13BD2" w:rsidRPr="00440D4A" w:rsidTr="00774603">
        <w:tc>
          <w:tcPr>
            <w:tcW w:w="8522" w:type="dxa"/>
            <w:shd w:val="clear" w:color="auto" w:fill="F2F2F2" w:themeFill="background1" w:themeFillShade="F2"/>
          </w:tcPr>
          <w:p w:rsidR="00F13BD2" w:rsidRPr="005E2896" w:rsidRDefault="00F13BD2" w:rsidP="00774603">
            <w:pPr>
              <w:jc w:val="center"/>
              <w:rPr>
                <w:b/>
              </w:rPr>
            </w:pPr>
            <w:r w:rsidRPr="007702F3">
              <w:rPr>
                <w:b/>
              </w:rPr>
              <w:t>Mērķauditorija</w:t>
            </w:r>
          </w:p>
        </w:tc>
      </w:tr>
      <w:tr w:rsidR="00F13BD2" w:rsidRPr="00DB426E" w:rsidTr="00930BC8">
        <w:tc>
          <w:tcPr>
            <w:tcW w:w="8522" w:type="dxa"/>
            <w:shd w:val="clear" w:color="auto" w:fill="auto"/>
          </w:tcPr>
          <w:p w:rsidR="00F13BD2" w:rsidRPr="00475128" w:rsidRDefault="00F13BD2" w:rsidP="007702F3">
            <w:pPr>
              <w:pStyle w:val="ListParagraph"/>
              <w:numPr>
                <w:ilvl w:val="0"/>
                <w:numId w:val="76"/>
              </w:numPr>
              <w:shd w:val="clear" w:color="auto" w:fill="FFFFFF" w:themeFill="background1"/>
              <w:suppressAutoHyphens w:val="0"/>
              <w:rPr>
                <w:lang w:val="lv-LV"/>
              </w:rPr>
            </w:pPr>
            <w:r>
              <w:rPr>
                <w:lang w:val="lv-LV"/>
              </w:rPr>
              <w:t>Visi Latvijā reģistrētie komersanti, kuri jau ir veikuši ieguldījumus R&amp;D un kuri nākotnē plāno veikt ieguldījumus R&amp;D, īpaši atbalstot MVU un uzņēmumus mazāk attīstītās teritorijās.</w:t>
            </w:r>
          </w:p>
        </w:tc>
      </w:tr>
      <w:tr w:rsidR="00F13BD2" w:rsidRPr="00643A34" w:rsidTr="00774603">
        <w:tc>
          <w:tcPr>
            <w:tcW w:w="8522" w:type="dxa"/>
            <w:shd w:val="clear" w:color="auto" w:fill="F2F2F2" w:themeFill="background1" w:themeFillShade="F2"/>
          </w:tcPr>
          <w:p w:rsidR="00F13BD2" w:rsidRPr="00643A34" w:rsidRDefault="00F13BD2" w:rsidP="00774603">
            <w:pPr>
              <w:jc w:val="center"/>
              <w:rPr>
                <w:b/>
              </w:rPr>
            </w:pPr>
            <w:r w:rsidRPr="007702F3">
              <w:rPr>
                <w:b/>
              </w:rPr>
              <w:t>Sagaidāmie rādītāji</w:t>
            </w:r>
          </w:p>
        </w:tc>
      </w:tr>
      <w:tr w:rsidR="00F13BD2" w:rsidRPr="00DB426E" w:rsidTr="00930BC8">
        <w:tc>
          <w:tcPr>
            <w:tcW w:w="8522" w:type="dxa"/>
            <w:shd w:val="clear" w:color="auto" w:fill="auto"/>
          </w:tcPr>
          <w:p w:rsidR="00F13BD2" w:rsidRDefault="00F13BD2" w:rsidP="007702F3">
            <w:pPr>
              <w:pStyle w:val="ListParagraph"/>
              <w:numPr>
                <w:ilvl w:val="0"/>
                <w:numId w:val="76"/>
              </w:numPr>
              <w:shd w:val="clear" w:color="auto" w:fill="FFFFFF" w:themeFill="background1"/>
              <w:suppressAutoHyphens w:val="0"/>
              <w:rPr>
                <w:lang w:val="lv-LV"/>
              </w:rPr>
            </w:pPr>
            <w:r>
              <w:rPr>
                <w:lang w:val="lv-LV"/>
              </w:rPr>
              <w:t>Rezultatīvie rādītāji:</w:t>
            </w:r>
          </w:p>
          <w:p w:rsidR="00F13BD2" w:rsidRDefault="00F13BD2" w:rsidP="007702F3">
            <w:pPr>
              <w:pStyle w:val="ListParagraph"/>
              <w:numPr>
                <w:ilvl w:val="1"/>
                <w:numId w:val="76"/>
              </w:numPr>
              <w:shd w:val="clear" w:color="auto" w:fill="FFFFFF" w:themeFill="background1"/>
              <w:suppressAutoHyphens w:val="0"/>
              <w:rPr>
                <w:lang w:val="lv-LV"/>
              </w:rPr>
            </w:pPr>
            <w:r>
              <w:rPr>
                <w:lang w:val="lv-LV"/>
              </w:rPr>
              <w:t>ZP darbu finansējums (% no IKP): 1,5%.</w:t>
            </w:r>
          </w:p>
          <w:p w:rsidR="00F13BD2" w:rsidRDefault="00F13BD2" w:rsidP="007702F3">
            <w:pPr>
              <w:pStyle w:val="ListParagraph"/>
              <w:numPr>
                <w:ilvl w:val="1"/>
                <w:numId w:val="76"/>
              </w:numPr>
              <w:shd w:val="clear" w:color="auto" w:fill="FFFFFF" w:themeFill="background1"/>
              <w:suppressAutoHyphens w:val="0"/>
              <w:rPr>
                <w:lang w:val="lv-LV"/>
              </w:rPr>
            </w:pPr>
            <w:r>
              <w:rPr>
                <w:lang w:val="lv-LV"/>
              </w:rPr>
              <w:t>ZP darbu finansējuma daļa no uzņēmumu pašu līdzekļiem (% no visiem izdevumiem): 50%.</w:t>
            </w:r>
          </w:p>
          <w:p w:rsidR="00F13BD2" w:rsidRDefault="00F13BD2" w:rsidP="007702F3">
            <w:pPr>
              <w:pStyle w:val="ListParagraph"/>
              <w:numPr>
                <w:ilvl w:val="0"/>
                <w:numId w:val="76"/>
              </w:numPr>
              <w:shd w:val="clear" w:color="auto" w:fill="FFFFFF" w:themeFill="background1"/>
              <w:suppressAutoHyphens w:val="0"/>
              <w:rPr>
                <w:lang w:val="lv-LV"/>
              </w:rPr>
            </w:pPr>
            <w:r>
              <w:rPr>
                <w:lang w:val="lv-LV"/>
              </w:rPr>
              <w:t>Ietekmes rādītāji:</w:t>
            </w:r>
          </w:p>
          <w:p w:rsidR="00F13BD2" w:rsidRDefault="00F13BD2" w:rsidP="007702F3">
            <w:pPr>
              <w:pStyle w:val="ListParagraph"/>
              <w:numPr>
                <w:ilvl w:val="1"/>
                <w:numId w:val="76"/>
              </w:numPr>
              <w:shd w:val="clear" w:color="auto" w:fill="FFFFFF" w:themeFill="background1"/>
              <w:suppressAutoHyphens w:val="0"/>
              <w:rPr>
                <w:lang w:val="lv-LV"/>
              </w:rPr>
            </w:pPr>
            <w:r>
              <w:rPr>
                <w:lang w:val="lv-LV"/>
              </w:rPr>
              <w:t xml:space="preserve">Inovāciju līmenis. Latvija no inovāciju sekotāja kļūst par mēreno </w:t>
            </w:r>
            <w:proofErr w:type="spellStart"/>
            <w:r>
              <w:rPr>
                <w:lang w:val="lv-LV"/>
              </w:rPr>
              <w:t>inovatoru</w:t>
            </w:r>
            <w:proofErr w:type="spellEnd"/>
            <w:r>
              <w:rPr>
                <w:lang w:val="lv-LV"/>
              </w:rPr>
              <w:t>.</w:t>
            </w:r>
          </w:p>
        </w:tc>
      </w:tr>
    </w:tbl>
    <w:p w:rsidR="00F13BD2" w:rsidRDefault="00F13BD2" w:rsidP="007702F3">
      <w:pPr>
        <w:shd w:val="clear" w:color="auto" w:fill="FFFFFF" w:themeFill="background1"/>
        <w:spacing w:after="0" w:line="240" w:lineRule="auto"/>
        <w:jc w:val="left"/>
      </w:pPr>
    </w:p>
    <w:p w:rsidR="00F13BD2" w:rsidRDefault="00F13BD2" w:rsidP="007702F3">
      <w:pPr>
        <w:shd w:val="clear" w:color="auto" w:fill="FFFFFF" w:themeFill="background1"/>
      </w:pPr>
      <w:r>
        <w:t>Minētie labās prakses piemēri tika izvēlēti kā piemērotākie ieviešanai Latvijā, jo, aplūkojot dažādu valstu pieredzi inovāciju veicināšanā, tika secināts, ka tieši Lietuvas, Vācijas un Grieķijas labās prakses piemēru apvienošana sistēmiskā atbalsta instrumentā ļaus visefektīvāk veicināt privātos R&amp;D ieguldījumus. Par to liecina: 1) Latvijā šādi atbalsta instrumenti līdz šim nav tikuši izmantoti; lai gan Latvijā esošajos atbalsta instrumentos daži nosacījumi sakrīt ar identificētajiem Lietuvas, Grieķijas un Vācijas piemēriem, tomēr tie ir ļoti nepilnīgi, 2) minētie trīs labās prakses piemēri ir savstarpēji kombinējami un nav pretrunā viens ar otru, 3) minētie labās prakses piemēri visefektīvāk palīdz izvairīties no brīvās tirgus konkurences ierobežošanas, kas ir viena no būtiskākajām problēmām valsts finanšu instrumentu pielietošanā.</w:t>
      </w:r>
    </w:p>
    <w:p w:rsidR="00F13BD2" w:rsidRDefault="00F13BD2" w:rsidP="007702F3">
      <w:pPr>
        <w:shd w:val="clear" w:color="auto" w:fill="FFFFFF" w:themeFill="background1"/>
      </w:pPr>
      <w:r>
        <w:t>Tabulā zemāk ir apkopoti Latvijas pašreizējo finanšu atbalsta instrumentu un identificēto labās prakses piemēru finanšu instrumentu kopīgie paņēmieni, kā arī skaidrotas to atšķirības un iemesli, kāpēc tieši šāda instrumenta pilnveide var būt derīga Latvijas gadījumā.</w:t>
      </w:r>
    </w:p>
    <w:tbl>
      <w:tblPr>
        <w:tblStyle w:val="TableGrid"/>
        <w:tblW w:w="0" w:type="auto"/>
        <w:shd w:val="clear" w:color="auto" w:fill="FFFFFF" w:themeFill="background1"/>
        <w:tblLook w:val="04A0" w:firstRow="1" w:lastRow="0" w:firstColumn="1" w:lastColumn="0" w:noHBand="0" w:noVBand="1"/>
      </w:tblPr>
      <w:tblGrid>
        <w:gridCol w:w="675"/>
        <w:gridCol w:w="2268"/>
        <w:gridCol w:w="2694"/>
        <w:gridCol w:w="3984"/>
      </w:tblGrid>
      <w:tr w:rsidR="00F13BD2" w:rsidRPr="00BD069D" w:rsidTr="00774603">
        <w:trPr>
          <w:trHeight w:val="745"/>
          <w:tblHeader/>
        </w:trPr>
        <w:tc>
          <w:tcPr>
            <w:tcW w:w="675" w:type="dxa"/>
            <w:shd w:val="clear" w:color="auto" w:fill="F2F2F2" w:themeFill="background1" w:themeFillShade="F2"/>
            <w:vAlign w:val="center"/>
          </w:tcPr>
          <w:p w:rsidR="00F13BD2" w:rsidRPr="00930BC8" w:rsidRDefault="00F13BD2" w:rsidP="00774603">
            <w:pPr>
              <w:jc w:val="center"/>
              <w:rPr>
                <w:b/>
              </w:rPr>
            </w:pPr>
            <w:r w:rsidRPr="00930BC8">
              <w:rPr>
                <w:b/>
              </w:rPr>
              <w:t>Nr. p. k.</w:t>
            </w:r>
          </w:p>
        </w:tc>
        <w:tc>
          <w:tcPr>
            <w:tcW w:w="2268" w:type="dxa"/>
            <w:shd w:val="clear" w:color="auto" w:fill="F2F2F2" w:themeFill="background1" w:themeFillShade="F2"/>
            <w:vAlign w:val="center"/>
          </w:tcPr>
          <w:p w:rsidR="00F13BD2" w:rsidRPr="00930BC8" w:rsidRDefault="00F13BD2" w:rsidP="00774603">
            <w:pPr>
              <w:jc w:val="center"/>
              <w:rPr>
                <w:b/>
              </w:rPr>
            </w:pPr>
            <w:r w:rsidRPr="00930BC8">
              <w:rPr>
                <w:b/>
              </w:rPr>
              <w:t>Finanšu atbalsta instrumentā izmantotie paņēmieni</w:t>
            </w:r>
          </w:p>
        </w:tc>
        <w:tc>
          <w:tcPr>
            <w:tcW w:w="2694" w:type="dxa"/>
            <w:shd w:val="clear" w:color="auto" w:fill="F2F2F2" w:themeFill="background1" w:themeFillShade="F2"/>
            <w:vAlign w:val="center"/>
          </w:tcPr>
          <w:p w:rsidR="00F13BD2" w:rsidRPr="00930BC8" w:rsidRDefault="00F13BD2" w:rsidP="00774603">
            <w:pPr>
              <w:jc w:val="center"/>
              <w:rPr>
                <w:b/>
              </w:rPr>
            </w:pPr>
            <w:r w:rsidRPr="00930BC8">
              <w:rPr>
                <w:b/>
              </w:rPr>
              <w:t>Līdzība un atšķirības ar Latvijas finanšu instrumentiem</w:t>
            </w:r>
          </w:p>
        </w:tc>
        <w:tc>
          <w:tcPr>
            <w:tcW w:w="3984" w:type="dxa"/>
            <w:shd w:val="clear" w:color="auto" w:fill="F2F2F2" w:themeFill="background1" w:themeFillShade="F2"/>
            <w:vAlign w:val="center"/>
          </w:tcPr>
          <w:p w:rsidR="00F13BD2" w:rsidRPr="00930BC8" w:rsidRDefault="00F13BD2" w:rsidP="00774603">
            <w:pPr>
              <w:jc w:val="center"/>
              <w:rPr>
                <w:b/>
                <w:shd w:val="clear" w:color="auto" w:fill="FFFFFF" w:themeFill="background1"/>
              </w:rPr>
            </w:pPr>
            <w:r w:rsidRPr="00774603">
              <w:rPr>
                <w:b/>
              </w:rPr>
              <w:t>Instrumenta un paņēmiena pozitīvā</w:t>
            </w:r>
            <w:r w:rsidRPr="00930BC8">
              <w:rPr>
                <w:b/>
                <w:shd w:val="clear" w:color="auto" w:fill="FFFFFF" w:themeFill="background1"/>
              </w:rPr>
              <w:t xml:space="preserve"> </w:t>
            </w:r>
            <w:r w:rsidRPr="00774603">
              <w:rPr>
                <w:b/>
              </w:rPr>
              <w:t>ietekme</w:t>
            </w:r>
          </w:p>
        </w:tc>
      </w:tr>
      <w:tr w:rsidR="00F13BD2" w:rsidTr="00930BC8">
        <w:tc>
          <w:tcPr>
            <w:tcW w:w="9621" w:type="dxa"/>
            <w:gridSpan w:val="4"/>
            <w:shd w:val="clear" w:color="auto" w:fill="FFFFFF" w:themeFill="background1"/>
          </w:tcPr>
          <w:p w:rsidR="00F13BD2" w:rsidRDefault="00F13BD2" w:rsidP="007702F3">
            <w:pPr>
              <w:shd w:val="clear" w:color="auto" w:fill="FFFFFF" w:themeFill="background1"/>
              <w:spacing w:after="120" w:line="240" w:lineRule="auto"/>
              <w:jc w:val="center"/>
            </w:pPr>
            <w:r w:rsidRPr="00DB426E">
              <w:rPr>
                <w:b/>
              </w:rPr>
              <w:t>Nodokļu atvieglojumu sistēma R&amp;D atbalstam Lietuvā</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Nodokļu atvieglojumi personāla izmaksām</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Latvijā nepastāv nodokļu atvieglojumi personāla izmaksām.</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Saskaņā ar veikto uzņēmēju interviju rezultātiem, uzņēmumi labprāt izmantotu nodokļu atvieglojumus personāla izmaksām. Tādējādi tiktu sekmēti uzņēmumu R&amp;D ieguldījumi un personāla nodarbināšana R&amp;D aktivitātēs.</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proofErr w:type="spellStart"/>
            <w:r>
              <w:t>Pašdeklarēšanās</w:t>
            </w:r>
            <w:proofErr w:type="spellEnd"/>
            <w:r>
              <w:t xml:space="preserve"> principa ieviešana</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 xml:space="preserve">Latvijā nav ieviests </w:t>
            </w:r>
            <w:proofErr w:type="spellStart"/>
            <w:r>
              <w:t>pašdeklarēšanās</w:t>
            </w:r>
            <w:proofErr w:type="spellEnd"/>
            <w:r>
              <w:t xml:space="preserve"> princips. Nodokļu atvieglojumu izmantošana ir saskaņojama ar VID.</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proofErr w:type="spellStart"/>
            <w:r>
              <w:t>Pašdeklarēšanās</w:t>
            </w:r>
            <w:proofErr w:type="spellEnd"/>
            <w:r>
              <w:t xml:space="preserve"> principa ieviešana samazinātu administratīvo slogu, padarot ieguldījumu R&amp;D veikšanu vienkāršāku, ērtāku un uzņēmējiem saprotamāku.</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Visu nozaru vienlīdzīga iesaiste atbalsta saņemšanai</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 xml:space="preserve">UIN atlaižu saņemšana ir iespējama tikai dažās, MK noteikumos definētās nozarēs. </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 xml:space="preserve">Padarot UIN nodokļu atlaides pieejamas visu nozaru uzņēmumiem, tiktu novērsta brīvās konkurences ierobežošana. Tas ļautu palielināt R&amp;D ieguldījumus arī citās nozarēs, kur pagaidām šie ieguldījumi netiek veikti, jo nodokļu atlaides nav paredzētas. Nozaru ierobežošana līdz valsts prioritātēm ir vairāk piemērota </w:t>
            </w:r>
            <w:proofErr w:type="spellStart"/>
            <w:r>
              <w:t>grantu</w:t>
            </w:r>
            <w:proofErr w:type="spellEnd"/>
            <w:r>
              <w:t xml:space="preserve"> programmās.</w:t>
            </w:r>
          </w:p>
        </w:tc>
      </w:tr>
      <w:tr w:rsidR="00F13BD2" w:rsidTr="00930BC8">
        <w:tc>
          <w:tcPr>
            <w:tcW w:w="9621" w:type="dxa"/>
            <w:gridSpan w:val="4"/>
            <w:shd w:val="clear" w:color="auto" w:fill="FFFFFF" w:themeFill="background1"/>
          </w:tcPr>
          <w:p w:rsidR="00F13BD2" w:rsidRDefault="00F13BD2" w:rsidP="007702F3">
            <w:pPr>
              <w:shd w:val="clear" w:color="auto" w:fill="FFFFFF" w:themeFill="background1"/>
              <w:spacing w:after="120" w:line="240" w:lineRule="auto"/>
              <w:jc w:val="center"/>
            </w:pPr>
            <w:proofErr w:type="spellStart"/>
            <w:r w:rsidRPr="00DB426E">
              <w:rPr>
                <w:b/>
              </w:rPr>
              <w:t>Grantu</w:t>
            </w:r>
            <w:proofErr w:type="spellEnd"/>
            <w:r w:rsidRPr="00DB426E">
              <w:rPr>
                <w:b/>
              </w:rPr>
              <w:t xml:space="preserve"> piešķiršanas sistēma Vācijā</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Pašvaldību iesaiste privāto R&amp;D investīciju sekmēšanai</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Latvijā pašvaldības netiek iesaistītas R&amp;D sekmēšanā. Pašvaldību atbalsta sniegšana ir atstāta pašvaldību pašu ziņā, un pašlaik neviena pašvaldība nesekmē investīciju veikšanu R&amp;D.</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 xml:space="preserve">Dažādu </w:t>
            </w:r>
            <w:proofErr w:type="spellStart"/>
            <w:r>
              <w:t>grantu</w:t>
            </w:r>
            <w:proofErr w:type="spellEnd"/>
            <w:r>
              <w:t xml:space="preserve"> programmu virzīšana caur pašvaldībām padarīs atbalsta pieejamību labāku, kā arī veicinās lielāku uzņēmēju informētības līmeni par pieejamo atbalstu. Papildus tam, tas veicinās R&amp;D nepieciešamās infrastruktūras veidošanos pašvaldībās.</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Prioritāšu identificēšana R&amp;D atbalsta saņemšanai</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Pašlaik Latvijā ir identificēti prioritārie zinātnes virzieni. Saskaņā ar NAP ir definētas arī prioritāri atbalstāmās nozares.</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 xml:space="preserve">Nevienā no plānošanas dokumentiem nav pievienota atsauce par to, kurās nozarēs specifiski būtu atbalstāmas R&amp;D aktivitātes. Atšķirībā no nodokļu atvieglojumiem, </w:t>
            </w:r>
            <w:proofErr w:type="spellStart"/>
            <w:r>
              <w:t>grantu</w:t>
            </w:r>
            <w:proofErr w:type="spellEnd"/>
            <w:r>
              <w:t xml:space="preserve"> programmās nepieciešams izstrādāt vienotu pieeju nozaru </w:t>
            </w:r>
            <w:proofErr w:type="spellStart"/>
            <w:r>
              <w:t>prioretizēšanai</w:t>
            </w:r>
            <w:proofErr w:type="spellEnd"/>
            <w:r>
              <w:t>, kurās tiktu sniegti granti R&amp;D aktivitāšu veikšanai.</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Administratīvā sloga samazināšana tiem atbalsta pretendentiem, kuri piesakās vairākkārtīgi</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Latvijā visās sadarbības iestādēs ir izstrādāta metodika iesniedzamo dokumentu paketes iesniegšanai. Pat tādos gadījumos, ja projekta iesniedzējs tā paša plānošanas perioda ietvaros iesniedz vairākus projekta pieteikumus vienā aktivitātē, visa pavaddokumentu pakete ir jāsniedz atkārtoti.</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 xml:space="preserve">Pavaddokumentu iesniegšana sadarbības iestādē vienu reizi, neatkarīgi no tā, cik projektu pieteikumi tiek iesniegti, mazinātu projektu pieteicēju administratīvo slogu, padarītu pieteikšanos vienkāršāku. Tas veicinātu pieteicēju aktivitāti. </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Kopīgu kontroles mehānismu ieviešana</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 xml:space="preserve">Pašlaik Latvijā pastāv deviņas kontroles iestādes </w:t>
            </w:r>
            <w:proofErr w:type="spellStart"/>
            <w:r>
              <w:t>grantu</w:t>
            </w:r>
            <w:proofErr w:type="spellEnd"/>
            <w:r>
              <w:t xml:space="preserve"> izsniegšanai. Turklāt katrā no sadarbības iestādēm ir atšķirīgi nosacījumi pieteikumu izskatīšanai. Tas rada papildus administratīvo slogu uzņēmumiem, sevišķi tiem, kuri atbalstam piesakās </w:t>
            </w:r>
            <w:r w:rsidR="007F1FCE">
              <w:t>vairākkārt</w:t>
            </w:r>
            <w:r>
              <w:t>.</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 xml:space="preserve">Kopīgu pieteikšanās un kontroles mehānismu ieviešana visās atbildīgajās un sadarbības iestādēs mazinās uzņēmēju administratīvo slogu, padarot pieteikšanos vienkāršāku. Tas savukārt veicinās </w:t>
            </w:r>
            <w:proofErr w:type="spellStart"/>
            <w:r>
              <w:t>grantu</w:t>
            </w:r>
            <w:proofErr w:type="spellEnd"/>
            <w:r>
              <w:t xml:space="preserve"> pieteicēju aktivitāti, un tātad – arī privātos ieguldījumus R&amp;D.</w:t>
            </w:r>
          </w:p>
        </w:tc>
      </w:tr>
      <w:tr w:rsidR="00F13BD2" w:rsidTr="00930BC8">
        <w:tc>
          <w:tcPr>
            <w:tcW w:w="9621" w:type="dxa"/>
            <w:gridSpan w:val="4"/>
            <w:shd w:val="clear" w:color="auto" w:fill="FFFFFF" w:themeFill="background1"/>
          </w:tcPr>
          <w:p w:rsidR="00F13BD2" w:rsidRDefault="00F13BD2" w:rsidP="007702F3">
            <w:pPr>
              <w:shd w:val="clear" w:color="auto" w:fill="FFFFFF" w:themeFill="background1"/>
              <w:spacing w:after="120" w:line="240" w:lineRule="auto"/>
              <w:jc w:val="center"/>
            </w:pPr>
            <w:r w:rsidRPr="00DB426E">
              <w:rPr>
                <w:b/>
              </w:rPr>
              <w:t>Atbalsta intensitātes fiksēšana atkarībā no uzņēmuma lieluma un administratīvi teritoriālās vienības Grieķijā</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 xml:space="preserve">Atšķirīga atbalsta intensitāte R&amp;D atbalstam atkarībā no administratīvi teritoriālās vienības </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Pašlaik Latvijā atšķirīga atbalsta intensitāte ir paredzēta Lauku atbalsta dienesta administrētajās programmās, taču šīs programmas nav vērstas uz R&amp;D atbalstu. R&amp;D atbalsta programmās teritoriālais princips ievērtos netiek.</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Atšķirīgās atbalsta intensitātes piemērošana dažādās teritorijās veicinās teritoriju vienmērīgu izaugsmi, kā arī dos iespēju ieguldīt vairāk līdzekļu R&amp;D aktivitātes tiem uzņēmumiem, kuri darbojas ārpus lielajām pilsētām, un kur R&amp;D aktivitāšu veikšana ir ierobežota dažādu iemeslu dēļ. Piemēram, darbaspēka trūkuma dēļ, nesakārtotās infrastruktūras dēļ, u</w:t>
            </w:r>
            <w:r w:rsidR="007F1FCE">
              <w:t>.</w:t>
            </w:r>
            <w:r>
              <w:t>tml. Taču labāku atbalsta saņemšanas nosacījumu izveide ļaus uzņēmumiem pašiem šīs problēmas risināt.</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Pašvaldību specializēšanās</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Pašlaik nav izstrādāta tāda atbalsta instrumentu sistēma, kas paredzētu pašvaldību specializāciju.</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Paredzot dažādu atbalsta intensitāti dažādās teritoriālajās vienībās, kā arī iesaistot pašvaldību R&amp;D sekmēšanā, ir iespējama pašvaldību specializēšanās konkrētās nozarēs, kas ļaus efektīvi izmantot visus pašvaldības rīcībā esošos resursus, veidot pašvaldību zīmolu un ļaut uzņēmējiem un iedzīvotājiem plānot savu darbību ilgtermiņā.</w:t>
            </w:r>
          </w:p>
        </w:tc>
      </w:tr>
      <w:tr w:rsidR="00F13BD2" w:rsidTr="00930BC8">
        <w:tc>
          <w:tcPr>
            <w:tcW w:w="675" w:type="dxa"/>
            <w:shd w:val="clear" w:color="auto" w:fill="FFFFFF" w:themeFill="background1"/>
          </w:tcPr>
          <w:p w:rsidR="00F13BD2" w:rsidRPr="00A10FFB" w:rsidRDefault="00F13BD2" w:rsidP="007702F3">
            <w:pPr>
              <w:pStyle w:val="ListParagraph"/>
              <w:numPr>
                <w:ilvl w:val="0"/>
                <w:numId w:val="118"/>
              </w:numPr>
              <w:shd w:val="clear" w:color="auto" w:fill="FFFFFF" w:themeFill="background1"/>
              <w:ind w:left="0" w:firstLine="0"/>
              <w:contextualSpacing w:val="0"/>
              <w:jc w:val="left"/>
              <w:rPr>
                <w:lang w:val="lv-LV"/>
              </w:rPr>
            </w:pPr>
          </w:p>
        </w:tc>
        <w:tc>
          <w:tcPr>
            <w:tcW w:w="2268" w:type="dxa"/>
            <w:shd w:val="clear" w:color="auto" w:fill="FFFFFF" w:themeFill="background1"/>
          </w:tcPr>
          <w:p w:rsidR="00F13BD2" w:rsidRDefault="00F13BD2" w:rsidP="007702F3">
            <w:pPr>
              <w:shd w:val="clear" w:color="auto" w:fill="FFFFFF" w:themeFill="background1"/>
              <w:spacing w:after="120" w:line="240" w:lineRule="auto"/>
              <w:jc w:val="left"/>
            </w:pPr>
            <w:r>
              <w:t>Pašvaldību iesaiste privāto R&amp;D investīciju sekmēšanai</w:t>
            </w:r>
          </w:p>
        </w:tc>
        <w:tc>
          <w:tcPr>
            <w:tcW w:w="2694" w:type="dxa"/>
            <w:shd w:val="clear" w:color="auto" w:fill="FFFFFF" w:themeFill="background1"/>
          </w:tcPr>
          <w:p w:rsidR="00F13BD2" w:rsidRDefault="00F13BD2" w:rsidP="007702F3">
            <w:pPr>
              <w:shd w:val="clear" w:color="auto" w:fill="FFFFFF" w:themeFill="background1"/>
              <w:spacing w:after="120" w:line="240" w:lineRule="auto"/>
              <w:jc w:val="left"/>
            </w:pPr>
            <w:r>
              <w:t>Latvijā pašvaldības netiek iesaistītas R&amp;D sekmēšanā. Pašvaldību atbalsta sniegšana ir atstāta pašvaldību pašu ziņā, un pašlaik neviena pašvaldība nesekmē investīciju veikšanu R&amp;D.</w:t>
            </w:r>
          </w:p>
        </w:tc>
        <w:tc>
          <w:tcPr>
            <w:tcW w:w="3984" w:type="dxa"/>
            <w:shd w:val="clear" w:color="auto" w:fill="FFFFFF" w:themeFill="background1"/>
          </w:tcPr>
          <w:p w:rsidR="00F13BD2" w:rsidRDefault="00F13BD2" w:rsidP="007702F3">
            <w:pPr>
              <w:shd w:val="clear" w:color="auto" w:fill="FFFFFF" w:themeFill="background1"/>
              <w:spacing w:after="120" w:line="240" w:lineRule="auto"/>
              <w:jc w:val="left"/>
            </w:pPr>
            <w:r>
              <w:t xml:space="preserve">Dažādu </w:t>
            </w:r>
            <w:proofErr w:type="spellStart"/>
            <w:r>
              <w:t>grantu</w:t>
            </w:r>
            <w:proofErr w:type="spellEnd"/>
            <w:r>
              <w:t xml:space="preserve"> programmu virzīšana caur pašvaldībām un pašvaldību iesaiste atbalsta saņēmēju informēšanā padarīs atbalsta pieejamību labāku. Papildus tam, tas veicinās R&amp;D nepieciešamās infrastruktūras veidošanos pašvaldībās.</w:t>
            </w:r>
          </w:p>
        </w:tc>
      </w:tr>
    </w:tbl>
    <w:p w:rsidR="00F13BD2" w:rsidRDefault="00F13BD2" w:rsidP="007702F3">
      <w:pPr>
        <w:shd w:val="clear" w:color="auto" w:fill="FFFFFF" w:themeFill="background1"/>
      </w:pPr>
    </w:p>
    <w:p w:rsidR="00F13BD2" w:rsidRDefault="00F13BD2" w:rsidP="007702F3">
      <w:pPr>
        <w:shd w:val="clear" w:color="auto" w:fill="FFFFFF" w:themeFill="background1"/>
      </w:pPr>
      <w:r>
        <w:t xml:space="preserve">Nodokļu atvieglojumi, ņemot vērā Lietuvas labās prakses piemērus un ieviešot tos Latvijā, apvienojumā ar Vācijas </w:t>
      </w:r>
      <w:proofErr w:type="spellStart"/>
      <w:r>
        <w:t>grantu</w:t>
      </w:r>
      <w:proofErr w:type="spellEnd"/>
      <w:r>
        <w:t xml:space="preserve"> programmu sistēmu, kas paredz lielu pašvaldību un reģionu iesaisti </w:t>
      </w:r>
      <w:proofErr w:type="spellStart"/>
      <w:r>
        <w:t>grantu</w:t>
      </w:r>
      <w:proofErr w:type="spellEnd"/>
      <w:r>
        <w:t xml:space="preserve"> izsniegšanā un vienotas kontroles sistēmas ieviešanu, rada universālu finanšu atbalsta instrumentu sistēmu, kas ir piemērota Latvijas situācijai un novērš pašreizējo finanšu atbalsta instrumentu nepilnības. Abas sistēmas komponentes ir savstarpēji veiksmīgi kombinējamas un nerada pretrunas, kā arī tās ir iespējams modificēt laika gaitā, atkarībā no nepieciešamības un uzņēmumu attīstības. Tieši šādas sistēmas ieviešana ļauj ērti un ātri veikt nepieciešamos uzlabojumus, lai panāktu vēl lielāku investīciju veikšanu R&amp;D aktivitātēs.</w:t>
      </w:r>
    </w:p>
    <w:p w:rsidR="00F13BD2" w:rsidRDefault="00F13BD2" w:rsidP="007702F3">
      <w:pPr>
        <w:shd w:val="clear" w:color="auto" w:fill="FFFFFF" w:themeFill="background1"/>
      </w:pPr>
      <w:r>
        <w:t>Savukārt Grieķijas labās prakses piemēru ieviešana Latvijā ir kā papildus finanšu atbalsta instruments, kas ļauj izvairīties no brīvās konkurences ierobežošanas un nodrošina vienmērīgu teritorijas attīstību. Latvijā dažādu teritoriju (piemēram, Latgales novadu) atpalicība no valsts kopējās izaugsmes ir nozīmīga problēma. Saskaņā ar ekspertu vērtē</w:t>
      </w:r>
      <w:r w:rsidR="007702F3">
        <w:t>jumu</w:t>
      </w:r>
      <w:r>
        <w:t xml:space="preserve"> to ir iespējams atrisināt, ieviešot: 1) metodiku administratīvi teritoriālo vienību novērtēšanai, 2) izstrādājot un regulāri atjaunojot stratēģiju teritoriju vienmērīgai izaugsmei. Savukārt MVU noteikšanai tiks izmantota ES vienotā pieeja (</w:t>
      </w:r>
      <w:r w:rsidRPr="000E356C">
        <w:t>saskaņā ar Komisijas 2008.gada 6.augusta Regulas (EK) Nr. </w:t>
      </w:r>
      <w:hyperlink r:id="rId40" w:tgtFrame="_blank" w:history="1">
        <w:r w:rsidRPr="000E356C">
          <w:t>800/2008</w:t>
        </w:r>
      </w:hyperlink>
      <w:r w:rsidRPr="000E356C">
        <w:t>, kas atzīst noteiktas atbalsta kategorijas par saderīgām ar kopējo tirgu, piemērojot Līguma 87. un 88.pantu (vispārējā grupu atbrīvojuma regula) (turpmāk – Komisijas regulas Nr. </w:t>
      </w:r>
      <w:hyperlink r:id="rId41" w:tgtFrame="_blank" w:history="1">
        <w:r w:rsidRPr="000E356C">
          <w:t>800/2008</w:t>
        </w:r>
      </w:hyperlink>
      <w:r w:rsidRPr="000E356C">
        <w:t>), I pielikumā noteikto definīciju)</w:t>
      </w:r>
      <w:r>
        <w:t>.</w:t>
      </w:r>
    </w:p>
    <w:p w:rsidR="00F13BD2" w:rsidRDefault="00F13BD2" w:rsidP="007702F3">
      <w:pPr>
        <w:shd w:val="clear" w:color="auto" w:fill="FFFFFF" w:themeFill="background1"/>
      </w:pPr>
      <w:r>
        <w:t>Šo instrumentu ieviešana ir vēlama, izmantojot jau esošo pieredzi un pielāgojot tos jau esošajiem atbalsta instrumentiem Latvijā, kas padarīs to vieglāk saprotamu uzņēmējiem, kā arī samazinās ieviešanas izmaksas. Tāpēc pētījumā ir izvērtēti esošo atbalsta instrumentu trūkumi un labās prakses piemēru ieviešanai nepieciešamās aktivitātes, kas balstītas uz jau esošo atbalsta instrumentu pilnveidošanu, nevis pilnīgi jaunu paņēmienu izstrādi.</w:t>
      </w:r>
    </w:p>
    <w:p w:rsidR="006D3AB5" w:rsidRPr="00DB426E" w:rsidRDefault="006D3AB5" w:rsidP="00475128">
      <w:pPr>
        <w:pStyle w:val="Heading1"/>
        <w:pageBreakBefore/>
        <w:widowControl/>
        <w:numPr>
          <w:ilvl w:val="0"/>
          <w:numId w:val="4"/>
        </w:numPr>
        <w:tabs>
          <w:tab w:val="clear" w:pos="284"/>
        </w:tabs>
        <w:suppressAutoHyphens w:val="0"/>
        <w:snapToGrid/>
        <w:spacing w:before="240" w:after="60"/>
        <w:ind w:left="431" w:hanging="431"/>
        <w:jc w:val="both"/>
      </w:pPr>
      <w:bookmarkStart w:id="78" w:name="_Toc358978699"/>
      <w:r w:rsidRPr="00DB426E">
        <w:t>Nodokļu atvieglojumu, kā ieguldījumu zinātniskajās izstrādnēs stimulējošs faktors, izvērtējums</w:t>
      </w:r>
      <w:bookmarkEnd w:id="65"/>
      <w:bookmarkEnd w:id="66"/>
      <w:bookmarkEnd w:id="67"/>
      <w:bookmarkEnd w:id="78"/>
    </w:p>
    <w:p w:rsidR="006D3AB5" w:rsidRPr="00DB426E" w:rsidRDefault="006D3AB5" w:rsidP="00475128">
      <w:pPr>
        <w:pStyle w:val="Heading2"/>
        <w:numPr>
          <w:ilvl w:val="1"/>
          <w:numId w:val="4"/>
        </w:numPr>
        <w:suppressAutoHyphens w:val="0"/>
        <w:spacing w:before="240" w:after="60"/>
        <w:jc w:val="both"/>
      </w:pPr>
      <w:bookmarkStart w:id="79" w:name="_Toc355007918"/>
      <w:bookmarkStart w:id="80" w:name="_Toc355008081"/>
      <w:bookmarkStart w:id="81" w:name="_Toc356472860"/>
      <w:bookmarkStart w:id="82" w:name="_Toc358978700"/>
      <w:r w:rsidRPr="00DB426E">
        <w:t>Aprēķinu metodoloģija un instrumentārijs</w:t>
      </w:r>
      <w:bookmarkEnd w:id="79"/>
      <w:bookmarkEnd w:id="80"/>
      <w:bookmarkEnd w:id="81"/>
      <w:bookmarkEnd w:id="82"/>
    </w:p>
    <w:p w:rsidR="006D3AB5" w:rsidRPr="00097DBA" w:rsidRDefault="006D3AB5" w:rsidP="00743276">
      <w:pPr>
        <w:spacing w:before="120" w:after="0"/>
      </w:pPr>
      <w:r w:rsidRPr="00DB426E">
        <w:t xml:space="preserve">Uzņēmēju aptaujas </w:t>
      </w:r>
      <w:r w:rsidRPr="00097DBA">
        <w:t xml:space="preserve">rezultāti </w:t>
      </w:r>
      <w:r w:rsidR="00097DBA" w:rsidRPr="00097DBA">
        <w:t xml:space="preserve">(2. </w:t>
      </w:r>
      <w:r w:rsidRPr="00097DBA">
        <w:t xml:space="preserve">nodaļa) liecina par ierobežotām finanšu iespējām, lai sekmīgi attīstītu inovācijas. Ņemot vērā to, ka nodokļu atvieglojumi ir iedarbīgs valsts instruments labvēlīgas investīciju vides veidošanai, turpmāk tiek izvērtēti </w:t>
      </w:r>
      <w:r w:rsidRPr="00097DBA">
        <w:rPr>
          <w:u w:val="single"/>
        </w:rPr>
        <w:t>speciālie</w:t>
      </w:r>
      <w:r w:rsidRPr="00097DBA">
        <w:t xml:space="preserve"> nodokļu atvieglojumi, kas vērsti uz inovatīvo procesu stimulēšanu. </w:t>
      </w:r>
    </w:p>
    <w:p w:rsidR="006D3AB5" w:rsidRPr="00DB426E" w:rsidRDefault="006D3AB5" w:rsidP="00743276">
      <w:pPr>
        <w:spacing w:before="120" w:after="0"/>
      </w:pPr>
      <w:r w:rsidRPr="00097DBA">
        <w:t xml:space="preserve">Pamatojoties uz analītisko apskatu par Eiropas Savienības valstīs pastāvošajiem </w:t>
      </w:r>
      <w:r w:rsidR="00A21FC2">
        <w:t xml:space="preserve">valsts atbalsta instrumentiem, un it īpaši par </w:t>
      </w:r>
      <w:r w:rsidRPr="00097DBA">
        <w:t>nodokļu atvieglojumiem (</w:t>
      </w:r>
      <w:r w:rsidR="00097DBA" w:rsidRPr="00097DBA">
        <w:t xml:space="preserve">3. </w:t>
      </w:r>
      <w:r w:rsidRPr="00097DBA">
        <w:t>nodaļa), pētījum</w:t>
      </w:r>
      <w:r w:rsidR="008D6A92">
        <w:t>ā nodokļu atvieglojumu alternatīvu izvērtējumam ir</w:t>
      </w:r>
      <w:r w:rsidRPr="00097DBA">
        <w:t xml:space="preserve"> izvēlēti šādi nodokļi:</w:t>
      </w:r>
    </w:p>
    <w:p w:rsidR="006D3AB5" w:rsidRPr="00DB426E" w:rsidRDefault="006D3AB5" w:rsidP="00475128">
      <w:pPr>
        <w:pStyle w:val="ListParagraph"/>
        <w:numPr>
          <w:ilvl w:val="0"/>
          <w:numId w:val="6"/>
        </w:numPr>
        <w:suppressAutoHyphens w:val="0"/>
        <w:spacing w:before="120"/>
        <w:rPr>
          <w:lang w:val="lv-LV"/>
        </w:rPr>
      </w:pPr>
      <w:r w:rsidRPr="00DB426E">
        <w:rPr>
          <w:lang w:val="lv-LV"/>
        </w:rPr>
        <w:t>uzņēmuma ienākuma nodoklis (UIN),</w:t>
      </w:r>
    </w:p>
    <w:p w:rsidR="006D3AB5" w:rsidRPr="00DB426E" w:rsidRDefault="006D3AB5" w:rsidP="00475128">
      <w:pPr>
        <w:pStyle w:val="ListParagraph"/>
        <w:numPr>
          <w:ilvl w:val="0"/>
          <w:numId w:val="7"/>
        </w:numPr>
        <w:suppressAutoHyphens w:val="0"/>
        <w:spacing w:before="120"/>
        <w:rPr>
          <w:lang w:val="lv-LV"/>
        </w:rPr>
      </w:pPr>
      <w:r w:rsidRPr="00DB426E">
        <w:rPr>
          <w:rFonts w:cs="Arial"/>
          <w:lang w:val="lv-LV"/>
        </w:rPr>
        <w:t>valsts sociālās apdrošināšanas obligātās iemaksas (VSAOI),</w:t>
      </w:r>
    </w:p>
    <w:p w:rsidR="006D3AB5" w:rsidRPr="00DB426E" w:rsidRDefault="006D3AB5" w:rsidP="00475128">
      <w:pPr>
        <w:pStyle w:val="ListParagraph"/>
        <w:numPr>
          <w:ilvl w:val="0"/>
          <w:numId w:val="7"/>
        </w:numPr>
        <w:suppressAutoHyphens w:val="0"/>
        <w:spacing w:before="120"/>
        <w:rPr>
          <w:lang w:val="lv-LV"/>
        </w:rPr>
      </w:pPr>
      <w:r w:rsidRPr="00DB426E">
        <w:rPr>
          <w:rFonts w:cs="Arial"/>
          <w:lang w:val="lv-LV"/>
        </w:rPr>
        <w:t>iedzīvotāju ienākuma nodoklis (IIN).</w:t>
      </w:r>
    </w:p>
    <w:p w:rsidR="00A21FC2" w:rsidRDefault="00A21FC2" w:rsidP="006D3AB5"/>
    <w:p w:rsidR="006D3AB5" w:rsidRPr="00DB426E" w:rsidRDefault="006D3AB5" w:rsidP="00743276">
      <w:pPr>
        <w:spacing w:before="120" w:after="0"/>
      </w:pPr>
      <w:r w:rsidRPr="00DB426E">
        <w:t xml:space="preserve">Veiktā izvērtējuma metodikas pamatā ir aprēķināto nodokļu salīdzināšanas princips. Inerces (nulles) variants atbilst esošajai likumdošanai. Alternatīvie varianti ievēro potenciālos atvieglojumus. </w:t>
      </w:r>
    </w:p>
    <w:p w:rsidR="006D3AB5" w:rsidRPr="00DB426E" w:rsidRDefault="006D3AB5" w:rsidP="00BE6022">
      <w:pPr>
        <w:spacing w:before="120" w:after="0"/>
      </w:pPr>
      <w:r w:rsidRPr="00DB426E">
        <w:t xml:space="preserve">Izvērtējuma kritērijs – papildus finanšu resursi, kas paliek uzņēmuma rīcībā. Ņemot vērā to, ka proporcionāli samazinās budžeta nodokļu ieņēmumi (valsts un pašvaldību), tiek analizēts nodokļu atvieglojumu ieviešanas rezultātā radītais pieļaujamais nodokļu ieņēmumu samazinājuma līmenis. </w:t>
      </w:r>
    </w:p>
    <w:p w:rsidR="006D3AB5" w:rsidRPr="00DB426E" w:rsidRDefault="006D3AB5" w:rsidP="00743276">
      <w:pPr>
        <w:spacing w:before="120" w:after="0"/>
      </w:pPr>
      <w:r w:rsidRPr="00DB426E">
        <w:t>Aprēķinu veikšanai ir izstrādāts finanšu modelis, kas ļauj imitēt:</w:t>
      </w:r>
    </w:p>
    <w:p w:rsidR="006D3AB5" w:rsidRPr="00DB426E" w:rsidRDefault="006D3AB5" w:rsidP="00475128">
      <w:pPr>
        <w:pStyle w:val="ListParagraph"/>
        <w:numPr>
          <w:ilvl w:val="0"/>
          <w:numId w:val="9"/>
        </w:numPr>
        <w:suppressAutoHyphens w:val="0"/>
        <w:spacing w:before="120"/>
        <w:rPr>
          <w:lang w:val="lv-LV"/>
        </w:rPr>
      </w:pPr>
      <w:r w:rsidRPr="00DB426E">
        <w:rPr>
          <w:lang w:val="lv-LV"/>
        </w:rPr>
        <w:t>Uzņēmumu attīstības programmu, akcentējot inovāciju;</w:t>
      </w:r>
    </w:p>
    <w:p w:rsidR="006D3AB5" w:rsidRPr="00DB426E" w:rsidRDefault="006D3AB5" w:rsidP="00475128">
      <w:pPr>
        <w:pStyle w:val="ListParagraph"/>
        <w:numPr>
          <w:ilvl w:val="0"/>
          <w:numId w:val="9"/>
        </w:numPr>
        <w:suppressAutoHyphens w:val="0"/>
        <w:spacing w:before="120"/>
        <w:rPr>
          <w:lang w:val="lv-LV"/>
        </w:rPr>
      </w:pPr>
      <w:r w:rsidRPr="00DB426E">
        <w:rPr>
          <w:lang w:val="lv-LV"/>
        </w:rPr>
        <w:t>Galvenos peļņas (zaudējumu) aprēķina rādītājus;</w:t>
      </w:r>
    </w:p>
    <w:p w:rsidR="006D3AB5" w:rsidRPr="00DB426E" w:rsidRDefault="006D3AB5" w:rsidP="00475128">
      <w:pPr>
        <w:pStyle w:val="ListParagraph"/>
        <w:numPr>
          <w:ilvl w:val="0"/>
          <w:numId w:val="9"/>
        </w:numPr>
        <w:suppressAutoHyphens w:val="0"/>
        <w:spacing w:before="120"/>
        <w:rPr>
          <w:lang w:val="lv-LV"/>
        </w:rPr>
      </w:pPr>
      <w:r w:rsidRPr="00DB426E">
        <w:rPr>
          <w:lang w:val="lv-LV"/>
        </w:rPr>
        <w:t xml:space="preserve">Amortizācijas atskaitījumu aprēķinu, ņemot vērā investīcijas; </w:t>
      </w:r>
    </w:p>
    <w:p w:rsidR="006D3AB5" w:rsidRPr="00DB426E" w:rsidRDefault="006D3AB5" w:rsidP="00475128">
      <w:pPr>
        <w:pStyle w:val="ListParagraph"/>
        <w:numPr>
          <w:ilvl w:val="0"/>
          <w:numId w:val="9"/>
        </w:numPr>
        <w:suppressAutoHyphens w:val="0"/>
        <w:spacing w:before="120"/>
        <w:rPr>
          <w:lang w:val="lv-LV"/>
        </w:rPr>
      </w:pPr>
      <w:r w:rsidRPr="00DB426E">
        <w:rPr>
          <w:lang w:val="lv-LV"/>
        </w:rPr>
        <w:t xml:space="preserve">Ar nodokli apliekamos uzņēmuma ienākumus, ieskaitot esošos un paredzētos atvieglojumus; </w:t>
      </w:r>
    </w:p>
    <w:p w:rsidR="006D3AB5" w:rsidRPr="00DB426E" w:rsidRDefault="006D3AB5" w:rsidP="00475128">
      <w:pPr>
        <w:pStyle w:val="ListParagraph"/>
        <w:numPr>
          <w:ilvl w:val="0"/>
          <w:numId w:val="9"/>
        </w:numPr>
        <w:suppressAutoHyphens w:val="0"/>
        <w:spacing w:before="120"/>
        <w:rPr>
          <w:lang w:val="lv-LV"/>
        </w:rPr>
      </w:pPr>
      <w:r w:rsidRPr="00DB426E">
        <w:rPr>
          <w:lang w:val="lv-LV"/>
        </w:rPr>
        <w:t>Uzņēmuma finanšu resursus.</w:t>
      </w:r>
    </w:p>
    <w:p w:rsidR="006D3AB5" w:rsidRPr="00DB426E" w:rsidRDefault="006D3AB5" w:rsidP="00743276">
      <w:pPr>
        <w:spacing w:before="120" w:after="0"/>
      </w:pPr>
      <w:r w:rsidRPr="00DB426E">
        <w:t>Modelis ir orientēts uz vidēja termiņa perspektīvu (5 gadiem).</w:t>
      </w:r>
    </w:p>
    <w:p w:rsidR="006D3AB5" w:rsidRPr="00DB426E" w:rsidRDefault="006D3AB5" w:rsidP="00743276">
      <w:pPr>
        <w:spacing w:before="120" w:after="0"/>
      </w:pPr>
      <w:r w:rsidRPr="00DB426E">
        <w:t xml:space="preserve">Lai veiktu modeļa </w:t>
      </w:r>
      <w:proofErr w:type="spellStart"/>
      <w:r w:rsidRPr="00DB426E">
        <w:t>parametrizāciju</w:t>
      </w:r>
      <w:proofErr w:type="spellEnd"/>
      <w:r w:rsidRPr="00DB426E">
        <w:t>, jāievada šādi dati:</w:t>
      </w:r>
    </w:p>
    <w:p w:rsidR="006D3AB5" w:rsidRPr="00DB426E" w:rsidRDefault="006D3AB5" w:rsidP="00A82D8E">
      <w:pPr>
        <w:pStyle w:val="ListParagraph"/>
        <w:numPr>
          <w:ilvl w:val="0"/>
          <w:numId w:val="12"/>
        </w:numPr>
        <w:tabs>
          <w:tab w:val="left" w:pos="709"/>
        </w:tabs>
        <w:suppressAutoHyphens w:val="0"/>
        <w:spacing w:before="120"/>
        <w:ind w:left="1077" w:hanging="793"/>
        <w:rPr>
          <w:lang w:val="lv-LV"/>
        </w:rPr>
      </w:pPr>
      <w:r w:rsidRPr="00DB426E">
        <w:rPr>
          <w:lang w:val="lv-LV"/>
        </w:rPr>
        <w:t>apgrozījums bāzes gadā;</w:t>
      </w:r>
    </w:p>
    <w:p w:rsidR="006D3AB5" w:rsidRPr="00DB426E" w:rsidRDefault="006D3AB5" w:rsidP="00A82D8E">
      <w:pPr>
        <w:pStyle w:val="ListParagraph"/>
        <w:numPr>
          <w:ilvl w:val="0"/>
          <w:numId w:val="12"/>
        </w:numPr>
        <w:tabs>
          <w:tab w:val="left" w:pos="709"/>
        </w:tabs>
        <w:suppressAutoHyphens w:val="0"/>
        <w:spacing w:before="120"/>
        <w:ind w:left="1077" w:hanging="793"/>
        <w:rPr>
          <w:lang w:val="lv-LV"/>
        </w:rPr>
      </w:pPr>
      <w:r w:rsidRPr="00DB426E">
        <w:rPr>
          <w:lang w:val="lv-LV"/>
        </w:rPr>
        <w:t>proporcijas starp apgrozījumu un izmaksām (ražošanas, pārdošanas, administratīvās izmaksas);</w:t>
      </w:r>
    </w:p>
    <w:p w:rsidR="006D3AB5" w:rsidRPr="00DB426E" w:rsidRDefault="006D3AB5" w:rsidP="00A82D8E">
      <w:pPr>
        <w:pStyle w:val="ListParagraph"/>
        <w:numPr>
          <w:ilvl w:val="0"/>
          <w:numId w:val="12"/>
        </w:numPr>
        <w:tabs>
          <w:tab w:val="left" w:pos="709"/>
        </w:tabs>
        <w:suppressAutoHyphens w:val="0"/>
        <w:spacing w:before="120"/>
        <w:ind w:left="1077" w:hanging="793"/>
        <w:rPr>
          <w:lang w:val="lv-LV"/>
        </w:rPr>
      </w:pPr>
      <w:r w:rsidRPr="00DB426E">
        <w:rPr>
          <w:lang w:val="lv-LV"/>
        </w:rPr>
        <w:t>pamatlīdzekļu vērtību un vidējo nolietojuma likmi.</w:t>
      </w:r>
    </w:p>
    <w:p w:rsidR="006D3AB5" w:rsidRPr="00DB426E" w:rsidRDefault="006D3AB5" w:rsidP="00743276">
      <w:pPr>
        <w:spacing w:before="120" w:after="0"/>
      </w:pPr>
      <w:r w:rsidRPr="00DB426E">
        <w:t xml:space="preserve">Attīstības programma sastāv no divām komponentēm: </w:t>
      </w:r>
    </w:p>
    <w:p w:rsidR="006D3AB5" w:rsidRPr="00DB426E" w:rsidRDefault="006D3AB5" w:rsidP="00743276">
      <w:pPr>
        <w:pStyle w:val="ListParagraph"/>
        <w:numPr>
          <w:ilvl w:val="0"/>
          <w:numId w:val="10"/>
        </w:numPr>
        <w:suppressAutoHyphens w:val="0"/>
        <w:spacing w:before="120"/>
        <w:ind w:left="714" w:hanging="357"/>
        <w:rPr>
          <w:lang w:val="lv-LV"/>
        </w:rPr>
      </w:pPr>
      <w:r w:rsidRPr="00DB426E">
        <w:rPr>
          <w:lang w:val="lv-LV"/>
        </w:rPr>
        <w:t>izdevumi zinātniskajiem pētījumiem, kas ietverti kārtējās izmaksās</w:t>
      </w:r>
      <w:r w:rsidRPr="00DB426E">
        <w:rPr>
          <w:rStyle w:val="FootnoteReference"/>
          <w:lang w:val="lv-LV"/>
        </w:rPr>
        <w:footnoteReference w:id="14"/>
      </w:r>
      <w:r w:rsidRPr="00DB426E">
        <w:rPr>
          <w:lang w:val="lv-LV"/>
        </w:rPr>
        <w:t>, un kuros ietverta ievērojama daļa no zinātnisko darbinieku darba algas;</w:t>
      </w:r>
    </w:p>
    <w:p w:rsidR="006D3AB5" w:rsidRPr="00DB426E" w:rsidRDefault="006D3AB5" w:rsidP="00475128">
      <w:pPr>
        <w:pStyle w:val="ListParagraph"/>
        <w:numPr>
          <w:ilvl w:val="0"/>
          <w:numId w:val="10"/>
        </w:numPr>
        <w:suppressAutoHyphens w:val="0"/>
        <w:spacing w:before="120"/>
        <w:ind w:left="714" w:hanging="357"/>
        <w:rPr>
          <w:lang w:val="lv-LV"/>
        </w:rPr>
      </w:pPr>
      <w:r w:rsidRPr="00DB426E">
        <w:rPr>
          <w:lang w:val="lv-LV"/>
        </w:rPr>
        <w:t xml:space="preserve">investīcijas pamatlīdzekļos, kas nepieciešami zinātnisko rezultātu ieviešanai. Kapitālās izmaksas atspoguļojas bilances postenī </w:t>
      </w:r>
      <w:r w:rsidRPr="00DB426E">
        <w:rPr>
          <w:i/>
          <w:lang w:val="lv-LV"/>
        </w:rPr>
        <w:t xml:space="preserve">materiālie </w:t>
      </w:r>
      <w:r w:rsidRPr="00DB426E">
        <w:rPr>
          <w:lang w:val="lv-LV"/>
        </w:rPr>
        <w:t>ieguldījumi un tiek amortizētas.</w:t>
      </w:r>
    </w:p>
    <w:p w:rsidR="006D3AB5" w:rsidRPr="00DB426E" w:rsidRDefault="006D3AB5" w:rsidP="006D3AB5"/>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w:t>
      </w:r>
      <w:r w:rsidR="009B0188">
        <w:rPr>
          <w:noProof/>
        </w:rPr>
        <w:fldChar w:fldCharType="end"/>
      </w:r>
      <w:r w:rsidRPr="00DB426E">
        <w:t>. Finanšu modeļa blokshēma nodokļu atvieglojumu izvērtēšanai</w:t>
      </w:r>
    </w:p>
    <w:p w:rsidR="006D3AB5" w:rsidRPr="00DB426E" w:rsidRDefault="006C3F27" w:rsidP="006D3AB5">
      <w:pPr>
        <w:jc w:val="center"/>
      </w:pPr>
      <w:r>
        <w:rPr>
          <w:noProof/>
          <w:lang w:eastAsia="lv-LV"/>
        </w:rPr>
        <w:drawing>
          <wp:inline distT="0" distB="0" distL="0" distR="0" wp14:anchorId="797BA1F8" wp14:editId="17019132">
            <wp:extent cx="4582160" cy="2875280"/>
            <wp:effectExtent l="1905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srcRect/>
                    <a:stretch>
                      <a:fillRect/>
                    </a:stretch>
                  </pic:blipFill>
                  <pic:spPr bwMode="auto">
                    <a:xfrm>
                      <a:off x="0" y="0"/>
                      <a:ext cx="4582160" cy="2875280"/>
                    </a:xfrm>
                    <a:prstGeom prst="rect">
                      <a:avLst/>
                    </a:prstGeom>
                    <a:noFill/>
                    <a:ln w="9525">
                      <a:noFill/>
                      <a:miter lim="800000"/>
                      <a:headEnd/>
                      <a:tailEnd/>
                    </a:ln>
                  </pic:spPr>
                </pic:pic>
              </a:graphicData>
            </a:graphic>
          </wp:inline>
        </w:drawing>
      </w:r>
    </w:p>
    <w:p w:rsidR="006D3AB5" w:rsidRPr="00DB426E" w:rsidRDefault="006D3AB5" w:rsidP="00743276">
      <w:r w:rsidRPr="00DB426E">
        <w:t>Šāda pieeja ļauj analizēt personāla darba algas nodokļu (VSAOI, IIN) un uzņēmumu ienākuma nodokļu atvieglojumus, aprēķinos veicot nodokļu bāzes korekciju.</w:t>
      </w:r>
    </w:p>
    <w:p w:rsidR="006D3AB5" w:rsidRPr="00DB426E" w:rsidRDefault="006D3AB5" w:rsidP="00BE6022">
      <w:pPr>
        <w:spacing w:after="0" w:line="360" w:lineRule="auto"/>
      </w:pPr>
      <w:r w:rsidRPr="00DB426E">
        <w:t xml:space="preserve">Modelī paredzēti regulējošie parametri, kurus variējot var: </w:t>
      </w:r>
    </w:p>
    <w:p w:rsidR="006D3AB5" w:rsidRPr="009225AB" w:rsidRDefault="006D3AB5" w:rsidP="00BE6022">
      <w:pPr>
        <w:pStyle w:val="ListParagraph"/>
        <w:numPr>
          <w:ilvl w:val="0"/>
          <w:numId w:val="114"/>
        </w:numPr>
        <w:ind w:left="714" w:hanging="357"/>
        <w:rPr>
          <w:lang w:val="lv-LV"/>
        </w:rPr>
      </w:pPr>
      <w:r w:rsidRPr="009225AB">
        <w:rPr>
          <w:lang w:val="lv-LV"/>
        </w:rPr>
        <w:t xml:space="preserve">noteikt uzņēmuma attīstības tendences, </w:t>
      </w:r>
    </w:p>
    <w:p w:rsidR="006D3AB5" w:rsidRPr="009225AB" w:rsidRDefault="006D3AB5" w:rsidP="00BE6022">
      <w:pPr>
        <w:pStyle w:val="ListParagraph"/>
        <w:numPr>
          <w:ilvl w:val="0"/>
          <w:numId w:val="114"/>
        </w:numPr>
        <w:ind w:left="714" w:hanging="357"/>
        <w:rPr>
          <w:lang w:val="lv-LV"/>
        </w:rPr>
      </w:pPr>
      <w:r w:rsidRPr="009225AB">
        <w:rPr>
          <w:lang w:val="lv-LV"/>
        </w:rPr>
        <w:t>imitēt nodokļu atvieglojumu mehānismus,</w:t>
      </w:r>
    </w:p>
    <w:p w:rsidR="006D3AB5" w:rsidRPr="009225AB" w:rsidRDefault="006D3AB5" w:rsidP="00BE6022">
      <w:pPr>
        <w:pStyle w:val="ListParagraph"/>
        <w:numPr>
          <w:ilvl w:val="0"/>
          <w:numId w:val="114"/>
        </w:numPr>
        <w:ind w:left="714" w:hanging="357"/>
        <w:rPr>
          <w:lang w:val="lv-LV"/>
        </w:rPr>
      </w:pPr>
      <w:r w:rsidRPr="009225AB">
        <w:rPr>
          <w:lang w:val="lv-LV"/>
        </w:rPr>
        <w:t>analizēt un salīdzināt uzņēmuma finanšu resursus atkarībā no atvieglojumiem un uzņēmuma sākotnējiem finanšu rādītājiem.</w:t>
      </w:r>
    </w:p>
    <w:p w:rsidR="006D3AB5" w:rsidRPr="00DB426E" w:rsidRDefault="006D3AB5" w:rsidP="00BE6022">
      <w:pPr>
        <w:spacing w:before="120" w:after="0" w:line="240" w:lineRule="auto"/>
      </w:pPr>
      <w:r w:rsidRPr="00DB426E">
        <w:t xml:space="preserve">Aprēķini </w:t>
      </w:r>
      <w:r w:rsidRPr="00A82D8E">
        <w:t xml:space="preserve">veikti </w:t>
      </w:r>
      <w:r w:rsidR="00743276" w:rsidRPr="00A82D8E">
        <w:t>trim</w:t>
      </w:r>
      <w:r w:rsidRPr="00A82D8E">
        <w:t xml:space="preserve"> uzņēmumu grupām: </w:t>
      </w:r>
      <w:r w:rsidRPr="00A82D8E">
        <w:rPr>
          <w:i/>
          <w:u w:val="single"/>
        </w:rPr>
        <w:t>lielie</w:t>
      </w:r>
      <w:r w:rsidRPr="00A82D8E">
        <w:t>,</w:t>
      </w:r>
      <w:r w:rsidRPr="00A82D8E">
        <w:rPr>
          <w:i/>
        </w:rPr>
        <w:t xml:space="preserve"> </w:t>
      </w:r>
      <w:r w:rsidRPr="00A82D8E">
        <w:t>kuru apgrozījums pārsniedz 35 milj. latu;</w:t>
      </w:r>
      <w:r w:rsidRPr="00A82D8E">
        <w:rPr>
          <w:i/>
        </w:rPr>
        <w:t xml:space="preserve"> </w:t>
      </w:r>
      <w:r w:rsidRPr="00A82D8E">
        <w:rPr>
          <w:i/>
          <w:u w:val="single"/>
        </w:rPr>
        <w:t>vidējie</w:t>
      </w:r>
      <w:r w:rsidRPr="00A82D8E">
        <w:rPr>
          <w:i/>
        </w:rPr>
        <w:t xml:space="preserve"> </w:t>
      </w:r>
      <w:r w:rsidRPr="00A82D8E">
        <w:t>ar apgrozījumu</w:t>
      </w:r>
      <w:r w:rsidRPr="00DB426E">
        <w:t xml:space="preserve"> </w:t>
      </w:r>
      <w:r w:rsidR="00743276">
        <w:t xml:space="preserve">no 7 </w:t>
      </w:r>
      <w:r w:rsidRPr="00DB426E">
        <w:t>līdz 35 milj. latu</w:t>
      </w:r>
      <w:r w:rsidRPr="00DB426E">
        <w:rPr>
          <w:rStyle w:val="FootnoteReference"/>
        </w:rPr>
        <w:footnoteReference w:id="15"/>
      </w:r>
      <w:r w:rsidR="00BE6022">
        <w:t xml:space="preserve">; </w:t>
      </w:r>
      <w:r w:rsidR="00743276" w:rsidRPr="00DB426E">
        <w:rPr>
          <w:i/>
          <w:u w:val="single"/>
        </w:rPr>
        <w:t xml:space="preserve">mazie </w:t>
      </w:r>
      <w:r w:rsidR="00BE6022" w:rsidRPr="00DB426E">
        <w:t xml:space="preserve">ar apgrozījumu līdz </w:t>
      </w:r>
      <w:r w:rsidR="00BE6022">
        <w:t>7</w:t>
      </w:r>
      <w:r w:rsidR="00BE6022" w:rsidRPr="00DB426E">
        <w:t xml:space="preserve"> milj. latu</w:t>
      </w:r>
      <w:r w:rsidR="00BE6022">
        <w:t>.</w:t>
      </w:r>
    </w:p>
    <w:p w:rsidR="006D3AB5" w:rsidRPr="00DB426E" w:rsidRDefault="006D3AB5" w:rsidP="00475128">
      <w:pPr>
        <w:pStyle w:val="Heading2"/>
        <w:numPr>
          <w:ilvl w:val="1"/>
          <w:numId w:val="4"/>
        </w:numPr>
        <w:suppressAutoHyphens w:val="0"/>
        <w:spacing w:before="240" w:after="60"/>
        <w:jc w:val="both"/>
        <w:rPr>
          <w:rStyle w:val="Heading3Char"/>
          <w:b/>
          <w:bCs w:val="0"/>
          <w:sz w:val="28"/>
          <w:szCs w:val="28"/>
        </w:rPr>
      </w:pPr>
      <w:bookmarkStart w:id="83" w:name="_Toc355007919"/>
      <w:bookmarkStart w:id="84" w:name="_Toc355008082"/>
      <w:bookmarkStart w:id="85" w:name="_Toc356472861"/>
      <w:bookmarkStart w:id="86" w:name="_Toc358978701"/>
      <w:r w:rsidRPr="00DB426E">
        <w:rPr>
          <w:rStyle w:val="Heading3Char"/>
          <w:b/>
          <w:bCs w:val="0"/>
          <w:sz w:val="28"/>
          <w:szCs w:val="28"/>
        </w:rPr>
        <w:t>Aprēķinu pieņēmumi</w:t>
      </w:r>
      <w:bookmarkEnd w:id="83"/>
      <w:bookmarkEnd w:id="84"/>
      <w:bookmarkEnd w:id="85"/>
      <w:bookmarkEnd w:id="86"/>
    </w:p>
    <w:p w:rsidR="006D3AB5" w:rsidRPr="00DB426E" w:rsidRDefault="006D3AB5" w:rsidP="00475128">
      <w:pPr>
        <w:pStyle w:val="ListParagraph"/>
        <w:numPr>
          <w:ilvl w:val="0"/>
          <w:numId w:val="14"/>
        </w:numPr>
        <w:suppressAutoHyphens w:val="0"/>
        <w:spacing w:before="120"/>
        <w:ind w:left="357" w:hanging="357"/>
        <w:rPr>
          <w:lang w:val="lv-LV"/>
        </w:rPr>
      </w:pPr>
      <w:r w:rsidRPr="00DB426E">
        <w:rPr>
          <w:lang w:val="lv-LV"/>
        </w:rPr>
        <w:t xml:space="preserve">Modeļa </w:t>
      </w:r>
      <w:proofErr w:type="spellStart"/>
      <w:r w:rsidRPr="00DB426E">
        <w:rPr>
          <w:lang w:val="lv-LV"/>
        </w:rPr>
        <w:t>parametrizācija</w:t>
      </w:r>
      <w:proofErr w:type="spellEnd"/>
      <w:r w:rsidRPr="00DB426E">
        <w:rPr>
          <w:lang w:val="lv-LV"/>
        </w:rPr>
        <w:t xml:space="preserve"> veikta, izmantojot ražošanas jomā strādājošo uzņēmumu faktiskos datus par 2011.</w:t>
      </w:r>
      <w:r w:rsidR="00CC0FFE">
        <w:rPr>
          <w:lang w:val="lv-LV"/>
        </w:rPr>
        <w:t>un 2012.</w:t>
      </w:r>
      <w:r w:rsidRPr="00DB426E">
        <w:rPr>
          <w:lang w:val="lv-LV"/>
        </w:rPr>
        <w:t xml:space="preserve">gadu. </w:t>
      </w:r>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w:t>
      </w:r>
      <w:r w:rsidR="009B0188">
        <w:rPr>
          <w:noProof/>
        </w:rPr>
        <w:fldChar w:fldCharType="end"/>
      </w:r>
      <w:r w:rsidRPr="00DB426E">
        <w:t xml:space="preserve">. Aprēķinu sākotnējie dati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1385"/>
        <w:gridCol w:w="1856"/>
        <w:gridCol w:w="1985"/>
        <w:gridCol w:w="1842"/>
      </w:tblGrid>
      <w:tr w:rsidR="00BE6022" w:rsidRPr="00DB426E" w:rsidTr="00BE6022">
        <w:tc>
          <w:tcPr>
            <w:tcW w:w="2571" w:type="dxa"/>
            <w:shd w:val="clear" w:color="auto" w:fill="D9D9D9"/>
            <w:vAlign w:val="center"/>
          </w:tcPr>
          <w:p w:rsidR="00BE6022" w:rsidRPr="00DB426E" w:rsidRDefault="00BE6022" w:rsidP="00E66971">
            <w:pPr>
              <w:spacing w:after="0"/>
              <w:rPr>
                <w:rFonts w:eastAsia="Times New Roman"/>
                <w:b/>
              </w:rPr>
            </w:pPr>
          </w:p>
        </w:tc>
        <w:tc>
          <w:tcPr>
            <w:tcW w:w="1385" w:type="dxa"/>
            <w:shd w:val="clear" w:color="auto" w:fill="D9D9D9"/>
            <w:vAlign w:val="center"/>
          </w:tcPr>
          <w:p w:rsidR="00BE6022" w:rsidRPr="00DB426E" w:rsidRDefault="00BE6022" w:rsidP="00BE6022">
            <w:pPr>
              <w:spacing w:before="60" w:after="60"/>
              <w:rPr>
                <w:rFonts w:eastAsia="Times New Roman"/>
                <w:b/>
              </w:rPr>
            </w:pPr>
            <w:r w:rsidRPr="00DB426E">
              <w:rPr>
                <w:rFonts w:eastAsia="Times New Roman"/>
                <w:b/>
              </w:rPr>
              <w:t>Mērvienība</w:t>
            </w:r>
          </w:p>
        </w:tc>
        <w:tc>
          <w:tcPr>
            <w:tcW w:w="1856" w:type="dxa"/>
            <w:shd w:val="clear" w:color="auto" w:fill="D9D9D9"/>
            <w:vAlign w:val="center"/>
          </w:tcPr>
          <w:p w:rsidR="00BE6022" w:rsidRPr="00DB426E" w:rsidRDefault="00BE6022" w:rsidP="00BE6022">
            <w:pPr>
              <w:spacing w:before="60" w:after="60"/>
              <w:jc w:val="center"/>
              <w:rPr>
                <w:rFonts w:eastAsia="Times New Roman"/>
                <w:b/>
              </w:rPr>
            </w:pPr>
            <w:r w:rsidRPr="00DB426E">
              <w:rPr>
                <w:rFonts w:eastAsia="Times New Roman"/>
                <w:b/>
              </w:rPr>
              <w:t>Lielie uzņēmumi</w:t>
            </w:r>
          </w:p>
        </w:tc>
        <w:tc>
          <w:tcPr>
            <w:tcW w:w="1985" w:type="dxa"/>
            <w:shd w:val="clear" w:color="auto" w:fill="D9D9D9"/>
            <w:vAlign w:val="center"/>
          </w:tcPr>
          <w:p w:rsidR="00BE6022" w:rsidRPr="00DB426E" w:rsidRDefault="00BE6022" w:rsidP="00BE6022">
            <w:pPr>
              <w:spacing w:before="60" w:after="60"/>
              <w:jc w:val="center"/>
              <w:rPr>
                <w:rFonts w:eastAsia="Times New Roman"/>
                <w:b/>
              </w:rPr>
            </w:pPr>
            <w:r w:rsidRPr="00DB426E">
              <w:rPr>
                <w:rFonts w:eastAsia="Times New Roman"/>
                <w:b/>
              </w:rPr>
              <w:t>Vidējie uzņēmumi</w:t>
            </w:r>
          </w:p>
        </w:tc>
        <w:tc>
          <w:tcPr>
            <w:tcW w:w="1842" w:type="dxa"/>
            <w:shd w:val="clear" w:color="auto" w:fill="D9D9D9"/>
            <w:vAlign w:val="center"/>
          </w:tcPr>
          <w:p w:rsidR="00BE6022" w:rsidRPr="00DB426E" w:rsidRDefault="00BE6022" w:rsidP="00BE6022">
            <w:pPr>
              <w:spacing w:before="60" w:after="60"/>
              <w:jc w:val="center"/>
              <w:rPr>
                <w:rFonts w:eastAsia="Times New Roman"/>
                <w:b/>
              </w:rPr>
            </w:pPr>
            <w:r>
              <w:rPr>
                <w:rFonts w:eastAsia="Times New Roman"/>
                <w:b/>
              </w:rPr>
              <w:t>Mazie uzņēmumi</w:t>
            </w:r>
          </w:p>
        </w:tc>
      </w:tr>
      <w:tr w:rsidR="00BE6022" w:rsidRPr="00DB426E" w:rsidTr="00CC0FFE">
        <w:tc>
          <w:tcPr>
            <w:tcW w:w="2571" w:type="dxa"/>
            <w:shd w:val="clear" w:color="auto" w:fill="auto"/>
            <w:vAlign w:val="center"/>
          </w:tcPr>
          <w:p w:rsidR="00BE6022" w:rsidRPr="00DB426E" w:rsidRDefault="00BE6022" w:rsidP="00E66971">
            <w:pPr>
              <w:spacing w:after="0"/>
              <w:rPr>
                <w:rFonts w:eastAsia="Times New Roman"/>
              </w:rPr>
            </w:pPr>
            <w:r w:rsidRPr="00DB426E">
              <w:rPr>
                <w:rFonts w:eastAsia="Times New Roman"/>
              </w:rPr>
              <w:t>Neto apgrozījums (NA)</w:t>
            </w:r>
          </w:p>
        </w:tc>
        <w:tc>
          <w:tcPr>
            <w:tcW w:w="13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milj. LVL</w:t>
            </w:r>
          </w:p>
        </w:tc>
        <w:tc>
          <w:tcPr>
            <w:tcW w:w="1856"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62.2</w:t>
            </w:r>
          </w:p>
        </w:tc>
        <w:tc>
          <w:tcPr>
            <w:tcW w:w="19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22.7</w:t>
            </w:r>
          </w:p>
        </w:tc>
        <w:tc>
          <w:tcPr>
            <w:tcW w:w="1842" w:type="dxa"/>
            <w:vAlign w:val="center"/>
          </w:tcPr>
          <w:p w:rsidR="00BE6022" w:rsidRPr="00DB426E" w:rsidRDefault="00CC0FFE" w:rsidP="00CC0FFE">
            <w:pPr>
              <w:spacing w:after="0"/>
              <w:jc w:val="center"/>
              <w:rPr>
                <w:rFonts w:eastAsia="Times New Roman"/>
              </w:rPr>
            </w:pPr>
            <w:r>
              <w:rPr>
                <w:rFonts w:eastAsia="Times New Roman"/>
              </w:rPr>
              <w:t>3.1</w:t>
            </w:r>
          </w:p>
        </w:tc>
      </w:tr>
      <w:tr w:rsidR="00BE6022" w:rsidRPr="00DB426E" w:rsidTr="00CC0FFE">
        <w:tc>
          <w:tcPr>
            <w:tcW w:w="2571" w:type="dxa"/>
            <w:shd w:val="clear" w:color="auto" w:fill="FFFFFF"/>
            <w:vAlign w:val="center"/>
          </w:tcPr>
          <w:p w:rsidR="00BE6022" w:rsidRPr="00DB426E" w:rsidRDefault="00BE6022" w:rsidP="00E66971">
            <w:pPr>
              <w:spacing w:after="0"/>
              <w:rPr>
                <w:rFonts w:eastAsia="Times New Roman"/>
              </w:rPr>
            </w:pPr>
            <w:r w:rsidRPr="00DB426E">
              <w:rPr>
                <w:rFonts w:eastAsia="Times New Roman"/>
              </w:rPr>
              <w:t>Ražošanas izmaksas</w:t>
            </w:r>
          </w:p>
        </w:tc>
        <w:tc>
          <w:tcPr>
            <w:tcW w:w="1385"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 no NA</w:t>
            </w:r>
          </w:p>
        </w:tc>
        <w:tc>
          <w:tcPr>
            <w:tcW w:w="1856"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41%</w:t>
            </w:r>
          </w:p>
        </w:tc>
        <w:tc>
          <w:tcPr>
            <w:tcW w:w="1985"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81.7%</w:t>
            </w:r>
          </w:p>
        </w:tc>
        <w:tc>
          <w:tcPr>
            <w:tcW w:w="1842" w:type="dxa"/>
            <w:shd w:val="clear" w:color="auto" w:fill="FFFFFF"/>
            <w:vAlign w:val="center"/>
          </w:tcPr>
          <w:p w:rsidR="00BE6022" w:rsidRPr="00DB426E" w:rsidRDefault="00CC0FFE" w:rsidP="00CC0FFE">
            <w:pPr>
              <w:spacing w:after="0"/>
              <w:jc w:val="center"/>
              <w:rPr>
                <w:rFonts w:eastAsia="Times New Roman"/>
              </w:rPr>
            </w:pPr>
            <w:r>
              <w:rPr>
                <w:rFonts w:eastAsia="Times New Roman"/>
              </w:rPr>
              <w:t>83.4%</w:t>
            </w:r>
          </w:p>
        </w:tc>
      </w:tr>
      <w:tr w:rsidR="00BE6022" w:rsidRPr="00DB426E" w:rsidTr="00CC0FFE">
        <w:tc>
          <w:tcPr>
            <w:tcW w:w="2571" w:type="dxa"/>
            <w:shd w:val="clear" w:color="auto" w:fill="auto"/>
            <w:vAlign w:val="center"/>
          </w:tcPr>
          <w:p w:rsidR="00BE6022" w:rsidRPr="00DB426E" w:rsidRDefault="00BE6022" w:rsidP="00E66971">
            <w:pPr>
              <w:spacing w:after="0"/>
              <w:rPr>
                <w:rFonts w:eastAsia="Times New Roman"/>
              </w:rPr>
            </w:pPr>
            <w:r w:rsidRPr="00DB426E">
              <w:rPr>
                <w:rFonts w:eastAsia="Times New Roman"/>
              </w:rPr>
              <w:t>Pārdošanas izmaksas</w:t>
            </w:r>
          </w:p>
        </w:tc>
        <w:tc>
          <w:tcPr>
            <w:tcW w:w="13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 no NA</w:t>
            </w:r>
          </w:p>
        </w:tc>
        <w:tc>
          <w:tcPr>
            <w:tcW w:w="1856"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27%</w:t>
            </w:r>
          </w:p>
        </w:tc>
        <w:tc>
          <w:tcPr>
            <w:tcW w:w="19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2.7%</w:t>
            </w:r>
          </w:p>
        </w:tc>
        <w:tc>
          <w:tcPr>
            <w:tcW w:w="1842" w:type="dxa"/>
            <w:vAlign w:val="center"/>
          </w:tcPr>
          <w:p w:rsidR="00BE6022" w:rsidRPr="00DB426E" w:rsidRDefault="00CC0FFE" w:rsidP="00CC0FFE">
            <w:pPr>
              <w:spacing w:after="0"/>
              <w:jc w:val="center"/>
              <w:rPr>
                <w:rFonts w:eastAsia="Times New Roman"/>
              </w:rPr>
            </w:pPr>
            <w:r>
              <w:rPr>
                <w:rFonts w:eastAsia="Times New Roman"/>
              </w:rPr>
              <w:t>4.9%</w:t>
            </w:r>
          </w:p>
        </w:tc>
      </w:tr>
      <w:tr w:rsidR="00BE6022" w:rsidRPr="00DB426E" w:rsidTr="00CC0FFE">
        <w:tc>
          <w:tcPr>
            <w:tcW w:w="2571" w:type="dxa"/>
            <w:shd w:val="clear" w:color="auto" w:fill="FFFFFF"/>
            <w:vAlign w:val="center"/>
          </w:tcPr>
          <w:p w:rsidR="00BE6022" w:rsidRPr="00DB426E" w:rsidRDefault="00BE6022" w:rsidP="00E66971">
            <w:pPr>
              <w:spacing w:after="0"/>
              <w:rPr>
                <w:rFonts w:eastAsia="Times New Roman"/>
              </w:rPr>
            </w:pPr>
            <w:r w:rsidRPr="00DB426E">
              <w:rPr>
                <w:rFonts w:eastAsia="Times New Roman"/>
              </w:rPr>
              <w:t>Administrācijas izmaksas</w:t>
            </w:r>
          </w:p>
        </w:tc>
        <w:tc>
          <w:tcPr>
            <w:tcW w:w="1385"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 no NA</w:t>
            </w:r>
          </w:p>
        </w:tc>
        <w:tc>
          <w:tcPr>
            <w:tcW w:w="1856"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7.6%</w:t>
            </w:r>
          </w:p>
        </w:tc>
        <w:tc>
          <w:tcPr>
            <w:tcW w:w="1985"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8.6%</w:t>
            </w:r>
          </w:p>
        </w:tc>
        <w:tc>
          <w:tcPr>
            <w:tcW w:w="1842" w:type="dxa"/>
            <w:shd w:val="clear" w:color="auto" w:fill="FFFFFF"/>
            <w:vAlign w:val="center"/>
          </w:tcPr>
          <w:p w:rsidR="00BE6022" w:rsidRPr="00DB426E" w:rsidRDefault="00CC0FFE" w:rsidP="00CC0FFE">
            <w:pPr>
              <w:spacing w:after="0"/>
              <w:jc w:val="center"/>
              <w:rPr>
                <w:rFonts w:eastAsia="Times New Roman"/>
              </w:rPr>
            </w:pPr>
            <w:r>
              <w:rPr>
                <w:rFonts w:eastAsia="Times New Roman"/>
              </w:rPr>
              <w:t>2.5%</w:t>
            </w:r>
          </w:p>
        </w:tc>
      </w:tr>
      <w:tr w:rsidR="00BE6022" w:rsidRPr="00DB426E" w:rsidTr="00CC0FFE">
        <w:tc>
          <w:tcPr>
            <w:tcW w:w="2571" w:type="dxa"/>
            <w:shd w:val="clear" w:color="auto" w:fill="auto"/>
            <w:vAlign w:val="center"/>
          </w:tcPr>
          <w:p w:rsidR="00BE6022" w:rsidRPr="00DB426E" w:rsidRDefault="00BE6022" w:rsidP="00E66971">
            <w:pPr>
              <w:spacing w:after="0"/>
              <w:rPr>
                <w:rFonts w:eastAsia="Times New Roman"/>
              </w:rPr>
            </w:pPr>
            <w:r w:rsidRPr="00DB426E">
              <w:rPr>
                <w:rFonts w:eastAsia="Times New Roman"/>
              </w:rPr>
              <w:t>Esošo pamatlīdzekļu vērtība</w:t>
            </w:r>
          </w:p>
        </w:tc>
        <w:tc>
          <w:tcPr>
            <w:tcW w:w="13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milj. LVL</w:t>
            </w:r>
          </w:p>
        </w:tc>
        <w:tc>
          <w:tcPr>
            <w:tcW w:w="1856"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42.8</w:t>
            </w:r>
          </w:p>
        </w:tc>
        <w:tc>
          <w:tcPr>
            <w:tcW w:w="19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7.7</w:t>
            </w:r>
          </w:p>
        </w:tc>
        <w:tc>
          <w:tcPr>
            <w:tcW w:w="1842" w:type="dxa"/>
            <w:vAlign w:val="center"/>
          </w:tcPr>
          <w:p w:rsidR="00BE6022" w:rsidRPr="00DB426E" w:rsidRDefault="00CC0FFE" w:rsidP="00CC0FFE">
            <w:pPr>
              <w:spacing w:after="0"/>
              <w:jc w:val="center"/>
              <w:rPr>
                <w:rFonts w:eastAsia="Times New Roman"/>
              </w:rPr>
            </w:pPr>
            <w:r>
              <w:rPr>
                <w:rFonts w:eastAsia="Times New Roman"/>
              </w:rPr>
              <w:t>1.0</w:t>
            </w:r>
          </w:p>
        </w:tc>
      </w:tr>
      <w:tr w:rsidR="00BE6022" w:rsidRPr="00DB426E" w:rsidTr="00CC0FFE">
        <w:tc>
          <w:tcPr>
            <w:tcW w:w="2571" w:type="dxa"/>
            <w:shd w:val="clear" w:color="auto" w:fill="FFFFFF"/>
            <w:vAlign w:val="center"/>
          </w:tcPr>
          <w:p w:rsidR="00BE6022" w:rsidRPr="00DB426E" w:rsidRDefault="00BE6022" w:rsidP="00E66971">
            <w:pPr>
              <w:spacing w:after="0"/>
              <w:rPr>
                <w:rFonts w:eastAsia="Times New Roman"/>
              </w:rPr>
            </w:pPr>
            <w:r w:rsidRPr="00DB426E">
              <w:rPr>
                <w:rFonts w:eastAsia="Times New Roman"/>
              </w:rPr>
              <w:t>Vidēja nolietojuma likme</w:t>
            </w:r>
          </w:p>
        </w:tc>
        <w:tc>
          <w:tcPr>
            <w:tcW w:w="1385"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w:t>
            </w:r>
          </w:p>
        </w:tc>
        <w:tc>
          <w:tcPr>
            <w:tcW w:w="1856"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5.1%</w:t>
            </w:r>
          </w:p>
        </w:tc>
        <w:tc>
          <w:tcPr>
            <w:tcW w:w="1985"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3.8%</w:t>
            </w:r>
          </w:p>
        </w:tc>
        <w:tc>
          <w:tcPr>
            <w:tcW w:w="1842" w:type="dxa"/>
            <w:shd w:val="clear" w:color="auto" w:fill="FFFFFF"/>
            <w:vAlign w:val="center"/>
          </w:tcPr>
          <w:p w:rsidR="00BE6022" w:rsidRPr="00DB426E" w:rsidRDefault="00CC0FFE" w:rsidP="00CC0FFE">
            <w:pPr>
              <w:spacing w:after="0"/>
              <w:jc w:val="center"/>
              <w:rPr>
                <w:rFonts w:eastAsia="Times New Roman"/>
              </w:rPr>
            </w:pPr>
            <w:r>
              <w:rPr>
                <w:rFonts w:eastAsia="Times New Roman"/>
              </w:rPr>
              <w:t>16.8%</w:t>
            </w:r>
          </w:p>
        </w:tc>
      </w:tr>
      <w:tr w:rsidR="00BE6022" w:rsidRPr="00DB426E" w:rsidTr="00CC0FFE">
        <w:tc>
          <w:tcPr>
            <w:tcW w:w="2571" w:type="dxa"/>
            <w:shd w:val="clear" w:color="auto" w:fill="auto"/>
            <w:vAlign w:val="center"/>
          </w:tcPr>
          <w:p w:rsidR="00BE6022" w:rsidRPr="00DB426E" w:rsidRDefault="00BE6022" w:rsidP="00E66971">
            <w:pPr>
              <w:spacing w:after="0"/>
              <w:rPr>
                <w:rFonts w:eastAsia="Times New Roman"/>
              </w:rPr>
            </w:pPr>
            <w:r w:rsidRPr="00DB426E">
              <w:rPr>
                <w:rFonts w:eastAsia="Times New Roman"/>
              </w:rPr>
              <w:t xml:space="preserve">Zinātniski pētnieciskie (ZP) izdevumi </w:t>
            </w:r>
          </w:p>
        </w:tc>
        <w:tc>
          <w:tcPr>
            <w:tcW w:w="13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 no NA</w:t>
            </w:r>
          </w:p>
        </w:tc>
        <w:tc>
          <w:tcPr>
            <w:tcW w:w="1856"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4.5%</w:t>
            </w:r>
          </w:p>
        </w:tc>
        <w:tc>
          <w:tcPr>
            <w:tcW w:w="1985" w:type="dxa"/>
            <w:shd w:val="clear" w:color="auto" w:fill="auto"/>
            <w:vAlign w:val="center"/>
          </w:tcPr>
          <w:p w:rsidR="00BE6022" w:rsidRPr="00DB426E" w:rsidRDefault="00BE6022" w:rsidP="00E66971">
            <w:pPr>
              <w:spacing w:after="0"/>
              <w:jc w:val="center"/>
              <w:rPr>
                <w:rFonts w:eastAsia="Times New Roman"/>
              </w:rPr>
            </w:pPr>
            <w:r w:rsidRPr="00DB426E">
              <w:rPr>
                <w:rFonts w:eastAsia="Times New Roman"/>
              </w:rPr>
              <w:t>0.3%</w:t>
            </w:r>
          </w:p>
        </w:tc>
        <w:tc>
          <w:tcPr>
            <w:tcW w:w="1842" w:type="dxa"/>
            <w:vAlign w:val="center"/>
          </w:tcPr>
          <w:p w:rsidR="00BE6022" w:rsidRPr="00DB426E" w:rsidRDefault="00CC0FFE" w:rsidP="00CC0FFE">
            <w:pPr>
              <w:spacing w:after="0"/>
              <w:jc w:val="center"/>
              <w:rPr>
                <w:rFonts w:eastAsia="Times New Roman"/>
              </w:rPr>
            </w:pPr>
            <w:r>
              <w:rPr>
                <w:rFonts w:eastAsia="Times New Roman"/>
              </w:rPr>
              <w:t>0.28%</w:t>
            </w:r>
          </w:p>
        </w:tc>
      </w:tr>
      <w:tr w:rsidR="00BE6022" w:rsidRPr="00DB426E" w:rsidTr="00CC0FFE">
        <w:tc>
          <w:tcPr>
            <w:tcW w:w="2571" w:type="dxa"/>
            <w:shd w:val="clear" w:color="auto" w:fill="FFFFFF"/>
            <w:vAlign w:val="center"/>
          </w:tcPr>
          <w:p w:rsidR="00BE6022" w:rsidRPr="00DB426E" w:rsidRDefault="00BE6022" w:rsidP="00E66971">
            <w:pPr>
              <w:spacing w:after="0"/>
              <w:rPr>
                <w:rFonts w:eastAsia="Times New Roman"/>
              </w:rPr>
            </w:pPr>
            <w:r w:rsidRPr="00DB426E">
              <w:rPr>
                <w:rFonts w:eastAsia="Times New Roman"/>
              </w:rPr>
              <w:t xml:space="preserve">Ieviešanas izmaksas attiecībā pret ZP izdevumiem </w:t>
            </w:r>
          </w:p>
        </w:tc>
        <w:tc>
          <w:tcPr>
            <w:tcW w:w="1385" w:type="dxa"/>
            <w:shd w:val="clear" w:color="auto" w:fill="FFFFFF"/>
            <w:vAlign w:val="center"/>
          </w:tcPr>
          <w:p w:rsidR="00BE6022" w:rsidRPr="00DB426E" w:rsidRDefault="00BE6022" w:rsidP="00E66971">
            <w:pPr>
              <w:spacing w:after="0"/>
              <w:jc w:val="center"/>
              <w:rPr>
                <w:rFonts w:eastAsia="Times New Roman"/>
              </w:rPr>
            </w:pPr>
          </w:p>
        </w:tc>
        <w:tc>
          <w:tcPr>
            <w:tcW w:w="1856"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1.18</w:t>
            </w:r>
          </w:p>
        </w:tc>
        <w:tc>
          <w:tcPr>
            <w:tcW w:w="1985" w:type="dxa"/>
            <w:shd w:val="clear" w:color="auto" w:fill="FFFFFF"/>
            <w:vAlign w:val="center"/>
          </w:tcPr>
          <w:p w:rsidR="00BE6022" w:rsidRPr="00DB426E" w:rsidRDefault="00BE6022" w:rsidP="00E66971">
            <w:pPr>
              <w:spacing w:after="0"/>
              <w:jc w:val="center"/>
              <w:rPr>
                <w:rFonts w:eastAsia="Times New Roman"/>
              </w:rPr>
            </w:pPr>
            <w:r w:rsidRPr="00DB426E">
              <w:rPr>
                <w:rFonts w:eastAsia="Times New Roman"/>
              </w:rPr>
              <w:t>3.5</w:t>
            </w:r>
          </w:p>
        </w:tc>
        <w:tc>
          <w:tcPr>
            <w:tcW w:w="1842" w:type="dxa"/>
            <w:shd w:val="clear" w:color="auto" w:fill="FFFFFF"/>
            <w:vAlign w:val="center"/>
          </w:tcPr>
          <w:p w:rsidR="00BE6022" w:rsidRPr="00DB426E" w:rsidRDefault="00CC0FFE" w:rsidP="00CC0FFE">
            <w:pPr>
              <w:spacing w:after="0"/>
              <w:jc w:val="center"/>
              <w:rPr>
                <w:rFonts w:eastAsia="Times New Roman"/>
              </w:rPr>
            </w:pPr>
            <w:r>
              <w:rPr>
                <w:rFonts w:eastAsia="Times New Roman"/>
              </w:rPr>
              <w:t>7.24</w:t>
            </w:r>
          </w:p>
        </w:tc>
      </w:tr>
    </w:tbl>
    <w:p w:rsidR="006D3AB5" w:rsidRPr="00A82D8E" w:rsidRDefault="006D3AB5" w:rsidP="00BE6022">
      <w:pPr>
        <w:rPr>
          <w:i/>
        </w:rPr>
      </w:pPr>
      <w:r w:rsidRPr="00DB426E">
        <w:rPr>
          <w:i/>
        </w:rPr>
        <w:t xml:space="preserve">Avots: </w:t>
      </w:r>
      <w:r w:rsidRPr="00A82D8E">
        <w:rPr>
          <w:i/>
        </w:rPr>
        <w:t>Lursoft –uzņēmumu datu bāze</w:t>
      </w:r>
    </w:p>
    <w:p w:rsidR="006D3AB5" w:rsidRPr="00A82D8E" w:rsidRDefault="006D3AB5" w:rsidP="00475128">
      <w:pPr>
        <w:pStyle w:val="ListParagraph"/>
        <w:numPr>
          <w:ilvl w:val="0"/>
          <w:numId w:val="14"/>
        </w:numPr>
        <w:suppressAutoHyphens w:val="0"/>
        <w:spacing w:before="120"/>
        <w:rPr>
          <w:lang w:val="lv-LV"/>
        </w:rPr>
      </w:pPr>
      <w:r w:rsidRPr="00A82D8E">
        <w:rPr>
          <w:lang w:val="lv-LV"/>
        </w:rPr>
        <w:t>Amortizācijas atskaitījumi jaunam aprīkojumam pieņemti 10% apmērā</w:t>
      </w:r>
      <w:r w:rsidR="00CC0FFE" w:rsidRPr="00A82D8E">
        <w:rPr>
          <w:lang w:val="lv-LV"/>
        </w:rPr>
        <w:t xml:space="preserve"> lieliem un vidējiem uzņēmumiem</w:t>
      </w:r>
      <w:r w:rsidR="00A82D8E" w:rsidRPr="00A82D8E">
        <w:rPr>
          <w:lang w:val="lv-LV"/>
        </w:rPr>
        <w:t xml:space="preserve">, </w:t>
      </w:r>
      <w:r w:rsidR="00CC0FFE" w:rsidRPr="00A82D8E">
        <w:rPr>
          <w:lang w:val="lv-LV"/>
        </w:rPr>
        <w:t xml:space="preserve">20% </w:t>
      </w:r>
      <w:r w:rsidR="00A82D8E" w:rsidRPr="00A82D8E">
        <w:rPr>
          <w:lang w:val="lv-LV"/>
        </w:rPr>
        <w:t xml:space="preserve">apmērā - </w:t>
      </w:r>
      <w:r w:rsidR="00CC0FFE" w:rsidRPr="00A82D8E">
        <w:rPr>
          <w:lang w:val="lv-LV"/>
        </w:rPr>
        <w:t>maziem uzņēmumiem</w:t>
      </w:r>
      <w:r w:rsidRPr="00A82D8E">
        <w:rPr>
          <w:lang w:val="lv-LV"/>
        </w:rPr>
        <w:t>.</w:t>
      </w:r>
    </w:p>
    <w:p w:rsidR="006D3AB5" w:rsidRPr="00A82D8E" w:rsidRDefault="006D3AB5" w:rsidP="00475128">
      <w:pPr>
        <w:pStyle w:val="ListParagraph"/>
        <w:numPr>
          <w:ilvl w:val="0"/>
          <w:numId w:val="14"/>
        </w:numPr>
        <w:suppressAutoHyphens w:val="0"/>
        <w:spacing w:before="120" w:after="120"/>
        <w:ind w:left="714" w:hanging="357"/>
        <w:rPr>
          <w:lang w:val="lv-LV"/>
        </w:rPr>
      </w:pPr>
      <w:r w:rsidRPr="00A82D8E">
        <w:rPr>
          <w:lang w:val="lv-LV"/>
        </w:rPr>
        <w:t>Nodokļi un nodokļu likmes:</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gridCol w:w="1984"/>
      </w:tblGrid>
      <w:tr w:rsidR="006D3AB5" w:rsidRPr="00475128" w:rsidTr="006D3AB5">
        <w:tc>
          <w:tcPr>
            <w:tcW w:w="6095" w:type="dxa"/>
            <w:shd w:val="clear" w:color="auto" w:fill="auto"/>
          </w:tcPr>
          <w:p w:rsidR="006D3AB5" w:rsidRPr="00475128" w:rsidRDefault="006D3AB5" w:rsidP="00E66971">
            <w:pPr>
              <w:spacing w:after="0"/>
            </w:pPr>
            <w:r w:rsidRPr="00475128">
              <w:t>Uzņēmumu ienākuma nodoklis (UIN)</w:t>
            </w:r>
          </w:p>
        </w:tc>
        <w:tc>
          <w:tcPr>
            <w:tcW w:w="1984" w:type="dxa"/>
            <w:shd w:val="clear" w:color="auto" w:fill="auto"/>
          </w:tcPr>
          <w:p w:rsidR="006D3AB5" w:rsidRPr="00475128" w:rsidRDefault="006D3AB5" w:rsidP="00E66971">
            <w:pPr>
              <w:spacing w:after="0"/>
              <w:jc w:val="center"/>
            </w:pPr>
            <w:r w:rsidRPr="00475128">
              <w:t>15%</w:t>
            </w:r>
          </w:p>
        </w:tc>
      </w:tr>
      <w:tr w:rsidR="006D3AB5" w:rsidRPr="00475128" w:rsidTr="006D3AB5">
        <w:tc>
          <w:tcPr>
            <w:tcW w:w="6095" w:type="dxa"/>
            <w:shd w:val="clear" w:color="auto" w:fill="auto"/>
          </w:tcPr>
          <w:p w:rsidR="006D3AB5" w:rsidRPr="00475128" w:rsidRDefault="006D3AB5" w:rsidP="00E66971">
            <w:pPr>
              <w:spacing w:after="0"/>
            </w:pPr>
            <w:r w:rsidRPr="00475128">
              <w:t>Iedzīvotāju ienākuma nodoklis (IIN) no darba algas</w:t>
            </w:r>
          </w:p>
        </w:tc>
        <w:tc>
          <w:tcPr>
            <w:tcW w:w="1984" w:type="dxa"/>
            <w:shd w:val="clear" w:color="auto" w:fill="auto"/>
          </w:tcPr>
          <w:p w:rsidR="006D3AB5" w:rsidRPr="00475128" w:rsidRDefault="006D3AB5" w:rsidP="00E66971">
            <w:pPr>
              <w:spacing w:after="0"/>
              <w:jc w:val="center"/>
            </w:pPr>
            <w:r w:rsidRPr="00475128">
              <w:t>24%</w:t>
            </w:r>
          </w:p>
        </w:tc>
      </w:tr>
      <w:tr w:rsidR="006D3AB5" w:rsidRPr="00475128" w:rsidTr="006D3AB5">
        <w:tc>
          <w:tcPr>
            <w:tcW w:w="6095" w:type="dxa"/>
            <w:shd w:val="clear" w:color="auto" w:fill="auto"/>
          </w:tcPr>
          <w:p w:rsidR="006D3AB5" w:rsidRPr="00475128" w:rsidRDefault="006D3AB5" w:rsidP="00E66971">
            <w:pPr>
              <w:spacing w:after="0"/>
              <w:rPr>
                <w:rFonts w:cs="Arial"/>
                <w:color w:val="000000"/>
                <w:sz w:val="19"/>
                <w:szCs w:val="19"/>
              </w:rPr>
            </w:pPr>
            <w:r w:rsidRPr="00475128">
              <w:t xml:space="preserve">Valsts sociālās </w:t>
            </w:r>
            <w:r w:rsidRPr="00475128">
              <w:rPr>
                <w:rFonts w:cs="Arial"/>
                <w:color w:val="000000"/>
                <w:sz w:val="19"/>
                <w:szCs w:val="19"/>
              </w:rPr>
              <w:t>apdrošināšanas obligātās iemaksas (VSAOI)</w:t>
            </w:r>
          </w:p>
          <w:p w:rsidR="006D3AB5" w:rsidRPr="00475128" w:rsidRDefault="006D3AB5" w:rsidP="00E66971">
            <w:pPr>
              <w:spacing w:after="0"/>
              <w:jc w:val="right"/>
              <w:rPr>
                <w:rFonts w:cs="Arial"/>
                <w:color w:val="000000"/>
                <w:sz w:val="19"/>
                <w:szCs w:val="19"/>
              </w:rPr>
            </w:pPr>
            <w:r w:rsidRPr="00475128">
              <w:rPr>
                <w:rFonts w:cs="Arial"/>
                <w:color w:val="000000"/>
                <w:sz w:val="19"/>
                <w:szCs w:val="19"/>
              </w:rPr>
              <w:t>Darba devēja likmes daļa</w:t>
            </w:r>
          </w:p>
          <w:p w:rsidR="006D3AB5" w:rsidRPr="00475128" w:rsidRDefault="006D3AB5" w:rsidP="00E66971">
            <w:pPr>
              <w:spacing w:after="0"/>
              <w:jc w:val="right"/>
            </w:pPr>
            <w:r w:rsidRPr="00475128">
              <w:rPr>
                <w:rFonts w:cs="Arial"/>
                <w:color w:val="000000"/>
                <w:sz w:val="19"/>
                <w:szCs w:val="19"/>
              </w:rPr>
              <w:t>Darba ņēmēja likmes daļa</w:t>
            </w:r>
          </w:p>
        </w:tc>
        <w:tc>
          <w:tcPr>
            <w:tcW w:w="1984" w:type="dxa"/>
            <w:shd w:val="clear" w:color="auto" w:fill="auto"/>
          </w:tcPr>
          <w:p w:rsidR="006D3AB5" w:rsidRPr="00475128" w:rsidRDefault="006D3AB5" w:rsidP="00E66971">
            <w:pPr>
              <w:spacing w:after="0"/>
              <w:jc w:val="center"/>
            </w:pPr>
            <w:r w:rsidRPr="00475128">
              <w:t>35.09%</w:t>
            </w:r>
          </w:p>
          <w:p w:rsidR="006D3AB5" w:rsidRPr="00475128" w:rsidRDefault="006D3AB5" w:rsidP="00E66971">
            <w:pPr>
              <w:spacing w:after="0"/>
              <w:jc w:val="center"/>
            </w:pPr>
            <w:r w:rsidRPr="00475128">
              <w:t>24.09%</w:t>
            </w:r>
          </w:p>
          <w:p w:rsidR="006D3AB5" w:rsidRPr="00475128" w:rsidRDefault="006D3AB5" w:rsidP="00E66971">
            <w:pPr>
              <w:spacing w:after="0"/>
              <w:jc w:val="center"/>
            </w:pPr>
            <w:r w:rsidRPr="00475128">
              <w:t>11.00%</w:t>
            </w:r>
          </w:p>
        </w:tc>
      </w:tr>
    </w:tbl>
    <w:p w:rsidR="006D3AB5" w:rsidRPr="00DB426E" w:rsidRDefault="006D3AB5" w:rsidP="00475128">
      <w:pPr>
        <w:pStyle w:val="ListParagraph"/>
        <w:numPr>
          <w:ilvl w:val="0"/>
          <w:numId w:val="14"/>
        </w:numPr>
        <w:suppressAutoHyphens w:val="0"/>
        <w:spacing w:before="120"/>
        <w:rPr>
          <w:lang w:val="lv-LV"/>
        </w:rPr>
      </w:pPr>
      <w:r w:rsidRPr="00DB426E">
        <w:rPr>
          <w:lang w:val="lv-LV"/>
        </w:rPr>
        <w:t>Peļņas zaudējumu aprēķinā netiek ņemti vērā pārējie ieņēmumi un izdevumi, ka arī procentu ieņēmumi un izdevumi.</w:t>
      </w:r>
    </w:p>
    <w:p w:rsidR="006D3AB5" w:rsidRPr="00DB426E" w:rsidRDefault="006D3AB5" w:rsidP="00E66971">
      <w:r w:rsidRPr="00DB426E">
        <w:t xml:space="preserve"> </w:t>
      </w:r>
    </w:p>
    <w:p w:rsidR="006D3AB5" w:rsidRPr="00DB426E" w:rsidRDefault="006D3AB5" w:rsidP="00475128">
      <w:pPr>
        <w:pStyle w:val="Heading2"/>
        <w:numPr>
          <w:ilvl w:val="1"/>
          <w:numId w:val="4"/>
        </w:numPr>
        <w:suppressAutoHyphens w:val="0"/>
        <w:spacing w:before="240" w:after="60"/>
        <w:jc w:val="both"/>
      </w:pPr>
      <w:bookmarkStart w:id="87" w:name="_Toc355007920"/>
      <w:bookmarkStart w:id="88" w:name="_Toc355008083"/>
      <w:bookmarkStart w:id="89" w:name="_Toc356472862"/>
      <w:bookmarkStart w:id="90" w:name="_Toc358978702"/>
      <w:r w:rsidRPr="00DB426E">
        <w:t>Uzņēmuma ienākuma nodokļa (UIN) atvieglojums (1.variants)</w:t>
      </w:r>
      <w:bookmarkEnd w:id="87"/>
      <w:bookmarkEnd w:id="88"/>
      <w:bookmarkEnd w:id="89"/>
      <w:bookmarkEnd w:id="90"/>
    </w:p>
    <w:p w:rsidR="006D3AB5" w:rsidRPr="00DB426E" w:rsidRDefault="006D3AB5" w:rsidP="006D3AB5">
      <w:r w:rsidRPr="00DB426E">
        <w:t xml:space="preserve">UIN aprēķina algoritms inerces un alternatīvajos variantos ņem vērā esošajā likumdošanā paredzētos atvieglojumus, izveidojot </w:t>
      </w:r>
      <w:r w:rsidRPr="00DB426E">
        <w:rPr>
          <w:i/>
          <w:u w:val="single"/>
        </w:rPr>
        <w:t>jaunas</w:t>
      </w:r>
      <w:r w:rsidRPr="00DB426E">
        <w:t xml:space="preserve"> ražošanas tehnoloģiskās iekārtas.</w:t>
      </w:r>
    </w:p>
    <w:p w:rsidR="006D3AB5" w:rsidRPr="00DB426E" w:rsidRDefault="006D3AB5" w:rsidP="006D3AB5">
      <w:pPr>
        <w:ind w:left="720"/>
      </w:pPr>
      <w:r w:rsidRPr="00DB426E">
        <w:t>Pirms taksācijas perioda nolietojuma summas aprēķināšanas katras jaunas ražošanas tehnoloģiskās iekārtas iegādes vērtību vai izveidošanas vērtību tajā taksācijas periodā, kurā attiecīgā iekārta iegādāta vai izveidota, palielina, reizinot to ar koeficientu 1,5 pamatlīdzekļiem, kas iegādāti vai izveidoti taksācijas periodā, kas sākas 2013.gadā</w:t>
      </w:r>
      <w:r w:rsidRPr="00DB426E">
        <w:rPr>
          <w:rStyle w:val="FootnoteReference"/>
        </w:rPr>
        <w:footnoteReference w:id="16"/>
      </w:r>
      <w:r w:rsidRPr="00DB426E">
        <w:t>.</w:t>
      </w:r>
    </w:p>
    <w:p w:rsidR="006D3AB5" w:rsidRPr="00DB426E" w:rsidRDefault="006D3AB5" w:rsidP="000C6C3E">
      <w:pPr>
        <w:spacing w:before="120" w:after="0"/>
      </w:pPr>
      <w:r w:rsidRPr="00DB426E">
        <w:t xml:space="preserve">Pirmajā alternatīvā tiek izskatīts apliekamā ienākuma samazinājums par ZP izmaksām ar palielināšanas koeficientu: </w:t>
      </w:r>
    </w:p>
    <w:p w:rsidR="006D3AB5" w:rsidRPr="00DB426E" w:rsidRDefault="006D3AB5" w:rsidP="000C6C3E">
      <w:pPr>
        <w:pStyle w:val="ListParagraph"/>
        <w:numPr>
          <w:ilvl w:val="0"/>
          <w:numId w:val="15"/>
        </w:numPr>
        <w:suppressAutoHyphens w:val="0"/>
        <w:ind w:left="1434" w:hanging="357"/>
        <w:rPr>
          <w:lang w:val="lv-LV"/>
        </w:rPr>
      </w:pPr>
      <w:r w:rsidRPr="00DB426E">
        <w:rPr>
          <w:lang w:val="lv-LV"/>
        </w:rPr>
        <w:t xml:space="preserve">250% apmērā lieliem uzņēmumiem, </w:t>
      </w:r>
    </w:p>
    <w:p w:rsidR="006D3AB5" w:rsidRPr="00DB426E" w:rsidRDefault="006D3AB5" w:rsidP="000C6C3E">
      <w:pPr>
        <w:pStyle w:val="ListParagraph"/>
        <w:numPr>
          <w:ilvl w:val="0"/>
          <w:numId w:val="16"/>
        </w:numPr>
        <w:suppressAutoHyphens w:val="0"/>
        <w:ind w:left="1434" w:hanging="357"/>
        <w:rPr>
          <w:lang w:val="lv-LV"/>
        </w:rPr>
      </w:pPr>
      <w:r w:rsidRPr="00DB426E">
        <w:rPr>
          <w:lang w:val="lv-LV"/>
        </w:rPr>
        <w:t xml:space="preserve">300% apmērā maziem un vidējiem uzņēmumiem.  </w:t>
      </w:r>
    </w:p>
    <w:p w:rsidR="006D3AB5" w:rsidRPr="00DB426E" w:rsidRDefault="006D3AB5" w:rsidP="000C6C3E">
      <w:pPr>
        <w:spacing w:before="120" w:after="0"/>
      </w:pPr>
      <w:r w:rsidRPr="00DB426E">
        <w:t xml:space="preserve">Šis atvieglojumu veids ir universāls, jo attiecas uz pētījumu un attīstības (P&amp;A) izstrādnēm uzņēmumā, P&amp;A pasūtīšanu citos uzņēmumos vai ārējo zināšanu iegādi. </w:t>
      </w:r>
    </w:p>
    <w:p w:rsidR="006D3AB5" w:rsidRPr="00DB426E" w:rsidRDefault="006D3AB5" w:rsidP="00475128">
      <w:pPr>
        <w:pStyle w:val="Heading3"/>
        <w:numPr>
          <w:ilvl w:val="2"/>
          <w:numId w:val="4"/>
        </w:numPr>
      </w:pPr>
      <w:bookmarkStart w:id="91" w:name="_Toc356472863"/>
      <w:bookmarkStart w:id="92" w:name="_Toc358978703"/>
      <w:r w:rsidRPr="00DB426E">
        <w:t>Lielie uzņēmumi</w:t>
      </w:r>
      <w:bookmarkEnd w:id="91"/>
      <w:bookmarkEnd w:id="92"/>
      <w:r w:rsidRPr="00DB426E">
        <w:t xml:space="preserve"> </w:t>
      </w:r>
    </w:p>
    <w:p w:rsidR="006D3AB5" w:rsidRPr="00DB426E" w:rsidRDefault="006D3AB5" w:rsidP="000C6C3E">
      <w:pPr>
        <w:spacing w:after="0"/>
      </w:pPr>
      <w:r w:rsidRPr="00DB426E">
        <w:t>Vidējo (tipveida) lielo uzņēmumu raksturo šādi rādītāji:</w:t>
      </w:r>
    </w:p>
    <w:p w:rsidR="006D3AB5" w:rsidRPr="00DB426E" w:rsidRDefault="006D3AB5" w:rsidP="00A82D8E">
      <w:pPr>
        <w:pStyle w:val="ListParagraph"/>
        <w:numPr>
          <w:ilvl w:val="0"/>
          <w:numId w:val="120"/>
        </w:numPr>
        <w:suppressAutoHyphens w:val="0"/>
        <w:rPr>
          <w:lang w:val="lv-LV"/>
        </w:rPr>
      </w:pPr>
      <w:r w:rsidRPr="00DB426E">
        <w:rPr>
          <w:lang w:val="lv-LV"/>
        </w:rPr>
        <w:t xml:space="preserve">NA= 62-69 milj. Ls, </w:t>
      </w:r>
    </w:p>
    <w:p w:rsidR="006D3AB5" w:rsidRPr="00DB426E" w:rsidRDefault="006D3AB5" w:rsidP="00A82D8E">
      <w:pPr>
        <w:pStyle w:val="ListParagraph"/>
        <w:numPr>
          <w:ilvl w:val="0"/>
          <w:numId w:val="120"/>
        </w:numPr>
        <w:suppressAutoHyphens w:val="0"/>
        <w:rPr>
          <w:lang w:val="lv-LV"/>
        </w:rPr>
      </w:pPr>
      <w:r w:rsidRPr="00DB426E">
        <w:rPr>
          <w:lang w:val="lv-LV"/>
        </w:rPr>
        <w:t>Summārās izmaksas (ražošanas, pārdošanas, administratīvās) – 78% no NA,</w:t>
      </w:r>
    </w:p>
    <w:p w:rsidR="006D3AB5" w:rsidRPr="00DB426E" w:rsidRDefault="006D3AB5" w:rsidP="00A82D8E">
      <w:pPr>
        <w:pStyle w:val="ListParagraph"/>
        <w:numPr>
          <w:ilvl w:val="0"/>
          <w:numId w:val="120"/>
        </w:numPr>
        <w:suppressAutoHyphens w:val="0"/>
        <w:rPr>
          <w:lang w:val="lv-LV"/>
        </w:rPr>
      </w:pPr>
      <w:r w:rsidRPr="00DB426E">
        <w:rPr>
          <w:lang w:val="lv-LV"/>
        </w:rPr>
        <w:t>ZP izdevumi - 4.5% no NA.</w:t>
      </w:r>
    </w:p>
    <w:p w:rsidR="006D3AB5" w:rsidRPr="00DB426E" w:rsidRDefault="006D3AB5" w:rsidP="000C6C3E">
      <w:pPr>
        <w:spacing w:after="0"/>
      </w:pPr>
      <w:r w:rsidRPr="00DB426E">
        <w:t>Tiek pieņemts, ka uzņēmums ik gadu atvēl:</w:t>
      </w:r>
    </w:p>
    <w:p w:rsidR="006D3AB5" w:rsidRPr="00DB426E" w:rsidRDefault="006D3AB5" w:rsidP="000C6C3E">
      <w:pPr>
        <w:pStyle w:val="ListParagraph"/>
        <w:numPr>
          <w:ilvl w:val="0"/>
          <w:numId w:val="16"/>
        </w:numPr>
        <w:suppressAutoHyphens w:val="0"/>
        <w:ind w:left="1077" w:hanging="357"/>
        <w:rPr>
          <w:lang w:val="lv-LV"/>
        </w:rPr>
      </w:pPr>
      <w:r w:rsidRPr="00DB426E">
        <w:rPr>
          <w:lang w:val="lv-LV"/>
        </w:rPr>
        <w:t xml:space="preserve">zinātniskiem pētījumiem </w:t>
      </w:r>
      <w:r w:rsidRPr="00DB426E">
        <w:rPr>
          <w:b/>
          <w:lang w:val="lv-LV"/>
        </w:rPr>
        <w:t>no</w:t>
      </w:r>
      <w:r w:rsidRPr="00DB426E">
        <w:rPr>
          <w:lang w:val="lv-LV"/>
        </w:rPr>
        <w:t xml:space="preserve"> </w:t>
      </w:r>
      <w:r w:rsidRPr="00DB426E">
        <w:rPr>
          <w:b/>
          <w:lang w:val="lv-LV"/>
        </w:rPr>
        <w:t>2.8 līdz 3.0 milj. latu</w:t>
      </w:r>
      <w:r w:rsidRPr="00DB426E">
        <w:rPr>
          <w:lang w:val="lv-LV"/>
        </w:rPr>
        <w:t xml:space="preserve">, </w:t>
      </w:r>
    </w:p>
    <w:p w:rsidR="006D3AB5" w:rsidRPr="00DB426E" w:rsidRDefault="006D3AB5" w:rsidP="000C6C3E">
      <w:pPr>
        <w:pStyle w:val="ListParagraph"/>
        <w:numPr>
          <w:ilvl w:val="0"/>
          <w:numId w:val="16"/>
        </w:numPr>
        <w:suppressAutoHyphens w:val="0"/>
        <w:ind w:left="1077" w:hanging="357"/>
        <w:rPr>
          <w:lang w:val="lv-LV"/>
        </w:rPr>
      </w:pPr>
      <w:r w:rsidRPr="00DB426E">
        <w:rPr>
          <w:lang w:val="lv-LV"/>
        </w:rPr>
        <w:t xml:space="preserve">to ieviešanai </w:t>
      </w:r>
      <w:r w:rsidRPr="00DB426E">
        <w:rPr>
          <w:b/>
          <w:lang w:val="lv-LV"/>
        </w:rPr>
        <w:t xml:space="preserve">3.5 milj. latu, </w:t>
      </w:r>
    </w:p>
    <w:p w:rsidR="006D3AB5" w:rsidRPr="00DB426E" w:rsidRDefault="006D3AB5" w:rsidP="006D3AB5">
      <w:r w:rsidRPr="00DB426E">
        <w:t xml:space="preserve">kas nodrošina apgrozījuma pieauguma tempu 2.5% līmenī. </w:t>
      </w:r>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w:t>
      </w:r>
      <w:r w:rsidR="009B0188">
        <w:rPr>
          <w:noProof/>
        </w:rPr>
        <w:fldChar w:fldCharType="end"/>
      </w:r>
      <w:r w:rsidRPr="00DB426E">
        <w:t>. Finanšu aprēķini. 1.variants (LIELIE uzņēmumi)</w:t>
      </w:r>
    </w:p>
    <w:p w:rsidR="006D3AB5" w:rsidRPr="00DB426E" w:rsidRDefault="006C3F27" w:rsidP="006D3AB5">
      <w:r>
        <w:rPr>
          <w:noProof/>
          <w:lang w:eastAsia="lv-LV"/>
        </w:rPr>
        <w:drawing>
          <wp:inline distT="0" distB="0" distL="0" distR="0" wp14:anchorId="322BE66F" wp14:editId="5933FDCD">
            <wp:extent cx="5273040" cy="2722880"/>
            <wp:effectExtent l="1905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srcRect/>
                    <a:stretch>
                      <a:fillRect/>
                    </a:stretch>
                  </pic:blipFill>
                  <pic:spPr bwMode="auto">
                    <a:xfrm>
                      <a:off x="0" y="0"/>
                      <a:ext cx="5273040" cy="272288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3A9C7445" wp14:editId="1F2549E5">
            <wp:extent cx="5262880" cy="215392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srcRect/>
                    <a:stretch>
                      <a:fillRect/>
                    </a:stretch>
                  </pic:blipFill>
                  <pic:spPr bwMode="auto">
                    <a:xfrm>
                      <a:off x="0" y="0"/>
                      <a:ext cx="5262880" cy="215392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74908CF6" wp14:editId="687CB11A">
            <wp:extent cx="5262880" cy="8636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srcRect/>
                    <a:stretch>
                      <a:fillRect/>
                    </a:stretch>
                  </pic:blipFill>
                  <pic:spPr bwMode="auto">
                    <a:xfrm>
                      <a:off x="0" y="0"/>
                      <a:ext cx="5262880" cy="863600"/>
                    </a:xfrm>
                    <a:prstGeom prst="rect">
                      <a:avLst/>
                    </a:prstGeom>
                    <a:noFill/>
                    <a:ln w="9525">
                      <a:noFill/>
                      <a:miter lim="800000"/>
                      <a:headEnd/>
                      <a:tailEnd/>
                    </a:ln>
                  </pic:spPr>
                </pic:pic>
              </a:graphicData>
            </a:graphic>
          </wp:inline>
        </w:drawing>
      </w:r>
    </w:p>
    <w:p w:rsidR="006D3AB5" w:rsidRPr="00DB426E" w:rsidRDefault="006D3AB5" w:rsidP="006D3AB5">
      <w:r w:rsidRPr="00DB426E">
        <w:t xml:space="preserve">Aprēķini pilnā </w:t>
      </w:r>
      <w:r w:rsidR="00A82D8E" w:rsidRPr="00A82D8E">
        <w:t xml:space="preserve">apjomā ir </w:t>
      </w:r>
      <w:r w:rsidR="002612BC" w:rsidRPr="00A82D8E">
        <w:t>pieejami</w:t>
      </w:r>
      <w:r w:rsidRPr="00A82D8E">
        <w:t xml:space="preserve"> </w:t>
      </w:r>
      <w:r w:rsidR="002612BC" w:rsidRPr="00A82D8E">
        <w:t>elektroniski</w:t>
      </w:r>
      <w:r w:rsidRPr="00A82D8E">
        <w:t>.</w:t>
      </w:r>
    </w:p>
    <w:p w:rsidR="006D3AB5" w:rsidRPr="00DB426E" w:rsidRDefault="006D3AB5" w:rsidP="002612BC">
      <w:pPr>
        <w:spacing w:before="120" w:after="120"/>
      </w:pPr>
      <w:r w:rsidRPr="00DB426E">
        <w:t xml:space="preserve">Atbilstoši iegūtajam rezultātam līdzekļu ekonomija ik gadu, samazinot uzņēmumu ienākuma nodokļu maksājumus, tiek lēsta </w:t>
      </w:r>
      <w:r w:rsidRPr="00DB426E">
        <w:rPr>
          <w:b/>
        </w:rPr>
        <w:t>no 630 līdz 695 tūkst. latu</w:t>
      </w:r>
      <w:r w:rsidRPr="00DB426E">
        <w:t xml:space="preserve">, kas ir vidēji </w:t>
      </w:r>
      <w:r w:rsidRPr="00DB426E">
        <w:rPr>
          <w:b/>
        </w:rPr>
        <w:t>39%</w:t>
      </w:r>
      <w:r w:rsidRPr="00DB426E">
        <w:t xml:space="preserve"> no esošajā likumdošanā paredzētās nodokļa summas (inerces variants). </w:t>
      </w:r>
    </w:p>
    <w:p w:rsidR="006D3AB5" w:rsidRPr="00DB426E" w:rsidRDefault="006D3AB5" w:rsidP="002612BC">
      <w:pPr>
        <w:spacing w:before="120" w:after="120"/>
      </w:pPr>
      <w:r w:rsidRPr="00DB426E">
        <w:t xml:space="preserve">Ņemot vērā, ka aprēķinā ir virkne pieļāvumu, kuri var ietekmēt rezultātu, veikta jutīguma analīze šādiem rādītājiem: </w:t>
      </w:r>
    </w:p>
    <w:p w:rsidR="006D3AB5" w:rsidRPr="00DB426E" w:rsidRDefault="006D3AB5" w:rsidP="002612BC">
      <w:pPr>
        <w:pStyle w:val="ListParagraph"/>
        <w:numPr>
          <w:ilvl w:val="0"/>
          <w:numId w:val="16"/>
        </w:numPr>
        <w:suppressAutoHyphens w:val="0"/>
        <w:spacing w:before="120" w:after="120"/>
        <w:rPr>
          <w:lang w:val="lv-LV"/>
        </w:rPr>
      </w:pPr>
      <w:r w:rsidRPr="00DB426E">
        <w:rPr>
          <w:lang w:val="lv-LV"/>
        </w:rPr>
        <w:t>izdevumu līmenis zinātniskajiem pētījumiem attiecībā pret apgrozījumu,</w:t>
      </w:r>
    </w:p>
    <w:p w:rsidR="006D3AB5" w:rsidRPr="00DB426E" w:rsidRDefault="006D3AB5" w:rsidP="002612BC">
      <w:pPr>
        <w:pStyle w:val="ListParagraph"/>
        <w:numPr>
          <w:ilvl w:val="0"/>
          <w:numId w:val="16"/>
        </w:numPr>
        <w:suppressAutoHyphens w:val="0"/>
        <w:spacing w:before="120" w:after="120"/>
        <w:rPr>
          <w:lang w:val="lv-LV"/>
        </w:rPr>
      </w:pPr>
      <w:r w:rsidRPr="00DB426E">
        <w:rPr>
          <w:lang w:val="lv-LV"/>
        </w:rPr>
        <w:t>izdevumu zinātniskajiem pētījumiem salīdzinājums ar tiem sekojošo ieviešanu ražošanā (</w:t>
      </w:r>
      <w:proofErr w:type="spellStart"/>
      <w:r w:rsidRPr="00DB426E">
        <w:rPr>
          <w:lang w:val="lv-LV"/>
        </w:rPr>
        <w:t>K</w:t>
      </w:r>
      <w:r w:rsidRPr="00DB426E">
        <w:rPr>
          <w:vertAlign w:val="subscript"/>
          <w:lang w:val="lv-LV"/>
        </w:rPr>
        <w:t>iev</w:t>
      </w:r>
      <w:proofErr w:type="spellEnd"/>
      <w:r w:rsidRPr="00DB426E">
        <w:rPr>
          <w:lang w:val="lv-LV"/>
        </w:rPr>
        <w:t>).</w:t>
      </w:r>
    </w:p>
    <w:p w:rsidR="006D3AB5" w:rsidRPr="00DB426E" w:rsidRDefault="006D3AB5" w:rsidP="002612BC">
      <w:pPr>
        <w:spacing w:before="120" w:after="120"/>
      </w:pPr>
      <w:r w:rsidRPr="00DB426E">
        <w:t>Atbilstoši aprēķiniem ZP izdevumu pieaugums par 1% no NA samazina uzņēmumu ienākuma nodokli vidēji par 7-10%.</w:t>
      </w:r>
    </w:p>
    <w:p w:rsidR="006D3AB5" w:rsidRPr="00DB426E" w:rsidRDefault="006D3AB5" w:rsidP="002612BC">
      <w:pPr>
        <w:spacing w:before="120" w:after="120"/>
      </w:pPr>
      <w:r w:rsidRPr="00DB426E">
        <w:t>T.i., ja izdevumi zinātniskajiem pētījumiem sasniedz 10% no apgrozījuma, uzņēmums praktiski nemaksā UIN. Ja izdevumi zinātniskiem pētījumiem ir 6% līmenī no apgrozījuma, UIN samazinās divas reizes.</w:t>
      </w:r>
    </w:p>
    <w:p w:rsidR="006D3AB5" w:rsidRPr="00DB426E" w:rsidRDefault="006D3AB5" w:rsidP="006D3AB5">
      <w:pPr>
        <w:pStyle w:val="Caption"/>
        <w:jc w:val="left"/>
      </w:pPr>
      <w:bookmarkStart w:id="93" w:name="_Ref354495137"/>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3</w:t>
      </w:r>
      <w:r w:rsidR="009B0188">
        <w:rPr>
          <w:noProof/>
        </w:rPr>
        <w:fldChar w:fldCharType="end"/>
      </w:r>
      <w:bookmarkEnd w:id="93"/>
      <w:r w:rsidRPr="00DB426E">
        <w:t>.Nodokļu maksājumu samazinājums atkarībā no zinātnisko pētījumu finansēšanas līmeņa (LIELIE uzņēmumi)</w:t>
      </w:r>
    </w:p>
    <w:tbl>
      <w:tblPr>
        <w:tblW w:w="8369" w:type="dxa"/>
        <w:tblInd w:w="103" w:type="dxa"/>
        <w:tblLook w:val="04A0" w:firstRow="1" w:lastRow="0" w:firstColumn="1" w:lastColumn="0" w:noHBand="0" w:noVBand="1"/>
      </w:tblPr>
      <w:tblGrid>
        <w:gridCol w:w="2269"/>
        <w:gridCol w:w="997"/>
        <w:gridCol w:w="1134"/>
        <w:gridCol w:w="992"/>
        <w:gridCol w:w="992"/>
        <w:gridCol w:w="993"/>
        <w:gridCol w:w="992"/>
      </w:tblGrid>
      <w:tr w:rsidR="006D3AB5" w:rsidRPr="00DB426E" w:rsidTr="006D3AB5">
        <w:trPr>
          <w:trHeight w:val="300"/>
        </w:trPr>
        <w:tc>
          <w:tcPr>
            <w:tcW w:w="2269" w:type="dxa"/>
            <w:tcBorders>
              <w:top w:val="single" w:sz="4" w:space="0" w:color="auto"/>
              <w:left w:val="single" w:sz="4" w:space="0" w:color="auto"/>
              <w:bottom w:val="nil"/>
              <w:right w:val="single" w:sz="4" w:space="0" w:color="auto"/>
            </w:tcBorders>
            <w:shd w:val="clear" w:color="000000" w:fill="D9D9D9"/>
            <w:noWrap/>
            <w:vAlign w:val="bottom"/>
            <w:hideMark/>
          </w:tcPr>
          <w:p w:rsidR="006D3AB5" w:rsidRPr="00DB426E" w:rsidRDefault="006D3AB5" w:rsidP="00E66971">
            <w:pPr>
              <w:spacing w:after="0"/>
              <w:rPr>
                <w:rFonts w:eastAsia="Times New Roman"/>
                <w:color w:val="000000"/>
                <w:lang w:eastAsia="lv-LV"/>
              </w:rPr>
            </w:pPr>
            <w:r w:rsidRPr="00DB426E">
              <w:rPr>
                <w:rFonts w:eastAsia="Times New Roman"/>
                <w:color w:val="000000"/>
                <w:lang w:eastAsia="lv-LV"/>
              </w:rPr>
              <w:t> </w:t>
            </w:r>
          </w:p>
        </w:tc>
        <w:tc>
          <w:tcPr>
            <w:tcW w:w="610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6D3AB5" w:rsidRPr="00DB426E" w:rsidRDefault="006D3AB5" w:rsidP="00E66971">
            <w:pPr>
              <w:spacing w:after="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2269" w:type="dxa"/>
            <w:tcBorders>
              <w:top w:val="nil"/>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E66971">
            <w:pPr>
              <w:spacing w:after="0"/>
              <w:rPr>
                <w:rFonts w:eastAsia="Times New Roman"/>
                <w:color w:val="000000"/>
                <w:lang w:eastAsia="lv-LV"/>
              </w:rPr>
            </w:pPr>
            <w:r w:rsidRPr="00DB426E">
              <w:rPr>
                <w:rFonts w:eastAsia="Times New Roman"/>
                <w:color w:val="000000"/>
                <w:lang w:eastAsia="lv-LV"/>
              </w:rPr>
              <w:t> </w:t>
            </w:r>
          </w:p>
        </w:tc>
        <w:tc>
          <w:tcPr>
            <w:tcW w:w="997"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color w:val="000000"/>
              </w:rPr>
            </w:pPr>
            <w:r w:rsidRPr="00DB426E">
              <w:rPr>
                <w:color w:val="000000"/>
              </w:rPr>
              <w:t>0.0%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pPr>
            <w:r w:rsidRPr="00DB426E">
              <w:t>2.0%</w:t>
            </w:r>
          </w:p>
        </w:tc>
        <w:tc>
          <w:tcPr>
            <w:tcW w:w="992"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pPr>
            <w:r w:rsidRPr="00DB426E">
              <w:t>4.0%</w:t>
            </w:r>
          </w:p>
        </w:tc>
        <w:tc>
          <w:tcPr>
            <w:tcW w:w="992"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pPr>
            <w:r w:rsidRPr="00DB426E">
              <w:t>6.0%</w:t>
            </w:r>
          </w:p>
        </w:tc>
        <w:tc>
          <w:tcPr>
            <w:tcW w:w="993"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pPr>
            <w:r w:rsidRPr="00DB426E">
              <w:t>8.0%</w:t>
            </w:r>
          </w:p>
        </w:tc>
        <w:tc>
          <w:tcPr>
            <w:tcW w:w="992"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pPr>
            <w:r w:rsidRPr="00DB426E">
              <w:t>10.0%</w:t>
            </w:r>
          </w:p>
        </w:tc>
      </w:tr>
      <w:tr w:rsidR="006D3AB5" w:rsidRPr="00DB426E" w:rsidTr="006D3AB5">
        <w:trPr>
          <w:trHeight w:val="315"/>
        </w:trPr>
        <w:tc>
          <w:tcPr>
            <w:tcW w:w="2269" w:type="dxa"/>
            <w:tcBorders>
              <w:top w:val="nil"/>
              <w:left w:val="single" w:sz="4" w:space="0" w:color="auto"/>
              <w:bottom w:val="single" w:sz="4" w:space="0" w:color="auto"/>
              <w:right w:val="single" w:sz="4" w:space="0" w:color="auto"/>
            </w:tcBorders>
            <w:shd w:val="clear" w:color="auto" w:fill="auto"/>
            <w:vAlign w:val="bottom"/>
            <w:hideMark/>
          </w:tcPr>
          <w:p w:rsidR="006D3AB5" w:rsidRPr="00DB426E" w:rsidRDefault="006D3AB5" w:rsidP="00E66971">
            <w:pPr>
              <w:spacing w:after="0"/>
              <w:rPr>
                <w:rFonts w:eastAsia="Times New Roman"/>
                <w:b/>
                <w:bCs/>
                <w:color w:val="000000"/>
                <w:lang w:eastAsia="lv-LV"/>
              </w:rPr>
            </w:pPr>
            <w:r w:rsidRPr="00DB426E">
              <w:rPr>
                <w:rFonts w:eastAsia="Times New Roman"/>
                <w:b/>
                <w:bCs/>
                <w:color w:val="000000"/>
                <w:lang w:eastAsia="lv-LV"/>
              </w:rPr>
              <w:t>UIN samazinājums</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color w:val="000000"/>
              </w:rPr>
            </w:pPr>
            <w:r w:rsidRPr="00DB426E">
              <w:rPr>
                <w:b/>
                <w:bCs/>
                <w:color w:val="000000"/>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color w:val="000000"/>
              </w:rPr>
            </w:pPr>
            <w:r w:rsidRPr="00DB426E">
              <w:rPr>
                <w:b/>
                <w:bCs/>
                <w:color w:val="000000"/>
              </w:rPr>
              <w:t>13.5%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color w:val="000000"/>
              </w:rPr>
            </w:pPr>
            <w:r w:rsidRPr="00DB426E">
              <w:rPr>
                <w:b/>
                <w:bCs/>
                <w:color w:val="000000"/>
              </w:rPr>
              <w:t>29.9%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color w:val="000000"/>
              </w:rPr>
            </w:pPr>
            <w:r w:rsidRPr="00DB426E">
              <w:rPr>
                <w:b/>
                <w:bCs/>
                <w:color w:val="000000"/>
              </w:rPr>
              <w:t>50.1%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color w:val="000000"/>
              </w:rPr>
            </w:pPr>
            <w:r w:rsidRPr="00DB426E">
              <w:rPr>
                <w:b/>
                <w:bCs/>
                <w:color w:val="000000"/>
              </w:rPr>
              <w:t>75.7%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color w:val="000000"/>
              </w:rPr>
            </w:pPr>
            <w:r w:rsidRPr="00DB426E">
              <w:rPr>
                <w:b/>
                <w:bCs/>
                <w:color w:val="000000"/>
              </w:rPr>
              <w:t>100.0%</w:t>
            </w:r>
          </w:p>
        </w:tc>
      </w:tr>
    </w:tbl>
    <w:p w:rsidR="006D3AB5" w:rsidRPr="00DB426E" w:rsidRDefault="006D3AB5" w:rsidP="006D3AB5"/>
    <w:p w:rsidR="002612BC" w:rsidRDefault="002612BC" w:rsidP="006D3AB5"/>
    <w:p w:rsidR="006D3AB5" w:rsidRPr="00DB426E" w:rsidRDefault="006D3AB5" w:rsidP="006D3AB5">
      <w:r w:rsidRPr="00DB426E">
        <w:t>Analizējot ieviešanas koeficienta (</w:t>
      </w:r>
      <w:proofErr w:type="spellStart"/>
      <w:r w:rsidRPr="00DB426E">
        <w:t>K</w:t>
      </w:r>
      <w:r w:rsidRPr="00DB426E">
        <w:rPr>
          <w:vertAlign w:val="subscript"/>
        </w:rPr>
        <w:t>iev</w:t>
      </w:r>
      <w:proofErr w:type="spellEnd"/>
      <w:r w:rsidRPr="00DB426E">
        <w:t>) izmaiņas diapazonā no 0.1 līdz 10, redzams, ka uzņēmuma ienākuma nodokļa maksājumu samazinājums mainās 5 procenta punktu robežās, kas nav būtiski šādam atvieglojumu veidam.</w:t>
      </w:r>
    </w:p>
    <w:p w:rsidR="006D3AB5" w:rsidRPr="00DB426E" w:rsidRDefault="006D3AB5" w:rsidP="00E66971">
      <w:pPr>
        <w:pStyle w:val="Caption"/>
        <w:jc w:val="left"/>
      </w:pPr>
      <w:bookmarkStart w:id="94" w:name="_Ref354495144"/>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4</w:t>
      </w:r>
      <w:r w:rsidR="009B0188">
        <w:rPr>
          <w:noProof/>
        </w:rPr>
        <w:fldChar w:fldCharType="end"/>
      </w:r>
      <w:bookmarkEnd w:id="94"/>
      <w:r w:rsidRPr="00DB426E">
        <w:t>. Nodokļu maksājumu samazinājums atkarībā no attiecības starp pētījumu un to ieviešanas ražošanā izmaksām (LIELIE uzņēmumi)</w:t>
      </w:r>
    </w:p>
    <w:tbl>
      <w:tblPr>
        <w:tblW w:w="8511" w:type="dxa"/>
        <w:tblInd w:w="103" w:type="dxa"/>
        <w:tblLayout w:type="fixed"/>
        <w:tblLook w:val="04A0" w:firstRow="1" w:lastRow="0" w:firstColumn="1" w:lastColumn="0" w:noHBand="0" w:noVBand="1"/>
      </w:tblPr>
      <w:tblGrid>
        <w:gridCol w:w="2132"/>
        <w:gridCol w:w="993"/>
        <w:gridCol w:w="992"/>
        <w:gridCol w:w="1134"/>
        <w:gridCol w:w="1134"/>
        <w:gridCol w:w="1134"/>
        <w:gridCol w:w="992"/>
      </w:tblGrid>
      <w:tr w:rsidR="006D3AB5" w:rsidRPr="00DB426E" w:rsidTr="006D3AB5">
        <w:trPr>
          <w:trHeight w:val="360"/>
        </w:trPr>
        <w:tc>
          <w:tcPr>
            <w:tcW w:w="2132"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color w:val="538DD5"/>
                <w:lang w:eastAsia="lv-LV"/>
              </w:rPr>
            </w:pPr>
            <w:r w:rsidRPr="00DB426E">
              <w:rPr>
                <w:rFonts w:eastAsia="Times New Roman"/>
                <w:color w:val="538DD5"/>
                <w:lang w:eastAsia="lv-LV"/>
              </w:rPr>
              <w:t> </w:t>
            </w:r>
          </w:p>
        </w:tc>
        <w:tc>
          <w:tcPr>
            <w:tcW w:w="6379" w:type="dxa"/>
            <w:gridSpan w:val="6"/>
            <w:tcBorders>
              <w:top w:val="single" w:sz="4" w:space="0" w:color="auto"/>
              <w:left w:val="nil"/>
              <w:bottom w:val="single" w:sz="4" w:space="0" w:color="auto"/>
              <w:right w:val="single" w:sz="4" w:space="0" w:color="auto"/>
            </w:tcBorders>
            <w:shd w:val="clear" w:color="000000" w:fill="D9D9D9"/>
            <w:vAlign w:val="bottom"/>
            <w:hideMark/>
          </w:tcPr>
          <w:p w:rsidR="006D3AB5" w:rsidRPr="00DB426E" w:rsidRDefault="006D3AB5" w:rsidP="00E66971">
            <w:pPr>
              <w:spacing w:after="0"/>
              <w:jc w:val="center"/>
              <w:rPr>
                <w:rFonts w:eastAsia="Times New Roman"/>
                <w:b/>
                <w:color w:val="000000"/>
                <w:lang w:eastAsia="lv-LV"/>
              </w:rPr>
            </w:pPr>
            <w:r w:rsidRPr="00DB426E">
              <w:rPr>
                <w:rFonts w:eastAsia="Times New Roman"/>
                <w:b/>
                <w:lang w:eastAsia="lv-LV"/>
              </w:rPr>
              <w:t xml:space="preserve">Ieviešanas koeficients </w:t>
            </w:r>
          </w:p>
        </w:tc>
      </w:tr>
      <w:tr w:rsidR="006D3AB5" w:rsidRPr="00DB426E" w:rsidTr="006D3AB5">
        <w:trPr>
          <w:trHeight w:val="315"/>
        </w:trPr>
        <w:tc>
          <w:tcPr>
            <w:tcW w:w="2132" w:type="dxa"/>
            <w:vMerge/>
            <w:tcBorders>
              <w:top w:val="single" w:sz="4" w:space="0" w:color="auto"/>
              <w:left w:val="single" w:sz="4" w:space="0" w:color="auto"/>
              <w:bottom w:val="double" w:sz="6" w:space="0" w:color="000000"/>
              <w:right w:val="single" w:sz="4" w:space="0" w:color="auto"/>
            </w:tcBorders>
            <w:vAlign w:val="center"/>
            <w:hideMark/>
          </w:tcPr>
          <w:p w:rsidR="006D3AB5" w:rsidRPr="00DB426E" w:rsidRDefault="006D3AB5" w:rsidP="00E66971">
            <w:pPr>
              <w:spacing w:after="0"/>
              <w:rPr>
                <w:rFonts w:eastAsia="Times New Roman"/>
                <w:color w:val="538DD5"/>
                <w:lang w:eastAsia="lv-LV"/>
              </w:rPr>
            </w:pPr>
          </w:p>
        </w:tc>
        <w:tc>
          <w:tcPr>
            <w:tcW w:w="993"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color w:val="000000"/>
                <w:lang w:eastAsia="lv-LV"/>
              </w:rPr>
            </w:pPr>
            <w:r w:rsidRPr="00DB426E">
              <w:rPr>
                <w:rFonts w:eastAsia="Times New Roman"/>
                <w:color w:val="000000"/>
                <w:lang w:eastAsia="lv-LV"/>
              </w:rPr>
              <w:t>Kiev=0.1</w:t>
            </w:r>
          </w:p>
        </w:tc>
        <w:tc>
          <w:tcPr>
            <w:tcW w:w="992"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color w:val="000000"/>
                <w:lang w:eastAsia="lv-LV"/>
              </w:rPr>
            </w:pPr>
            <w:r w:rsidRPr="00DB426E">
              <w:rPr>
                <w:rFonts w:eastAsia="Times New Roman"/>
                <w:color w:val="000000"/>
                <w:lang w:eastAsia="lv-LV"/>
              </w:rPr>
              <w:t>Kiev=2</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color w:val="000000"/>
                <w:lang w:eastAsia="lv-LV"/>
              </w:rPr>
            </w:pPr>
            <w:r w:rsidRPr="00DB426E">
              <w:rPr>
                <w:rFonts w:eastAsia="Times New Roman"/>
                <w:color w:val="000000"/>
                <w:lang w:eastAsia="lv-LV"/>
              </w:rPr>
              <w:t>Kiev=4</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color w:val="000000"/>
                <w:lang w:eastAsia="lv-LV"/>
              </w:rPr>
            </w:pPr>
            <w:r w:rsidRPr="00DB426E">
              <w:rPr>
                <w:rFonts w:eastAsia="Times New Roman"/>
                <w:color w:val="000000"/>
                <w:lang w:eastAsia="lv-LV"/>
              </w:rPr>
              <w:t>Kiev=6</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color w:val="000000"/>
                <w:lang w:eastAsia="lv-LV"/>
              </w:rPr>
            </w:pPr>
            <w:r w:rsidRPr="00DB426E">
              <w:rPr>
                <w:rFonts w:eastAsia="Times New Roman"/>
                <w:color w:val="000000"/>
                <w:lang w:eastAsia="lv-LV"/>
              </w:rPr>
              <w:t>Kiev=8</w:t>
            </w:r>
          </w:p>
        </w:tc>
        <w:tc>
          <w:tcPr>
            <w:tcW w:w="992"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color w:val="000000"/>
                <w:lang w:eastAsia="lv-LV"/>
              </w:rPr>
            </w:pPr>
            <w:r w:rsidRPr="00DB426E">
              <w:rPr>
                <w:rFonts w:eastAsia="Times New Roman"/>
                <w:color w:val="000000"/>
                <w:lang w:eastAsia="lv-LV"/>
              </w:rPr>
              <w:t>Kiev=10</w:t>
            </w:r>
          </w:p>
        </w:tc>
      </w:tr>
      <w:tr w:rsidR="006D3AB5" w:rsidRPr="00DB426E" w:rsidTr="006D3AB5">
        <w:trPr>
          <w:trHeight w:val="324"/>
        </w:trPr>
        <w:tc>
          <w:tcPr>
            <w:tcW w:w="2132" w:type="dxa"/>
            <w:tcBorders>
              <w:top w:val="nil"/>
              <w:left w:val="single" w:sz="4" w:space="0" w:color="auto"/>
              <w:bottom w:val="single" w:sz="4" w:space="0" w:color="auto"/>
              <w:right w:val="single" w:sz="4" w:space="0" w:color="auto"/>
            </w:tcBorders>
            <w:shd w:val="clear" w:color="auto" w:fill="auto"/>
            <w:vAlign w:val="bottom"/>
            <w:hideMark/>
          </w:tcPr>
          <w:p w:rsidR="006D3AB5" w:rsidRPr="00DB426E" w:rsidRDefault="006D3AB5" w:rsidP="00E66971">
            <w:pPr>
              <w:spacing w:after="0"/>
              <w:rPr>
                <w:rFonts w:eastAsia="Times New Roman"/>
                <w:b/>
                <w:bCs/>
                <w:color w:val="000000"/>
                <w:lang w:eastAsia="lv-LV"/>
              </w:rPr>
            </w:pPr>
            <w:r w:rsidRPr="00DB426E">
              <w:rPr>
                <w:rFonts w:eastAsia="Times New Roman"/>
                <w:b/>
                <w:bCs/>
                <w:color w:val="000000"/>
                <w:lang w:eastAsia="lv-LV"/>
              </w:rPr>
              <w:t>UIN samazinājums</w:t>
            </w:r>
          </w:p>
        </w:tc>
        <w:tc>
          <w:tcPr>
            <w:tcW w:w="993"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rPr>
            </w:pPr>
            <w:r w:rsidRPr="00DB426E">
              <w:rPr>
                <w:b/>
                <w:bCs/>
              </w:rPr>
              <w:t>34.1%</w:t>
            </w:r>
          </w:p>
        </w:tc>
        <w:tc>
          <w:tcPr>
            <w:tcW w:w="992"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rPr>
            </w:pPr>
            <w:r w:rsidRPr="00DB426E">
              <w:rPr>
                <w:b/>
                <w:bCs/>
              </w:rPr>
              <w:t>34.8%</w:t>
            </w:r>
          </w:p>
        </w:tc>
        <w:tc>
          <w:tcPr>
            <w:tcW w:w="1134"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rPr>
            </w:pPr>
            <w:r w:rsidRPr="00DB426E">
              <w:rPr>
                <w:b/>
                <w:bCs/>
              </w:rPr>
              <w:t>35.7%</w:t>
            </w:r>
          </w:p>
        </w:tc>
        <w:tc>
          <w:tcPr>
            <w:tcW w:w="1134"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rPr>
            </w:pPr>
            <w:r w:rsidRPr="00DB426E">
              <w:rPr>
                <w:b/>
                <w:bCs/>
              </w:rPr>
              <w:t>36.5%</w:t>
            </w:r>
          </w:p>
        </w:tc>
        <w:tc>
          <w:tcPr>
            <w:tcW w:w="1134"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rPr>
            </w:pPr>
            <w:r w:rsidRPr="00DB426E">
              <w:rPr>
                <w:b/>
                <w:bCs/>
              </w:rPr>
              <w:t>37.4%</w:t>
            </w:r>
          </w:p>
        </w:tc>
        <w:tc>
          <w:tcPr>
            <w:tcW w:w="992"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E66971">
            <w:pPr>
              <w:spacing w:after="0"/>
              <w:jc w:val="center"/>
              <w:rPr>
                <w:b/>
                <w:bCs/>
              </w:rPr>
            </w:pPr>
            <w:r w:rsidRPr="00DB426E">
              <w:rPr>
                <w:b/>
                <w:bCs/>
              </w:rPr>
              <w:t>38.4%</w:t>
            </w:r>
          </w:p>
        </w:tc>
      </w:tr>
    </w:tbl>
    <w:p w:rsidR="006D3AB5" w:rsidRPr="00DB426E" w:rsidRDefault="006D3AB5" w:rsidP="006D3AB5">
      <w:pPr>
        <w:rPr>
          <w:vanish/>
        </w:rPr>
      </w:pPr>
    </w:p>
    <w:tbl>
      <w:tblPr>
        <w:tblW w:w="0" w:type="auto"/>
        <w:tblLook w:val="04A0" w:firstRow="1" w:lastRow="0" w:firstColumn="1" w:lastColumn="0" w:noHBand="0" w:noVBand="1"/>
      </w:tblPr>
      <w:tblGrid>
        <w:gridCol w:w="4328"/>
        <w:gridCol w:w="4292"/>
      </w:tblGrid>
      <w:tr w:rsidR="006D3AB5" w:rsidRPr="00DB426E" w:rsidTr="006D3AB5">
        <w:trPr>
          <w:trHeight w:val="1126"/>
        </w:trPr>
        <w:tc>
          <w:tcPr>
            <w:tcW w:w="4080" w:type="dxa"/>
            <w:shd w:val="clear" w:color="auto" w:fill="auto"/>
          </w:tcPr>
          <w:p w:rsidR="006D3AB5" w:rsidRPr="00DB426E" w:rsidRDefault="006D3AB5" w:rsidP="006D3AB5">
            <w:pPr>
              <w:pStyle w:val="Caption"/>
              <w:spacing w:before="120" w:after="0"/>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2</w:t>
            </w:r>
            <w:r w:rsidR="009B0188">
              <w:rPr>
                <w:noProof/>
              </w:rPr>
              <w:fldChar w:fldCharType="end"/>
            </w:r>
            <w:r w:rsidRPr="00DB426E">
              <w:t>. Nodokļu maksājumu samazinājums atkarībā no zinātnisko pētījumu finansēšanas līmeņa (LIELIE uzņēmumi)</w:t>
            </w:r>
          </w:p>
        </w:tc>
        <w:tc>
          <w:tcPr>
            <w:tcW w:w="4292" w:type="dxa"/>
            <w:shd w:val="clear" w:color="auto" w:fill="auto"/>
          </w:tcPr>
          <w:p w:rsidR="006D3AB5" w:rsidRPr="00DB426E" w:rsidRDefault="006D3AB5" w:rsidP="006D3AB5">
            <w:pPr>
              <w:pStyle w:val="Caption"/>
              <w:spacing w:before="120" w:after="0"/>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3</w:t>
            </w:r>
            <w:r w:rsidR="009B0188">
              <w:rPr>
                <w:noProof/>
              </w:rPr>
              <w:fldChar w:fldCharType="end"/>
            </w:r>
            <w:r w:rsidRPr="00DB426E">
              <w:t>. Nodokļu maksājumu samazinājums atkarībā no pētījumu un to ieviešanas ražošanā izmaksu attiecības (LIELIE uzņēmumi)</w:t>
            </w:r>
          </w:p>
        </w:tc>
      </w:tr>
      <w:tr w:rsidR="006D3AB5" w:rsidRPr="00DB426E" w:rsidTr="006D3AB5">
        <w:trPr>
          <w:trHeight w:val="3272"/>
        </w:trPr>
        <w:tc>
          <w:tcPr>
            <w:tcW w:w="4080" w:type="dxa"/>
            <w:shd w:val="clear" w:color="auto" w:fill="auto"/>
          </w:tcPr>
          <w:p w:rsidR="006D3AB5" w:rsidRPr="00DB426E" w:rsidRDefault="006C3F27" w:rsidP="006D3AB5">
            <w:r>
              <w:rPr>
                <w:noProof/>
                <w:lang w:eastAsia="lv-LV"/>
              </w:rPr>
              <w:drawing>
                <wp:anchor distT="0" distB="0" distL="114300" distR="114300" simplePos="0" relativeHeight="11" behindDoc="0" locked="0" layoutInCell="1" allowOverlap="1" wp14:anchorId="12A31654" wp14:editId="159C4CDD">
                  <wp:simplePos x="0" y="0"/>
                  <wp:positionH relativeFrom="character">
                    <wp:posOffset>0</wp:posOffset>
                  </wp:positionH>
                  <wp:positionV relativeFrom="line">
                    <wp:posOffset>0</wp:posOffset>
                  </wp:positionV>
                  <wp:extent cx="2618740" cy="1937385"/>
                  <wp:effectExtent l="19050" t="0" r="0" b="0"/>
                  <wp:wrapNone/>
                  <wp:docPr id="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srcRect/>
                          <a:stretch>
                            <a:fillRect/>
                          </a:stretch>
                        </pic:blipFill>
                        <pic:spPr bwMode="auto">
                          <a:xfrm>
                            <a:off x="0" y="0"/>
                            <a:ext cx="2618740" cy="1937385"/>
                          </a:xfrm>
                          <a:prstGeom prst="rect">
                            <a:avLst/>
                          </a:prstGeom>
                          <a:noFill/>
                        </pic:spPr>
                      </pic:pic>
                    </a:graphicData>
                  </a:graphic>
                </wp:anchor>
              </w:drawing>
            </w:r>
            <w:r w:rsidR="00655410">
              <w:rPr>
                <w:noProof/>
                <w:lang w:eastAsia="lv-LV"/>
              </w:rPr>
              <mc:AlternateContent>
                <mc:Choice Requires="wps">
                  <w:drawing>
                    <wp:inline distT="0" distB="0" distL="0" distR="0" wp14:anchorId="283D848A" wp14:editId="5B127C32">
                      <wp:extent cx="2611120" cy="1930400"/>
                      <wp:effectExtent l="0" t="0" r="0" b="0"/>
                      <wp:docPr id="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11120" cy="193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05.6pt;height: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" filled="f" stroked="f">
                      <o:lock v:ext="edit" aspectratio="t"/>
                      <w10:anchorlock/>
                    </v:rect>
                  </w:pict>
                </mc:Fallback>
              </mc:AlternateContent>
            </w:r>
          </w:p>
        </w:tc>
        <w:tc>
          <w:tcPr>
            <w:tcW w:w="4292" w:type="dxa"/>
            <w:shd w:val="clear" w:color="auto" w:fill="auto"/>
          </w:tcPr>
          <w:p w:rsidR="006D3AB5" w:rsidRPr="00DB426E" w:rsidRDefault="006C3F27" w:rsidP="006D3AB5">
            <w:pPr>
              <w:keepNext/>
            </w:pPr>
            <w:r>
              <w:rPr>
                <w:noProof/>
                <w:lang w:eastAsia="lv-LV"/>
              </w:rPr>
              <w:drawing>
                <wp:anchor distT="0" distB="0" distL="114300" distR="114300" simplePos="0" relativeHeight="10" behindDoc="0" locked="0" layoutInCell="1" allowOverlap="1" wp14:anchorId="6F3370BD" wp14:editId="2378F60D">
                  <wp:simplePos x="0" y="0"/>
                  <wp:positionH relativeFrom="character">
                    <wp:posOffset>0</wp:posOffset>
                  </wp:positionH>
                  <wp:positionV relativeFrom="line">
                    <wp:posOffset>0</wp:posOffset>
                  </wp:positionV>
                  <wp:extent cx="2550160" cy="1911350"/>
                  <wp:effectExtent l="19050" t="0" r="2540" b="0"/>
                  <wp:wrapNone/>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srcRect/>
                          <a:stretch>
                            <a:fillRect/>
                          </a:stretch>
                        </pic:blipFill>
                        <pic:spPr bwMode="auto">
                          <a:xfrm>
                            <a:off x="0" y="0"/>
                            <a:ext cx="2550160" cy="1911350"/>
                          </a:xfrm>
                          <a:prstGeom prst="rect">
                            <a:avLst/>
                          </a:prstGeom>
                          <a:noFill/>
                        </pic:spPr>
                      </pic:pic>
                    </a:graphicData>
                  </a:graphic>
                </wp:anchor>
              </w:drawing>
            </w:r>
            <w:r w:rsidR="00655410">
              <w:rPr>
                <w:noProof/>
                <w:lang w:eastAsia="lv-LV"/>
              </w:rPr>
              <mc:AlternateContent>
                <mc:Choice Requires="wps">
                  <w:drawing>
                    <wp:inline distT="0" distB="0" distL="0" distR="0" wp14:anchorId="72842012" wp14:editId="51CF3A17">
                      <wp:extent cx="2550160" cy="1910080"/>
                      <wp:effectExtent l="0" t="0" r="0" b="0"/>
                      <wp:docPr id="6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50160" cy="191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00.8pt;height:1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" filled="f" stroked="f">
                      <o:lock v:ext="edit" aspectratio="t"/>
                      <w10:anchorlock/>
                    </v:rect>
                  </w:pict>
                </mc:Fallback>
              </mc:AlternateContent>
            </w:r>
          </w:p>
        </w:tc>
      </w:tr>
    </w:tbl>
    <w:p w:rsidR="002612BC" w:rsidRDefault="002612BC" w:rsidP="006D3AB5"/>
    <w:p w:rsidR="006D3AB5" w:rsidRPr="00DB426E" w:rsidRDefault="006D3AB5" w:rsidP="006D3AB5">
      <w:r w:rsidRPr="00DB426E">
        <w:t>Salīdzinājumam tika veikti aprēķini, piemērojot arī ZP izdevumu palielināšanas koeficientu Kp=150%, Kp=200%, Kp=300%, Kp=350%.</w:t>
      </w:r>
    </w:p>
    <w:p w:rsidR="006D3AB5" w:rsidRPr="00DB426E" w:rsidRDefault="006D3AB5" w:rsidP="006D3AB5">
      <w:r w:rsidRPr="00DB426E">
        <w:t>Pastāvot nosacījumam, ka pieļaujamais UIN samazinājums ir ne vairāk kā par 50%, palielināšanas koeficienta izvēli nosaka attiecība starp uzņēmuma izmaksām zinātniskajiem pētījumiem un apgrozījumu. Ja koeficients Кр=200%, izmaksas zinātniskajiem pētījumiem nevar pārsniegt 8% no apgrozījuma, koeficientam Кр=250% ierobežojums tiek ievērots, ja izmaksas zinātniskajiem pētījumiem ir 6% robežās no apgrozījuma, attiecīgi Кр=300% pieļaujamā robeža ir 4.8%.</w:t>
      </w:r>
    </w:p>
    <w:p w:rsidR="006D3AB5" w:rsidRPr="00DB426E" w:rsidRDefault="006D3AB5" w:rsidP="006D3AB5">
      <w:r w:rsidRPr="00DB426E">
        <w:t xml:space="preserve">Lielo uzņēmumu segmentā biznesa apjoms un specifika nosaka nepieciešamību pēc ievērojamiem ieguldījumiem inovācijā, kas attiecīgi nosaka nodokļu atvieglojumu apjomu un budžeta maksājumu samazinājumu. Tādejādi ir pamatota diferencētu palielināšanas koeficientu izmantošana. </w:t>
      </w:r>
    </w:p>
    <w:p w:rsidR="00E66971" w:rsidRDefault="00E66971" w:rsidP="006D3AB5"/>
    <w:p w:rsidR="0063702A" w:rsidRPr="00DB426E" w:rsidRDefault="0063702A" w:rsidP="006D3AB5"/>
    <w:p w:rsidR="00E66971" w:rsidRPr="00DB426E" w:rsidRDefault="00E66971" w:rsidP="006D3AB5"/>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5</w:t>
      </w:r>
      <w:r w:rsidR="009B0188">
        <w:rPr>
          <w:noProof/>
        </w:rPr>
        <w:fldChar w:fldCharType="end"/>
      </w:r>
      <w:r w:rsidRPr="00DB426E">
        <w:t>. Nodokļu maksājumu samazinājums atkarībā no zinātnisko pētījumu finansēšanas līmeņa, piemērojot dažādus ZP izmaksu palielināšanas koeficientus (LIELIE uzņēmumi)</w:t>
      </w:r>
    </w:p>
    <w:p w:rsidR="006D3AB5" w:rsidRPr="00DB426E" w:rsidRDefault="006D3AB5" w:rsidP="00475128">
      <w:pPr>
        <w:numPr>
          <w:ilvl w:val="0"/>
          <w:numId w:val="19"/>
        </w:numPr>
        <w:spacing w:before="120" w:after="0" w:line="240" w:lineRule="auto"/>
        <w:rPr>
          <w:b/>
          <w:i/>
        </w:rPr>
      </w:pPr>
      <w:r w:rsidRPr="00DB426E">
        <w:rPr>
          <w:b/>
          <w:i/>
        </w:rPr>
        <w:t>Nodokļu maksājumi procentos no maksājumiem inerces variantā</w:t>
      </w:r>
    </w:p>
    <w:tbl>
      <w:tblPr>
        <w:tblW w:w="8652" w:type="dxa"/>
        <w:tblInd w:w="103" w:type="dxa"/>
        <w:tblLook w:val="04A0" w:firstRow="1" w:lastRow="0" w:firstColumn="1" w:lastColumn="0" w:noHBand="0" w:noVBand="1"/>
      </w:tblPr>
      <w:tblGrid>
        <w:gridCol w:w="1848"/>
        <w:gridCol w:w="1134"/>
        <w:gridCol w:w="1134"/>
        <w:gridCol w:w="1134"/>
        <w:gridCol w:w="1134"/>
        <w:gridCol w:w="1134"/>
        <w:gridCol w:w="1134"/>
      </w:tblGrid>
      <w:tr w:rsidR="006D3AB5" w:rsidRPr="00DB426E" w:rsidTr="006D3AB5">
        <w:trPr>
          <w:trHeight w:val="300"/>
        </w:trPr>
        <w:tc>
          <w:tcPr>
            <w:tcW w:w="1848" w:type="dxa"/>
            <w:tcBorders>
              <w:top w:val="single" w:sz="4" w:space="0" w:color="auto"/>
              <w:left w:val="single" w:sz="4" w:space="0" w:color="auto"/>
              <w:bottom w:val="nil"/>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b/>
                <w:bCs/>
                <w:color w:val="000000"/>
                <w:lang w:eastAsia="lv-LV"/>
              </w:rPr>
            </w:pPr>
            <w:r w:rsidRPr="00DB426E">
              <w:rPr>
                <w:rFonts w:eastAsia="Times New Roman"/>
                <w:b/>
                <w:bCs/>
                <w:color w:val="000000"/>
                <w:lang w:eastAsia="lv-LV"/>
              </w:rPr>
              <w:t xml:space="preserve">UIN maksājumi </w:t>
            </w:r>
          </w:p>
        </w:tc>
        <w:tc>
          <w:tcPr>
            <w:tcW w:w="6804"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6D3AB5" w:rsidRPr="00DB426E" w:rsidRDefault="006D3AB5" w:rsidP="00E66971">
            <w:pPr>
              <w:spacing w:after="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1848" w:type="dxa"/>
            <w:tcBorders>
              <w:top w:val="nil"/>
              <w:left w:val="single" w:sz="4" w:space="0" w:color="auto"/>
              <w:bottom w:val="double" w:sz="6" w:space="0" w:color="auto"/>
              <w:right w:val="nil"/>
            </w:tcBorders>
            <w:shd w:val="clear" w:color="000000" w:fill="D9D9D9"/>
            <w:noWrap/>
            <w:vAlign w:val="bottom"/>
            <w:hideMark/>
          </w:tcPr>
          <w:p w:rsidR="006D3AB5" w:rsidRPr="00DB426E" w:rsidRDefault="006D3AB5" w:rsidP="00E66971">
            <w:pPr>
              <w:spacing w:after="0"/>
              <w:rPr>
                <w:rFonts w:eastAsia="Times New Roman"/>
                <w:bCs/>
                <w:sz w:val="20"/>
                <w:szCs w:val="20"/>
                <w:lang w:eastAsia="lv-LV"/>
              </w:rPr>
            </w:pPr>
            <w:r w:rsidRPr="00DB426E">
              <w:rPr>
                <w:rFonts w:eastAsia="Times New Roman"/>
                <w:bCs/>
                <w:sz w:val="20"/>
                <w:szCs w:val="20"/>
                <w:lang w:eastAsia="lv-LV"/>
              </w:rPr>
              <w:t>  (% no inerces var.)</w:t>
            </w:r>
          </w:p>
        </w:tc>
        <w:tc>
          <w:tcPr>
            <w:tcW w:w="1134" w:type="dxa"/>
            <w:tcBorders>
              <w:top w:val="nil"/>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b/>
                <w:bCs/>
                <w:lang w:eastAsia="lv-LV"/>
              </w:rPr>
            </w:pPr>
            <w:r w:rsidRPr="00DB426E">
              <w:rPr>
                <w:rFonts w:eastAsia="Times New Roman"/>
                <w:b/>
                <w:bCs/>
                <w:lang w:eastAsia="lv-LV"/>
              </w:rPr>
              <w:t>0.5%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b/>
                <w:bCs/>
                <w:lang w:eastAsia="lv-LV"/>
              </w:rPr>
            </w:pPr>
            <w:r w:rsidRPr="00DB426E">
              <w:rPr>
                <w:rFonts w:eastAsia="Times New Roman"/>
                <w:b/>
                <w:bCs/>
                <w:lang w:eastAsia="lv-LV"/>
              </w:rPr>
              <w:t>1.5%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b/>
                <w:bCs/>
                <w:lang w:eastAsia="lv-LV"/>
              </w:rPr>
            </w:pPr>
            <w:r w:rsidRPr="00DB426E">
              <w:rPr>
                <w:rFonts w:eastAsia="Times New Roman"/>
                <w:b/>
                <w:bCs/>
                <w:lang w:eastAsia="lv-LV"/>
              </w:rPr>
              <w:t>3.0%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b/>
                <w:bCs/>
                <w:lang w:eastAsia="lv-LV"/>
              </w:rPr>
            </w:pPr>
            <w:r w:rsidRPr="00DB426E">
              <w:rPr>
                <w:rFonts w:eastAsia="Times New Roman"/>
                <w:b/>
                <w:bCs/>
                <w:lang w:eastAsia="lv-LV"/>
              </w:rPr>
              <w:t>4.5%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b/>
                <w:bCs/>
                <w:lang w:eastAsia="lv-LV"/>
              </w:rPr>
            </w:pPr>
            <w:r w:rsidRPr="00DB426E">
              <w:rPr>
                <w:rFonts w:eastAsia="Times New Roman"/>
                <w:b/>
                <w:bCs/>
                <w:lang w:eastAsia="lv-LV"/>
              </w:rPr>
              <w:t>6.0%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E66971">
            <w:pPr>
              <w:spacing w:after="0"/>
              <w:jc w:val="center"/>
              <w:rPr>
                <w:rFonts w:eastAsia="Times New Roman"/>
                <w:b/>
                <w:bCs/>
                <w:color w:val="000000"/>
                <w:lang w:eastAsia="lv-LV"/>
              </w:rPr>
            </w:pPr>
            <w:r w:rsidRPr="00DB426E">
              <w:rPr>
                <w:rFonts w:eastAsia="Times New Roman"/>
                <w:b/>
                <w:bCs/>
                <w:color w:val="000000"/>
                <w:lang w:eastAsia="lv-LV"/>
              </w:rPr>
              <w:t>7.5%</w:t>
            </w:r>
          </w:p>
        </w:tc>
      </w:tr>
      <w:tr w:rsidR="006D3AB5" w:rsidRPr="00DB426E" w:rsidTr="006D3AB5">
        <w:trPr>
          <w:trHeight w:val="315"/>
        </w:trPr>
        <w:tc>
          <w:tcPr>
            <w:tcW w:w="1848" w:type="dxa"/>
            <w:tcBorders>
              <w:top w:val="nil"/>
              <w:left w:val="single" w:sz="4" w:space="0" w:color="auto"/>
              <w:bottom w:val="nil"/>
              <w:right w:val="nil"/>
            </w:tcBorders>
            <w:shd w:val="clear" w:color="auto" w:fill="auto"/>
            <w:vAlign w:val="bottom"/>
            <w:hideMark/>
          </w:tcPr>
          <w:p w:rsidR="006D3AB5" w:rsidRPr="00DB426E" w:rsidRDefault="006D3AB5" w:rsidP="00E66971">
            <w:pPr>
              <w:spacing w:after="0"/>
              <w:rPr>
                <w:rFonts w:eastAsia="Times New Roman"/>
                <w:color w:val="000000"/>
                <w:lang w:eastAsia="lv-LV"/>
              </w:rPr>
            </w:pPr>
            <w:r w:rsidRPr="00DB426E">
              <w:rPr>
                <w:rFonts w:eastAsia="Times New Roman"/>
                <w:color w:val="000000"/>
                <w:lang w:eastAsia="lv-LV"/>
              </w:rPr>
              <w:t>Kp=150%</w:t>
            </w:r>
          </w:p>
        </w:tc>
        <w:tc>
          <w:tcPr>
            <w:tcW w:w="1134"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98.9%</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96.7%</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92.9%</w:t>
            </w:r>
          </w:p>
        </w:tc>
        <w:tc>
          <w:tcPr>
            <w:tcW w:w="1134" w:type="dxa"/>
            <w:tcBorders>
              <w:top w:val="nil"/>
              <w:left w:val="nil"/>
              <w:bottom w:val="nil"/>
              <w:right w:val="single" w:sz="4" w:space="0" w:color="auto"/>
            </w:tcBorders>
            <w:shd w:val="clear" w:color="auto" w:fill="FFFFFF"/>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88.5%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83.3%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77.1%</w:t>
            </w:r>
          </w:p>
        </w:tc>
      </w:tr>
      <w:tr w:rsidR="006D3AB5" w:rsidRPr="00DB426E" w:rsidTr="006D3AB5">
        <w:trPr>
          <w:trHeight w:val="300"/>
        </w:trPr>
        <w:tc>
          <w:tcPr>
            <w:tcW w:w="1848" w:type="dxa"/>
            <w:tcBorders>
              <w:top w:val="nil"/>
              <w:left w:val="single" w:sz="4" w:space="0" w:color="auto"/>
              <w:bottom w:val="nil"/>
              <w:right w:val="nil"/>
            </w:tcBorders>
            <w:shd w:val="clear" w:color="auto" w:fill="auto"/>
            <w:vAlign w:val="bottom"/>
            <w:hideMark/>
          </w:tcPr>
          <w:p w:rsidR="006D3AB5" w:rsidRPr="00DB426E" w:rsidRDefault="006D3AB5" w:rsidP="00E66971">
            <w:pPr>
              <w:spacing w:after="0"/>
              <w:rPr>
                <w:rFonts w:eastAsia="Times New Roman"/>
                <w:color w:val="000000"/>
                <w:lang w:eastAsia="lv-LV"/>
              </w:rPr>
            </w:pPr>
            <w:r w:rsidRPr="00DB426E">
              <w:rPr>
                <w:rFonts w:eastAsia="Times New Roman"/>
                <w:color w:val="000000"/>
                <w:lang w:eastAsia="lv-LV"/>
              </w:rPr>
              <w:t>Kp=200%</w:t>
            </w:r>
          </w:p>
        </w:tc>
        <w:tc>
          <w:tcPr>
            <w:tcW w:w="1134"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97.9%</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93.4%</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85.8%</w:t>
            </w:r>
          </w:p>
        </w:tc>
        <w:tc>
          <w:tcPr>
            <w:tcW w:w="1134" w:type="dxa"/>
            <w:tcBorders>
              <w:top w:val="nil"/>
              <w:left w:val="nil"/>
              <w:bottom w:val="nil"/>
              <w:right w:val="single" w:sz="4" w:space="0" w:color="auto"/>
            </w:tcBorders>
            <w:shd w:val="clear" w:color="auto" w:fill="FFFFFF"/>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77.0%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66.6%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54.2%</w:t>
            </w:r>
          </w:p>
        </w:tc>
      </w:tr>
      <w:tr w:rsidR="006D3AB5" w:rsidRPr="00DB426E" w:rsidTr="006D3AB5">
        <w:trPr>
          <w:trHeight w:val="300"/>
        </w:trPr>
        <w:tc>
          <w:tcPr>
            <w:tcW w:w="1848" w:type="dxa"/>
            <w:tcBorders>
              <w:top w:val="nil"/>
              <w:left w:val="single" w:sz="4" w:space="0" w:color="auto"/>
              <w:bottom w:val="nil"/>
              <w:right w:val="nil"/>
            </w:tcBorders>
            <w:shd w:val="clear" w:color="auto" w:fill="auto"/>
            <w:vAlign w:val="bottom"/>
            <w:hideMark/>
          </w:tcPr>
          <w:p w:rsidR="006D3AB5" w:rsidRPr="00DB426E" w:rsidRDefault="006D3AB5" w:rsidP="00E66971">
            <w:pPr>
              <w:spacing w:after="0"/>
              <w:rPr>
                <w:rFonts w:eastAsia="Times New Roman"/>
                <w:b/>
                <w:color w:val="000000"/>
                <w:lang w:eastAsia="lv-LV"/>
              </w:rPr>
            </w:pPr>
            <w:r w:rsidRPr="00DB426E">
              <w:rPr>
                <w:rFonts w:eastAsia="Times New Roman"/>
                <w:b/>
                <w:color w:val="000000"/>
                <w:lang w:eastAsia="lv-LV"/>
              </w:rPr>
              <w:t>Kp=250%</w:t>
            </w:r>
          </w:p>
        </w:tc>
        <w:tc>
          <w:tcPr>
            <w:tcW w:w="1134"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b/>
                <w:sz w:val="20"/>
                <w:szCs w:val="20"/>
                <w:lang w:eastAsia="lv-LV"/>
              </w:rPr>
            </w:pPr>
            <w:r w:rsidRPr="00DB426E">
              <w:rPr>
                <w:rFonts w:eastAsia="Times New Roman"/>
                <w:b/>
                <w:sz w:val="20"/>
                <w:szCs w:val="20"/>
                <w:lang w:eastAsia="lv-LV"/>
              </w:rPr>
              <w:t>96.8%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b/>
                <w:sz w:val="20"/>
                <w:szCs w:val="20"/>
                <w:lang w:eastAsia="lv-LV"/>
              </w:rPr>
            </w:pPr>
            <w:r w:rsidRPr="00DB426E">
              <w:rPr>
                <w:rFonts w:eastAsia="Times New Roman"/>
                <w:b/>
                <w:sz w:val="20"/>
                <w:szCs w:val="20"/>
                <w:lang w:eastAsia="lv-LV"/>
              </w:rPr>
              <w:t>90.1%</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b/>
                <w:sz w:val="20"/>
                <w:szCs w:val="20"/>
                <w:lang w:eastAsia="lv-LV"/>
              </w:rPr>
            </w:pPr>
            <w:r w:rsidRPr="00DB426E">
              <w:rPr>
                <w:rFonts w:eastAsia="Times New Roman"/>
                <w:b/>
                <w:sz w:val="20"/>
                <w:szCs w:val="20"/>
                <w:lang w:eastAsia="lv-LV"/>
              </w:rPr>
              <w:t>78.7%</w:t>
            </w:r>
          </w:p>
        </w:tc>
        <w:tc>
          <w:tcPr>
            <w:tcW w:w="1134" w:type="dxa"/>
            <w:tcBorders>
              <w:top w:val="nil"/>
              <w:left w:val="nil"/>
              <w:bottom w:val="nil"/>
              <w:right w:val="single" w:sz="4" w:space="0" w:color="auto"/>
            </w:tcBorders>
            <w:shd w:val="clear" w:color="auto" w:fill="FFFFFF"/>
            <w:noWrap/>
            <w:vAlign w:val="bottom"/>
            <w:hideMark/>
          </w:tcPr>
          <w:p w:rsidR="006D3AB5" w:rsidRPr="00DB426E" w:rsidRDefault="006D3AB5" w:rsidP="00E66971">
            <w:pPr>
              <w:spacing w:after="0"/>
              <w:jc w:val="center"/>
              <w:rPr>
                <w:rFonts w:eastAsia="Times New Roman"/>
                <w:b/>
                <w:sz w:val="20"/>
                <w:szCs w:val="20"/>
                <w:lang w:eastAsia="lv-LV"/>
              </w:rPr>
            </w:pPr>
            <w:r w:rsidRPr="00DB426E">
              <w:rPr>
                <w:rFonts w:eastAsia="Times New Roman"/>
                <w:b/>
                <w:sz w:val="20"/>
                <w:szCs w:val="20"/>
                <w:lang w:eastAsia="lv-LV"/>
              </w:rPr>
              <w:t>65.5%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b/>
                <w:sz w:val="20"/>
                <w:szCs w:val="20"/>
                <w:lang w:eastAsia="lv-LV"/>
              </w:rPr>
            </w:pPr>
            <w:r w:rsidRPr="00DB426E">
              <w:rPr>
                <w:rFonts w:eastAsia="Times New Roman"/>
                <w:b/>
                <w:sz w:val="20"/>
                <w:szCs w:val="20"/>
                <w:lang w:eastAsia="lv-LV"/>
              </w:rPr>
              <w:t>49.9%</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b/>
                <w:sz w:val="20"/>
                <w:szCs w:val="20"/>
                <w:lang w:eastAsia="lv-LV"/>
              </w:rPr>
            </w:pPr>
            <w:r w:rsidRPr="00DB426E">
              <w:rPr>
                <w:rFonts w:eastAsia="Times New Roman"/>
                <w:b/>
                <w:sz w:val="20"/>
                <w:szCs w:val="20"/>
                <w:lang w:eastAsia="lv-LV"/>
              </w:rPr>
              <w:t>31.4%</w:t>
            </w:r>
          </w:p>
        </w:tc>
      </w:tr>
      <w:tr w:rsidR="006D3AB5" w:rsidRPr="00DB426E" w:rsidTr="006D3AB5">
        <w:trPr>
          <w:trHeight w:val="300"/>
        </w:trPr>
        <w:tc>
          <w:tcPr>
            <w:tcW w:w="1848" w:type="dxa"/>
            <w:tcBorders>
              <w:top w:val="nil"/>
              <w:left w:val="single" w:sz="4" w:space="0" w:color="auto"/>
              <w:bottom w:val="nil"/>
              <w:right w:val="nil"/>
            </w:tcBorders>
            <w:shd w:val="clear" w:color="auto" w:fill="auto"/>
            <w:vAlign w:val="bottom"/>
            <w:hideMark/>
          </w:tcPr>
          <w:p w:rsidR="006D3AB5" w:rsidRPr="00DB426E" w:rsidRDefault="006D3AB5" w:rsidP="00E66971">
            <w:pPr>
              <w:spacing w:after="0"/>
              <w:rPr>
                <w:rFonts w:eastAsia="Times New Roman"/>
                <w:color w:val="000000"/>
                <w:lang w:eastAsia="lv-LV"/>
              </w:rPr>
            </w:pPr>
            <w:r w:rsidRPr="00DB426E">
              <w:rPr>
                <w:rFonts w:eastAsia="Times New Roman"/>
                <w:color w:val="000000"/>
                <w:lang w:eastAsia="lv-LV"/>
              </w:rPr>
              <w:t>Kp=300%</w:t>
            </w:r>
          </w:p>
        </w:tc>
        <w:tc>
          <w:tcPr>
            <w:tcW w:w="1134"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95.8%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86.8%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71.6%</w:t>
            </w:r>
          </w:p>
        </w:tc>
        <w:tc>
          <w:tcPr>
            <w:tcW w:w="1134" w:type="dxa"/>
            <w:tcBorders>
              <w:top w:val="nil"/>
              <w:left w:val="nil"/>
              <w:bottom w:val="nil"/>
              <w:right w:val="single" w:sz="4" w:space="0" w:color="auto"/>
            </w:tcBorders>
            <w:shd w:val="clear" w:color="auto" w:fill="FFFFFF"/>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54.0%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33.3%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8.5%</w:t>
            </w:r>
          </w:p>
        </w:tc>
      </w:tr>
      <w:tr w:rsidR="006D3AB5" w:rsidRPr="00DB426E" w:rsidTr="006D3AB5">
        <w:trPr>
          <w:trHeight w:val="300"/>
        </w:trPr>
        <w:tc>
          <w:tcPr>
            <w:tcW w:w="1848" w:type="dxa"/>
            <w:tcBorders>
              <w:top w:val="nil"/>
              <w:left w:val="single" w:sz="4" w:space="0" w:color="auto"/>
              <w:bottom w:val="nil"/>
              <w:right w:val="nil"/>
            </w:tcBorders>
            <w:shd w:val="clear" w:color="auto" w:fill="auto"/>
            <w:vAlign w:val="bottom"/>
            <w:hideMark/>
          </w:tcPr>
          <w:p w:rsidR="006D3AB5" w:rsidRPr="00DB426E" w:rsidRDefault="006D3AB5" w:rsidP="00E66971">
            <w:pPr>
              <w:spacing w:after="0"/>
              <w:rPr>
                <w:rFonts w:eastAsia="Times New Roman"/>
                <w:color w:val="000000"/>
                <w:lang w:eastAsia="lv-LV"/>
              </w:rPr>
            </w:pPr>
            <w:r w:rsidRPr="00DB426E">
              <w:rPr>
                <w:rFonts w:eastAsia="Times New Roman"/>
                <w:color w:val="000000"/>
                <w:lang w:eastAsia="lv-LV"/>
              </w:rPr>
              <w:t>Kp=350%</w:t>
            </w:r>
          </w:p>
        </w:tc>
        <w:tc>
          <w:tcPr>
            <w:tcW w:w="1134"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94.7%</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83.5%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64.5%</w:t>
            </w:r>
          </w:p>
        </w:tc>
        <w:tc>
          <w:tcPr>
            <w:tcW w:w="1134" w:type="dxa"/>
            <w:tcBorders>
              <w:top w:val="nil"/>
              <w:left w:val="nil"/>
              <w:bottom w:val="nil"/>
              <w:right w:val="single" w:sz="4" w:space="0" w:color="auto"/>
            </w:tcBorders>
            <w:shd w:val="clear" w:color="auto" w:fill="FFFFFF"/>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42.5%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16.6%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color w:val="FFFFFF"/>
                <w:sz w:val="20"/>
                <w:szCs w:val="20"/>
                <w:lang w:eastAsia="lv-LV"/>
              </w:rPr>
            </w:pPr>
          </w:p>
        </w:tc>
      </w:tr>
      <w:tr w:rsidR="006D3AB5" w:rsidRPr="00DB426E" w:rsidTr="006D3AB5">
        <w:trPr>
          <w:trHeight w:val="300"/>
        </w:trPr>
        <w:tc>
          <w:tcPr>
            <w:tcW w:w="1848" w:type="dxa"/>
            <w:tcBorders>
              <w:top w:val="single" w:sz="4" w:space="0" w:color="auto"/>
              <w:left w:val="single" w:sz="4" w:space="0" w:color="auto"/>
              <w:bottom w:val="single" w:sz="4" w:space="0" w:color="auto"/>
              <w:right w:val="nil"/>
            </w:tcBorders>
            <w:shd w:val="clear" w:color="auto" w:fill="auto"/>
            <w:noWrap/>
            <w:vAlign w:val="bottom"/>
            <w:hideMark/>
          </w:tcPr>
          <w:p w:rsidR="006D3AB5" w:rsidRPr="00DB426E" w:rsidRDefault="006D3AB5" w:rsidP="00E66971">
            <w:pPr>
              <w:spacing w:after="0"/>
              <w:rPr>
                <w:rFonts w:eastAsia="Times New Roman"/>
                <w:bCs/>
                <w:lang w:eastAsia="lv-LV"/>
              </w:rPr>
            </w:pPr>
            <w:r w:rsidRPr="00DB426E">
              <w:rPr>
                <w:rFonts w:eastAsia="Times New Roman"/>
                <w:bCs/>
                <w:lang w:eastAsia="lv-LV"/>
              </w:rPr>
              <w:t>Inerces variants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100.0%</w:t>
            </w:r>
          </w:p>
        </w:tc>
        <w:tc>
          <w:tcPr>
            <w:tcW w:w="1134" w:type="dxa"/>
            <w:tcBorders>
              <w:top w:val="single" w:sz="4" w:space="0" w:color="auto"/>
              <w:left w:val="nil"/>
              <w:bottom w:val="single" w:sz="4" w:space="0" w:color="auto"/>
              <w:right w:val="single" w:sz="4" w:space="0" w:color="auto"/>
            </w:tcBorders>
            <w:shd w:val="clear" w:color="auto" w:fill="FFFFFF"/>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D3AB5" w:rsidRPr="00DB426E" w:rsidRDefault="006D3AB5" w:rsidP="00E66971">
            <w:pPr>
              <w:spacing w:after="0"/>
              <w:jc w:val="center"/>
              <w:rPr>
                <w:rFonts w:eastAsia="Times New Roman"/>
                <w:sz w:val="20"/>
                <w:szCs w:val="20"/>
                <w:lang w:eastAsia="lv-LV"/>
              </w:rPr>
            </w:pPr>
            <w:r w:rsidRPr="00DB426E">
              <w:rPr>
                <w:rFonts w:eastAsia="Times New Roman"/>
                <w:sz w:val="20"/>
                <w:szCs w:val="20"/>
                <w:lang w:eastAsia="lv-LV"/>
              </w:rPr>
              <w:t>100.0%</w:t>
            </w:r>
          </w:p>
        </w:tc>
      </w:tr>
    </w:tbl>
    <w:p w:rsidR="006D3AB5" w:rsidRPr="00DB426E" w:rsidRDefault="006D3AB5" w:rsidP="00475128">
      <w:pPr>
        <w:numPr>
          <w:ilvl w:val="0"/>
          <w:numId w:val="19"/>
        </w:numPr>
        <w:spacing w:before="120" w:after="0" w:line="240" w:lineRule="auto"/>
        <w:rPr>
          <w:b/>
          <w:i/>
        </w:rPr>
      </w:pPr>
      <w:r w:rsidRPr="00DB426E">
        <w:rPr>
          <w:b/>
          <w:i/>
        </w:rPr>
        <w:t>Nodokļu maksājumi absolūtos skaitļos (tūkst. LVL)</w:t>
      </w:r>
    </w:p>
    <w:tbl>
      <w:tblPr>
        <w:tblW w:w="8652" w:type="dxa"/>
        <w:tblInd w:w="103" w:type="dxa"/>
        <w:tblLook w:val="04A0" w:firstRow="1" w:lastRow="0" w:firstColumn="1" w:lastColumn="0" w:noHBand="0" w:noVBand="1"/>
      </w:tblPr>
      <w:tblGrid>
        <w:gridCol w:w="1848"/>
        <w:gridCol w:w="1134"/>
        <w:gridCol w:w="1134"/>
        <w:gridCol w:w="1134"/>
        <w:gridCol w:w="1134"/>
        <w:gridCol w:w="1134"/>
        <w:gridCol w:w="1134"/>
      </w:tblGrid>
      <w:tr w:rsidR="006D3AB5" w:rsidRPr="00DB426E" w:rsidTr="006D3AB5">
        <w:trPr>
          <w:trHeight w:val="300"/>
        </w:trPr>
        <w:tc>
          <w:tcPr>
            <w:tcW w:w="1848" w:type="dxa"/>
            <w:tcBorders>
              <w:top w:val="single" w:sz="4" w:space="0" w:color="auto"/>
              <w:left w:val="single" w:sz="4" w:space="0" w:color="auto"/>
              <w:bottom w:val="nil"/>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 xml:space="preserve">UIN maksājumi </w:t>
            </w:r>
          </w:p>
        </w:tc>
        <w:tc>
          <w:tcPr>
            <w:tcW w:w="6804" w:type="dxa"/>
            <w:gridSpan w:val="6"/>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1848" w:type="dxa"/>
            <w:tcBorders>
              <w:top w:val="nil"/>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lang w:eastAsia="lv-LV"/>
              </w:rPr>
            </w:pPr>
            <w:r w:rsidRPr="00DB426E">
              <w:rPr>
                <w:lang w:eastAsia="lv-LV"/>
              </w:rPr>
              <w:t>(tūkst. LVL)</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0.5%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3.0%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Cs/>
                <w:lang w:eastAsia="lv-LV"/>
              </w:rPr>
            </w:pPr>
            <w:r w:rsidRPr="00DB426E">
              <w:rPr>
                <w:rFonts w:eastAsia="Times New Roman"/>
                <w:bCs/>
                <w:lang w:eastAsia="lv-LV"/>
              </w:rPr>
              <w:t>4.5%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6.0%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7.5%</w:t>
            </w:r>
          </w:p>
        </w:tc>
      </w:tr>
      <w:tr w:rsidR="006D3AB5" w:rsidRPr="00DB426E" w:rsidTr="006D3AB5">
        <w:trPr>
          <w:trHeight w:val="315"/>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Kp=150%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2 199</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2 053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1 835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1 616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1 398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1 180</w:t>
            </w:r>
          </w:p>
        </w:tc>
      </w:tr>
      <w:tr w:rsidR="006D3AB5" w:rsidRPr="00DB426E" w:rsidTr="006D3AB5">
        <w:trPr>
          <w:trHeight w:val="300"/>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Kp=200%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2 175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1 983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1 695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1 406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1 118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830</w:t>
            </w:r>
          </w:p>
        </w:tc>
      </w:tr>
      <w:tr w:rsidR="006D3AB5" w:rsidRPr="00DB426E" w:rsidTr="006D3AB5">
        <w:trPr>
          <w:trHeight w:val="300"/>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b/>
                <w:color w:val="000000"/>
                <w:lang w:eastAsia="lv-LV"/>
              </w:rPr>
            </w:pPr>
            <w:r w:rsidRPr="00DB426E">
              <w:rPr>
                <w:rFonts w:eastAsia="Times New Roman"/>
                <w:b/>
                <w:color w:val="000000"/>
                <w:lang w:eastAsia="lv-LV"/>
              </w:rPr>
              <w:t>Kp=250%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2 152</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1 913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1 555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1 196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838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480</w:t>
            </w:r>
          </w:p>
        </w:tc>
      </w:tr>
      <w:tr w:rsidR="006D3AB5" w:rsidRPr="00DB426E" w:rsidTr="006D3AB5">
        <w:trPr>
          <w:trHeight w:val="300"/>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Kp=300%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2 129</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1 843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1 415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986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558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130</w:t>
            </w:r>
          </w:p>
        </w:tc>
      </w:tr>
      <w:tr w:rsidR="006D3AB5" w:rsidRPr="00DB426E" w:rsidTr="006D3AB5">
        <w:trPr>
          <w:trHeight w:val="300"/>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Kp=350%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2 105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1 773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1 275</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776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278</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FFFFFF"/>
                <w:lang w:eastAsia="lv-LV"/>
              </w:rPr>
            </w:pPr>
            <w:r w:rsidRPr="00DB426E">
              <w:rPr>
                <w:rFonts w:eastAsia="Times New Roman"/>
                <w:color w:val="FFFFFF"/>
                <w:lang w:eastAsia="lv-LV"/>
              </w:rPr>
              <w:t>-300</w:t>
            </w:r>
          </w:p>
        </w:tc>
      </w:tr>
      <w:tr w:rsidR="006D3AB5" w:rsidRPr="00DB426E" w:rsidTr="006D3AB5">
        <w:trPr>
          <w:trHeight w:val="300"/>
        </w:trPr>
        <w:tc>
          <w:tcPr>
            <w:tcW w:w="1848" w:type="dxa"/>
            <w:tcBorders>
              <w:top w:val="single" w:sz="4" w:space="0" w:color="auto"/>
              <w:left w:val="single" w:sz="4" w:space="0" w:color="auto"/>
              <w:bottom w:val="single" w:sz="4" w:space="0" w:color="auto"/>
              <w:right w:val="nil"/>
            </w:tcBorders>
            <w:shd w:val="clear" w:color="auto"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Inerces variants</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2 222</w:t>
            </w:r>
          </w:p>
        </w:tc>
        <w:tc>
          <w:tcPr>
            <w:tcW w:w="1134" w:type="dxa"/>
            <w:tcBorders>
              <w:top w:val="single" w:sz="4" w:space="0" w:color="auto"/>
              <w:left w:val="nil"/>
              <w:bottom w:val="single" w:sz="4" w:space="0" w:color="auto"/>
              <w:right w:val="single" w:sz="4" w:space="0" w:color="auto"/>
            </w:tcBorders>
            <w:shd w:val="clear" w:color="auto"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2 123</w:t>
            </w:r>
          </w:p>
        </w:tc>
        <w:tc>
          <w:tcPr>
            <w:tcW w:w="1134" w:type="dxa"/>
            <w:tcBorders>
              <w:top w:val="single" w:sz="4" w:space="0" w:color="auto"/>
              <w:left w:val="nil"/>
              <w:bottom w:val="single" w:sz="4" w:space="0" w:color="auto"/>
              <w:right w:val="single" w:sz="4" w:space="0" w:color="auto"/>
            </w:tcBorders>
            <w:shd w:val="clear" w:color="auto"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1 975</w:t>
            </w:r>
          </w:p>
        </w:tc>
        <w:tc>
          <w:tcPr>
            <w:tcW w:w="1134" w:type="dxa"/>
            <w:tcBorders>
              <w:top w:val="single" w:sz="4" w:space="0" w:color="auto"/>
              <w:left w:val="nil"/>
              <w:bottom w:val="single" w:sz="4" w:space="0" w:color="auto"/>
              <w:right w:val="single" w:sz="4" w:space="0" w:color="auto"/>
            </w:tcBorders>
            <w:shd w:val="clear" w:color="auto"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1 826</w:t>
            </w:r>
          </w:p>
        </w:tc>
        <w:tc>
          <w:tcPr>
            <w:tcW w:w="1134" w:type="dxa"/>
            <w:tcBorders>
              <w:top w:val="single" w:sz="4" w:space="0" w:color="auto"/>
              <w:left w:val="nil"/>
              <w:bottom w:val="single" w:sz="4" w:space="0" w:color="auto"/>
              <w:right w:val="single" w:sz="4" w:space="0" w:color="auto"/>
            </w:tcBorders>
            <w:shd w:val="clear" w:color="auto"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1 678</w:t>
            </w:r>
          </w:p>
        </w:tc>
        <w:tc>
          <w:tcPr>
            <w:tcW w:w="1134" w:type="dxa"/>
            <w:tcBorders>
              <w:top w:val="single" w:sz="4" w:space="0" w:color="auto"/>
              <w:left w:val="nil"/>
              <w:bottom w:val="single" w:sz="4" w:space="0" w:color="auto"/>
              <w:right w:val="single" w:sz="4" w:space="0" w:color="auto"/>
            </w:tcBorders>
            <w:shd w:val="clear" w:color="auto" w:fill="D9D9D9"/>
            <w:noWrap/>
            <w:vAlign w:val="bottom"/>
            <w:hideMark/>
          </w:tcPr>
          <w:p w:rsidR="006D3AB5" w:rsidRPr="00DB426E" w:rsidRDefault="006D3AB5" w:rsidP="009B5CBF">
            <w:pPr>
              <w:spacing w:after="0"/>
              <w:jc w:val="center"/>
              <w:rPr>
                <w:lang w:eastAsia="lv-LV"/>
              </w:rPr>
            </w:pPr>
            <w:r w:rsidRPr="00DB426E">
              <w:rPr>
                <w:lang w:eastAsia="lv-LV"/>
              </w:rPr>
              <w:t>1 530</w:t>
            </w:r>
          </w:p>
        </w:tc>
      </w:tr>
    </w:tbl>
    <w:p w:rsidR="006D3AB5" w:rsidRPr="00DB426E" w:rsidRDefault="006D3AB5" w:rsidP="00475128">
      <w:pPr>
        <w:numPr>
          <w:ilvl w:val="0"/>
          <w:numId w:val="19"/>
        </w:numPr>
        <w:spacing w:before="120" w:after="0" w:line="240" w:lineRule="auto"/>
      </w:pPr>
      <w:r w:rsidRPr="00DB426E">
        <w:rPr>
          <w:b/>
          <w:i/>
        </w:rPr>
        <w:t>Nodokļu samazinājums absolūtos skaitļos (tūkst. LVL)</w:t>
      </w:r>
    </w:p>
    <w:tbl>
      <w:tblPr>
        <w:tblW w:w="8652" w:type="dxa"/>
        <w:tblInd w:w="103" w:type="dxa"/>
        <w:tblLook w:val="04A0" w:firstRow="1" w:lastRow="0" w:firstColumn="1" w:lastColumn="0" w:noHBand="0" w:noVBand="1"/>
      </w:tblPr>
      <w:tblGrid>
        <w:gridCol w:w="1848"/>
        <w:gridCol w:w="1134"/>
        <w:gridCol w:w="1134"/>
        <w:gridCol w:w="1134"/>
        <w:gridCol w:w="1134"/>
        <w:gridCol w:w="1134"/>
        <w:gridCol w:w="1134"/>
      </w:tblGrid>
      <w:tr w:rsidR="006D3AB5" w:rsidRPr="00DB426E" w:rsidTr="006D3AB5">
        <w:trPr>
          <w:trHeight w:val="300"/>
        </w:trPr>
        <w:tc>
          <w:tcPr>
            <w:tcW w:w="1848" w:type="dxa"/>
            <w:tcBorders>
              <w:top w:val="single" w:sz="4" w:space="0" w:color="auto"/>
              <w:left w:val="single" w:sz="4" w:space="0" w:color="auto"/>
              <w:bottom w:val="nil"/>
              <w:right w:val="single" w:sz="4" w:space="0" w:color="auto"/>
            </w:tcBorders>
            <w:shd w:val="clear" w:color="000000" w:fill="D9D9D9"/>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UIN samazinājums</w:t>
            </w:r>
          </w:p>
        </w:tc>
        <w:tc>
          <w:tcPr>
            <w:tcW w:w="6804" w:type="dxa"/>
            <w:gridSpan w:val="6"/>
            <w:tcBorders>
              <w:top w:val="single" w:sz="4" w:space="0" w:color="auto"/>
              <w:left w:val="nil"/>
              <w:bottom w:val="single" w:sz="4" w:space="0" w:color="auto"/>
              <w:right w:val="single" w:sz="4" w:space="0" w:color="auto"/>
            </w:tcBorders>
            <w:shd w:val="clear" w:color="000000" w:fill="D9D9D9"/>
            <w:noWrap/>
            <w:vAlign w:val="center"/>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ZP izdevumi (% no NA)</w:t>
            </w:r>
          </w:p>
        </w:tc>
      </w:tr>
      <w:tr w:rsidR="006D3AB5" w:rsidRPr="00DB426E" w:rsidTr="006D3AB5">
        <w:trPr>
          <w:trHeight w:val="315"/>
        </w:trPr>
        <w:tc>
          <w:tcPr>
            <w:tcW w:w="1848" w:type="dxa"/>
            <w:tcBorders>
              <w:top w:val="nil"/>
              <w:left w:val="single" w:sz="4" w:space="0" w:color="auto"/>
              <w:bottom w:val="double" w:sz="6" w:space="0" w:color="auto"/>
              <w:right w:val="single" w:sz="4" w:space="0" w:color="auto"/>
            </w:tcBorders>
            <w:shd w:val="clear" w:color="000000" w:fill="D9D9D9"/>
            <w:noWrap/>
            <w:vAlign w:val="center"/>
            <w:hideMark/>
          </w:tcPr>
          <w:p w:rsidR="006D3AB5" w:rsidRPr="00DB426E" w:rsidRDefault="006D3AB5" w:rsidP="009B5CBF">
            <w:pPr>
              <w:spacing w:after="0"/>
              <w:jc w:val="center"/>
              <w:rPr>
                <w:rFonts w:eastAsia="Times New Roman"/>
                <w:lang w:eastAsia="lv-LV"/>
              </w:rPr>
            </w:pPr>
            <w:r w:rsidRPr="00DB426E">
              <w:rPr>
                <w:lang w:eastAsia="lv-LV"/>
              </w:rPr>
              <w:t>(tūkst. LVL)</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0.5%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3.0%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4.5%</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6.0%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7.50%</w:t>
            </w:r>
          </w:p>
        </w:tc>
      </w:tr>
      <w:tr w:rsidR="006D3AB5" w:rsidRPr="00DB426E" w:rsidTr="006D3AB5">
        <w:trPr>
          <w:trHeight w:val="315"/>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r w:rsidRPr="00DB426E">
              <w:rPr>
                <w:rFonts w:eastAsia="Times New Roman"/>
                <w:lang w:eastAsia="lv-LV"/>
              </w:rPr>
              <w:t>Kp=150%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-23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-70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-140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-210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-280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-350</w:t>
            </w:r>
          </w:p>
        </w:tc>
      </w:tr>
      <w:tr w:rsidR="006D3AB5" w:rsidRPr="00DB426E" w:rsidTr="006D3AB5">
        <w:trPr>
          <w:trHeight w:val="300"/>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r w:rsidRPr="00DB426E">
              <w:rPr>
                <w:rFonts w:eastAsia="Times New Roman"/>
                <w:lang w:eastAsia="lv-LV"/>
              </w:rPr>
              <w:t>Kp=200%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-47</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-140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-280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-420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-560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-700</w:t>
            </w:r>
          </w:p>
        </w:tc>
      </w:tr>
      <w:tr w:rsidR="006D3AB5" w:rsidRPr="00DB426E" w:rsidTr="006D3AB5">
        <w:trPr>
          <w:trHeight w:val="300"/>
        </w:trPr>
        <w:tc>
          <w:tcPr>
            <w:tcW w:w="184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9B5CBF">
            <w:pPr>
              <w:spacing w:after="0"/>
              <w:rPr>
                <w:rFonts w:eastAsia="Times New Roman"/>
                <w:b/>
                <w:lang w:eastAsia="lv-LV"/>
              </w:rPr>
            </w:pPr>
            <w:r w:rsidRPr="00DB426E">
              <w:rPr>
                <w:rFonts w:eastAsia="Times New Roman"/>
                <w:b/>
                <w:lang w:eastAsia="lv-LV"/>
              </w:rPr>
              <w:t>Kp=250%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lang w:eastAsia="lv-LV"/>
              </w:rPr>
            </w:pPr>
            <w:r w:rsidRPr="00DB426E">
              <w:rPr>
                <w:rFonts w:eastAsia="Times New Roman"/>
                <w:b/>
                <w:lang w:eastAsia="lv-LV"/>
              </w:rPr>
              <w:t>-70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lang w:eastAsia="lv-LV"/>
              </w:rPr>
            </w:pPr>
            <w:r w:rsidRPr="00DB426E">
              <w:rPr>
                <w:rFonts w:eastAsia="Times New Roman"/>
                <w:b/>
                <w:lang w:eastAsia="lv-LV"/>
              </w:rPr>
              <w:t>-210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lang w:eastAsia="lv-LV"/>
              </w:rPr>
            </w:pPr>
            <w:r w:rsidRPr="00DB426E">
              <w:rPr>
                <w:rFonts w:eastAsia="Times New Roman"/>
                <w:b/>
                <w:lang w:eastAsia="lv-LV"/>
              </w:rPr>
              <w:t>-420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lang w:eastAsia="lv-LV"/>
              </w:rPr>
            </w:pPr>
            <w:r w:rsidRPr="00DB426E">
              <w:rPr>
                <w:rFonts w:eastAsia="Times New Roman"/>
                <w:b/>
                <w:lang w:eastAsia="lv-LV"/>
              </w:rPr>
              <w:t>-630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lang w:eastAsia="lv-LV"/>
              </w:rPr>
            </w:pPr>
            <w:r w:rsidRPr="00DB426E">
              <w:rPr>
                <w:rFonts w:eastAsia="Times New Roman"/>
                <w:b/>
                <w:lang w:eastAsia="lv-LV"/>
              </w:rPr>
              <w:t>-840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lang w:eastAsia="lv-LV"/>
              </w:rPr>
            </w:pPr>
            <w:r w:rsidRPr="00DB426E">
              <w:rPr>
                <w:rFonts w:eastAsia="Times New Roman"/>
                <w:b/>
                <w:lang w:eastAsia="lv-LV"/>
              </w:rPr>
              <w:t>-1 050</w:t>
            </w:r>
          </w:p>
        </w:tc>
      </w:tr>
      <w:tr w:rsidR="006D3AB5" w:rsidRPr="00DB426E" w:rsidTr="006D3AB5">
        <w:trPr>
          <w:trHeight w:val="300"/>
        </w:trPr>
        <w:tc>
          <w:tcPr>
            <w:tcW w:w="1848" w:type="dxa"/>
            <w:tcBorders>
              <w:top w:val="nil"/>
              <w:left w:val="single" w:sz="4" w:space="0" w:color="auto"/>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r w:rsidRPr="00DB426E">
              <w:rPr>
                <w:rFonts w:eastAsia="Times New Roman"/>
                <w:lang w:eastAsia="lv-LV"/>
              </w:rPr>
              <w:t>Kp=300%</w:t>
            </w:r>
          </w:p>
        </w:tc>
        <w:tc>
          <w:tcPr>
            <w:tcW w:w="1134" w:type="dxa"/>
            <w:tcBorders>
              <w:top w:val="nil"/>
              <w:left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-93</w:t>
            </w:r>
          </w:p>
        </w:tc>
        <w:tc>
          <w:tcPr>
            <w:tcW w:w="1134" w:type="dxa"/>
            <w:tcBorders>
              <w:top w:val="nil"/>
              <w:left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-280</w:t>
            </w:r>
          </w:p>
        </w:tc>
        <w:tc>
          <w:tcPr>
            <w:tcW w:w="1134" w:type="dxa"/>
            <w:tcBorders>
              <w:top w:val="nil"/>
              <w:left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-560</w:t>
            </w:r>
          </w:p>
        </w:tc>
        <w:tc>
          <w:tcPr>
            <w:tcW w:w="1134" w:type="dxa"/>
            <w:tcBorders>
              <w:top w:val="nil"/>
              <w:left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-840</w:t>
            </w:r>
          </w:p>
        </w:tc>
        <w:tc>
          <w:tcPr>
            <w:tcW w:w="1134" w:type="dxa"/>
            <w:tcBorders>
              <w:top w:val="nil"/>
              <w:left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-1 120</w:t>
            </w:r>
          </w:p>
        </w:tc>
        <w:tc>
          <w:tcPr>
            <w:tcW w:w="1134" w:type="dxa"/>
            <w:tcBorders>
              <w:top w:val="nil"/>
              <w:left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-1 400</w:t>
            </w:r>
          </w:p>
        </w:tc>
      </w:tr>
      <w:tr w:rsidR="006D3AB5" w:rsidRPr="00DB426E" w:rsidTr="006D3AB5">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r w:rsidRPr="00DB426E">
              <w:rPr>
                <w:rFonts w:eastAsia="Times New Roman"/>
                <w:lang w:eastAsia="lv-LV"/>
              </w:rPr>
              <w:t>Kp=350%</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-117</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-350</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-700</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-1 050</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-1 400</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-1 530</w:t>
            </w:r>
          </w:p>
        </w:tc>
      </w:tr>
    </w:tbl>
    <w:p w:rsidR="00E66971" w:rsidRPr="00DB426E" w:rsidRDefault="00E66971" w:rsidP="006D3AB5">
      <w:pPr>
        <w:pStyle w:val="Caption"/>
      </w:pPr>
    </w:p>
    <w:p w:rsidR="00E66971" w:rsidRPr="00DB426E" w:rsidRDefault="00E66971" w:rsidP="006D3AB5">
      <w:pPr>
        <w:pStyle w:val="Caption"/>
      </w:pPr>
    </w:p>
    <w:p w:rsidR="00E66971" w:rsidRPr="00DB426E" w:rsidRDefault="00E66971" w:rsidP="006D3AB5">
      <w:pPr>
        <w:pStyle w:val="Caption"/>
      </w:pPr>
    </w:p>
    <w:p w:rsidR="00E66971" w:rsidRPr="00DB426E" w:rsidRDefault="00E66971" w:rsidP="006D3AB5">
      <w:pPr>
        <w:pStyle w:val="Caption"/>
      </w:pPr>
    </w:p>
    <w:p w:rsidR="00E66971" w:rsidRPr="00DB426E" w:rsidRDefault="00E66971" w:rsidP="006D3AB5">
      <w:pPr>
        <w:pStyle w:val="Caption"/>
      </w:pPr>
    </w:p>
    <w:p w:rsidR="00E66971" w:rsidRPr="00DB426E" w:rsidRDefault="00E66971" w:rsidP="006D3AB5">
      <w:pPr>
        <w:pStyle w:val="Caption"/>
      </w:pPr>
    </w:p>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4</w:t>
      </w:r>
      <w:r w:rsidR="009B0188">
        <w:rPr>
          <w:noProof/>
        </w:rPr>
        <w:fldChar w:fldCharType="end"/>
      </w:r>
      <w:r w:rsidRPr="00DB426E">
        <w:t>. Nodokļu maksājumu samazinājums atkarībā no zinātnisko pētījumu finansēšanas līmeņa, piemērojot dažādus ZP izmaksu palielināšanas koeficientus (LIELIE uzņēmumi)</w:t>
      </w:r>
    </w:p>
    <w:p w:rsidR="006D3AB5" w:rsidRPr="00DB426E" w:rsidRDefault="006C3F27" w:rsidP="006D3AB5">
      <w:pPr>
        <w:jc w:val="center"/>
        <w:rPr>
          <w:lang w:eastAsia="lv-LV"/>
        </w:rPr>
      </w:pPr>
      <w:r>
        <w:rPr>
          <w:noProof/>
          <w:lang w:eastAsia="lv-LV"/>
        </w:rPr>
        <w:drawing>
          <wp:inline distT="0" distB="0" distL="0" distR="0" wp14:anchorId="15F45F3F" wp14:editId="5AF6B406">
            <wp:extent cx="5258417" cy="2700716"/>
            <wp:effectExtent l="5999" t="6002" r="8624" b="6002"/>
            <wp:docPr id="31" name="Picture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D3AB5" w:rsidRPr="00DB426E" w:rsidRDefault="006C3F27" w:rsidP="006D3AB5">
      <w:pPr>
        <w:jc w:val="center"/>
      </w:pPr>
      <w:r>
        <w:rPr>
          <w:noProof/>
          <w:lang w:eastAsia="lv-LV"/>
        </w:rPr>
        <w:drawing>
          <wp:inline distT="0" distB="0" distL="0" distR="0" wp14:anchorId="4565369A" wp14:editId="56EC856A">
            <wp:extent cx="5208350" cy="2731062"/>
            <wp:effectExtent l="6945" t="6069" r="6945" b="6069"/>
            <wp:docPr id="32" name="Picture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3AB5" w:rsidRPr="00DB426E" w:rsidRDefault="006D3AB5" w:rsidP="006D3AB5">
      <w:r w:rsidRPr="00DB426E">
        <w:t>Aprēķināmā nodokļa samazinājumu inerces variantā nosaka pastāvošā likumdošana, t.i., amortizācijas atskaitījumu aprēķina algoritms jauna aprīkojuma iegādei.</w:t>
      </w:r>
    </w:p>
    <w:p w:rsidR="006D3AB5" w:rsidRPr="00DB426E" w:rsidRDefault="006D3AB5" w:rsidP="00475128">
      <w:pPr>
        <w:pStyle w:val="Heading3"/>
        <w:numPr>
          <w:ilvl w:val="2"/>
          <w:numId w:val="4"/>
        </w:numPr>
      </w:pPr>
      <w:bookmarkStart w:id="95" w:name="_Toc356472864"/>
      <w:bookmarkStart w:id="96" w:name="_Toc358978704"/>
      <w:r w:rsidRPr="00DB426E">
        <w:t>Vidējie uzņēmumi</w:t>
      </w:r>
      <w:bookmarkEnd w:id="95"/>
      <w:bookmarkEnd w:id="96"/>
    </w:p>
    <w:p w:rsidR="006D3AB5" w:rsidRPr="00DB426E" w:rsidRDefault="006D3AB5" w:rsidP="006D3AB5">
      <w:r w:rsidRPr="00DB426E">
        <w:t xml:space="preserve">Tipveida vidējā segmenta uzņēmuma bāzes rādītāji: </w:t>
      </w:r>
    </w:p>
    <w:p w:rsidR="006D3AB5" w:rsidRPr="00DB426E" w:rsidRDefault="006D3AB5" w:rsidP="009B5CBF">
      <w:pPr>
        <w:pStyle w:val="ListParagraph"/>
        <w:rPr>
          <w:lang w:val="lv-LV"/>
        </w:rPr>
      </w:pPr>
      <w:r w:rsidRPr="00DB426E">
        <w:rPr>
          <w:lang w:val="lv-LV"/>
        </w:rPr>
        <w:t xml:space="preserve">NA= 22-27 milj. Ls, </w:t>
      </w:r>
    </w:p>
    <w:p w:rsidR="006D3AB5" w:rsidRPr="00DB426E" w:rsidRDefault="006D3AB5" w:rsidP="009B5CBF">
      <w:pPr>
        <w:pStyle w:val="ListParagraph"/>
        <w:rPr>
          <w:lang w:val="lv-LV"/>
        </w:rPr>
      </w:pPr>
      <w:r w:rsidRPr="00DB426E">
        <w:rPr>
          <w:lang w:val="lv-LV"/>
        </w:rPr>
        <w:t>Summārās izmaksas (ražošanas, pārdošanas, administratīvās) – 93% no NA,</w:t>
      </w:r>
    </w:p>
    <w:p w:rsidR="006D3AB5" w:rsidRPr="00DB426E" w:rsidRDefault="006D3AB5" w:rsidP="009B5CBF">
      <w:pPr>
        <w:pStyle w:val="ListParagraph"/>
        <w:rPr>
          <w:lang w:val="lv-LV"/>
        </w:rPr>
      </w:pPr>
      <w:r w:rsidRPr="00DB426E">
        <w:rPr>
          <w:lang w:val="lv-LV"/>
        </w:rPr>
        <w:t>ZP izdevumi - 0.3% no NA.</w:t>
      </w:r>
    </w:p>
    <w:p w:rsidR="006D3AB5" w:rsidRPr="00DB426E" w:rsidRDefault="006D3AB5" w:rsidP="006D3AB5">
      <w:r w:rsidRPr="00DB426E">
        <w:rPr>
          <w:sz w:val="20"/>
        </w:rPr>
        <w:t>A</w:t>
      </w:r>
      <w:r w:rsidRPr="00DB426E">
        <w:t xml:space="preserve">pliekamā ienākuma samazinājums par ZP izmaksām ir pieņemts, piemērojot palielināšanas koeficientu </w:t>
      </w:r>
      <w:r w:rsidRPr="00DB426E">
        <w:rPr>
          <w:b/>
        </w:rPr>
        <w:t xml:space="preserve">300% </w:t>
      </w:r>
      <w:r w:rsidRPr="00DB426E">
        <w:t>apmērā.</w:t>
      </w:r>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6</w:t>
      </w:r>
      <w:r w:rsidR="009B0188">
        <w:rPr>
          <w:noProof/>
        </w:rPr>
        <w:fldChar w:fldCharType="end"/>
      </w:r>
      <w:r w:rsidRPr="00DB426E">
        <w:t>. Finanšu aprēķini. 1.variants (VIDĒJIE uzņēmumi)</w:t>
      </w:r>
    </w:p>
    <w:p w:rsidR="006D3AB5" w:rsidRPr="00DB426E" w:rsidRDefault="006C3F27" w:rsidP="006D3AB5">
      <w:r>
        <w:rPr>
          <w:noProof/>
          <w:lang w:eastAsia="lv-LV"/>
        </w:rPr>
        <w:drawing>
          <wp:inline distT="0" distB="0" distL="0" distR="0" wp14:anchorId="4AC71AAF" wp14:editId="535789FC">
            <wp:extent cx="5273040" cy="2804160"/>
            <wp:effectExtent l="1905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cstate="print"/>
                    <a:srcRect/>
                    <a:stretch>
                      <a:fillRect/>
                    </a:stretch>
                  </pic:blipFill>
                  <pic:spPr bwMode="auto">
                    <a:xfrm>
                      <a:off x="0" y="0"/>
                      <a:ext cx="5273040" cy="280416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60555D4A" wp14:editId="45E8CA6E">
            <wp:extent cx="5273040" cy="2082800"/>
            <wp:effectExtent l="19050" t="0" r="3810" b="0"/>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srcRect/>
                    <a:stretch>
                      <a:fillRect/>
                    </a:stretch>
                  </pic:blipFill>
                  <pic:spPr bwMode="auto">
                    <a:xfrm>
                      <a:off x="0" y="0"/>
                      <a:ext cx="5273040" cy="208280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0EAAC30B" wp14:editId="480931BF">
            <wp:extent cx="5273040" cy="812800"/>
            <wp:effectExtent l="1905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cstate="print"/>
                    <a:srcRect/>
                    <a:stretch>
                      <a:fillRect/>
                    </a:stretch>
                  </pic:blipFill>
                  <pic:spPr bwMode="auto">
                    <a:xfrm>
                      <a:off x="0" y="0"/>
                      <a:ext cx="5273040" cy="812800"/>
                    </a:xfrm>
                    <a:prstGeom prst="rect">
                      <a:avLst/>
                    </a:prstGeom>
                    <a:noFill/>
                    <a:ln w="9525">
                      <a:noFill/>
                      <a:miter lim="800000"/>
                      <a:headEnd/>
                      <a:tailEnd/>
                    </a:ln>
                  </pic:spPr>
                </pic:pic>
              </a:graphicData>
            </a:graphic>
          </wp:inline>
        </w:drawing>
      </w:r>
    </w:p>
    <w:p w:rsidR="006D3AB5" w:rsidRPr="00DB426E" w:rsidRDefault="006D3AB5" w:rsidP="006D3AB5">
      <w:r w:rsidRPr="00A82D8E">
        <w:t xml:space="preserve">Aprēķini pilnā </w:t>
      </w:r>
      <w:r w:rsidR="00A82D8E" w:rsidRPr="00A82D8E">
        <w:t xml:space="preserve">apjomā ir </w:t>
      </w:r>
      <w:r w:rsidRPr="00A82D8E">
        <w:t xml:space="preserve"> </w:t>
      </w:r>
      <w:r w:rsidR="002612BC" w:rsidRPr="00A82D8E">
        <w:t>pieejami elektroniski.</w:t>
      </w:r>
    </w:p>
    <w:p w:rsidR="006D3AB5" w:rsidRPr="00DB426E" w:rsidRDefault="006D3AB5" w:rsidP="006D3AB5">
      <w:r w:rsidRPr="00DB426E">
        <w:t xml:space="preserve">Ja izmaksas zinātniskiem pētījumiem vidēji ir 70-80 tūkst. latu, līdzekļu ekonomija ik gadu, samazinot uzņēmumu ienākuma nodokļu maksājumus, tiek lēsta </w:t>
      </w:r>
      <w:r w:rsidRPr="00DB426E">
        <w:rPr>
          <w:b/>
        </w:rPr>
        <w:t>no 20 līdz 25 tūkst. latu</w:t>
      </w:r>
      <w:r w:rsidRPr="00DB426E">
        <w:t xml:space="preserve">, kas ir vidēji </w:t>
      </w:r>
      <w:r w:rsidRPr="00DB426E">
        <w:rPr>
          <w:b/>
        </w:rPr>
        <w:t>9%</w:t>
      </w:r>
      <w:r w:rsidRPr="00DB426E">
        <w:t xml:space="preserve"> no nodokļa summas, kas aprēķināta atbilstoši esošajai likumdošanai. </w:t>
      </w:r>
    </w:p>
    <w:p w:rsidR="006D3AB5" w:rsidRPr="00DB426E" w:rsidRDefault="006D3AB5" w:rsidP="006D3AB5">
      <w:r w:rsidRPr="00DB426E">
        <w:t xml:space="preserve">Saskaņā ar aprēķiniem, palielinot izmaksas zinātniskiem pētījumiem līdz </w:t>
      </w:r>
      <w:r w:rsidRPr="00DB426E">
        <w:rPr>
          <w:b/>
        </w:rPr>
        <w:t>350 tūkst. latiem</w:t>
      </w:r>
      <w:r w:rsidRPr="00DB426E">
        <w:t xml:space="preserve"> (1.5% no NA), uzņēmums var samazināt UIN maksājumus aptuveni uz pusi, kas vidēji sastāda ap </w:t>
      </w:r>
      <w:r w:rsidRPr="00DB426E">
        <w:rPr>
          <w:b/>
        </w:rPr>
        <w:t>85 tūkst. latu</w:t>
      </w:r>
      <w:r w:rsidRPr="00DB426E">
        <w:t xml:space="preserve"> gadā.</w:t>
      </w:r>
    </w:p>
    <w:p w:rsidR="006D3AB5" w:rsidRPr="00C11A85"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7</w:t>
      </w:r>
      <w:r w:rsidR="009B0188">
        <w:rPr>
          <w:noProof/>
        </w:rPr>
        <w:fldChar w:fldCharType="end"/>
      </w:r>
      <w:r w:rsidRPr="00DB426E">
        <w:t xml:space="preserve">. </w:t>
      </w:r>
      <w:r w:rsidRPr="00C11A85">
        <w:t>Nodokļu maksājumu samazinājums atkarībā no zinātnisko pētījumu finansēšanas līmeņa, piemērojot dažādus ZP izmaksu palielināšanas koeficientus (VIDĒJIE uzņēmumi)</w:t>
      </w:r>
    </w:p>
    <w:p w:rsidR="006D3AB5" w:rsidRPr="00DB426E" w:rsidRDefault="006D3AB5" w:rsidP="00475128">
      <w:pPr>
        <w:numPr>
          <w:ilvl w:val="0"/>
          <w:numId w:val="20"/>
        </w:numPr>
        <w:spacing w:before="120" w:after="0" w:line="240" w:lineRule="auto"/>
        <w:rPr>
          <w:b/>
          <w:i/>
        </w:rPr>
      </w:pPr>
      <w:r w:rsidRPr="00DB426E">
        <w:rPr>
          <w:b/>
          <w:i/>
        </w:rPr>
        <w:t>Nodokļu maksājumi procentos no maksājumiem inerces variantā</w:t>
      </w:r>
    </w:p>
    <w:tbl>
      <w:tblPr>
        <w:tblW w:w="8160" w:type="dxa"/>
        <w:tblInd w:w="103" w:type="dxa"/>
        <w:tblLook w:val="04A0" w:firstRow="1" w:lastRow="0" w:firstColumn="1" w:lastColumn="0" w:noHBand="0" w:noVBand="1"/>
      </w:tblPr>
      <w:tblGrid>
        <w:gridCol w:w="2132"/>
        <w:gridCol w:w="1134"/>
        <w:gridCol w:w="1203"/>
        <w:gridCol w:w="1206"/>
        <w:gridCol w:w="1200"/>
        <w:gridCol w:w="1285"/>
      </w:tblGrid>
      <w:tr w:rsidR="006D3AB5" w:rsidRPr="00DB426E" w:rsidTr="006D3AB5">
        <w:trPr>
          <w:trHeight w:val="300"/>
        </w:trPr>
        <w:tc>
          <w:tcPr>
            <w:tcW w:w="2132" w:type="dxa"/>
            <w:tcBorders>
              <w:top w:val="single" w:sz="4" w:space="0" w:color="auto"/>
              <w:left w:val="single" w:sz="4" w:space="0" w:color="auto"/>
              <w:bottom w:val="nil"/>
              <w:right w:val="single" w:sz="4" w:space="0" w:color="auto"/>
            </w:tcBorders>
            <w:shd w:val="clear" w:color="000000"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 </w:t>
            </w:r>
          </w:p>
        </w:tc>
        <w:tc>
          <w:tcPr>
            <w:tcW w:w="6028" w:type="dxa"/>
            <w:gridSpan w:val="5"/>
            <w:tcBorders>
              <w:top w:val="single" w:sz="4" w:space="0" w:color="auto"/>
              <w:left w:val="nil"/>
              <w:bottom w:val="single" w:sz="4" w:space="0" w:color="auto"/>
              <w:right w:val="single" w:sz="4" w:space="0" w:color="000000"/>
            </w:tcBorders>
            <w:shd w:val="clear" w:color="000000" w:fill="D9D9D9"/>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2132" w:type="dxa"/>
            <w:tcBorders>
              <w:top w:val="nil"/>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 </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0.5%</w:t>
            </w:r>
          </w:p>
        </w:tc>
        <w:tc>
          <w:tcPr>
            <w:tcW w:w="1203"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1.0%</w:t>
            </w:r>
          </w:p>
        </w:tc>
        <w:tc>
          <w:tcPr>
            <w:tcW w:w="1206"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1.5%</w:t>
            </w:r>
          </w:p>
        </w:tc>
        <w:tc>
          <w:tcPr>
            <w:tcW w:w="1200"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2.0%</w:t>
            </w:r>
          </w:p>
        </w:tc>
        <w:tc>
          <w:tcPr>
            <w:tcW w:w="1285"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2.5%</w:t>
            </w:r>
          </w:p>
        </w:tc>
      </w:tr>
      <w:tr w:rsidR="006D3AB5" w:rsidRPr="00DB426E" w:rsidTr="006D3AB5">
        <w:trPr>
          <w:trHeight w:val="315"/>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Kp=200%</w:t>
            </w:r>
          </w:p>
        </w:tc>
        <w:tc>
          <w:tcPr>
            <w:tcW w:w="1134"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92.2%</w:t>
            </w:r>
          </w:p>
        </w:tc>
        <w:tc>
          <w:tcPr>
            <w:tcW w:w="1203"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85.6%</w:t>
            </w:r>
          </w:p>
        </w:tc>
        <w:tc>
          <w:tcPr>
            <w:tcW w:w="1206"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80.1%</w:t>
            </w:r>
          </w:p>
        </w:tc>
        <w:tc>
          <w:tcPr>
            <w:tcW w:w="1200"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76.0%</w:t>
            </w:r>
          </w:p>
        </w:tc>
        <w:tc>
          <w:tcPr>
            <w:tcW w:w="1285"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73.6%</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Kp=250%</w:t>
            </w:r>
          </w:p>
        </w:tc>
        <w:tc>
          <w:tcPr>
            <w:tcW w:w="1134"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88.3%</w:t>
            </w:r>
          </w:p>
        </w:tc>
        <w:tc>
          <w:tcPr>
            <w:tcW w:w="1203"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77.0%</w:t>
            </w:r>
          </w:p>
        </w:tc>
        <w:tc>
          <w:tcPr>
            <w:tcW w:w="1206"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65.8%</w:t>
            </w:r>
          </w:p>
        </w:tc>
        <w:tc>
          <w:tcPr>
            <w:tcW w:w="1200"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54.6%</w:t>
            </w:r>
          </w:p>
        </w:tc>
        <w:tc>
          <w:tcPr>
            <w:tcW w:w="1285"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42.9%</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b/>
                <w:bCs/>
                <w:color w:val="000000"/>
                <w:lang w:eastAsia="lv-LV"/>
              </w:rPr>
            </w:pPr>
            <w:r w:rsidRPr="00DB426E">
              <w:rPr>
                <w:rFonts w:eastAsia="Times New Roman"/>
                <w:b/>
                <w:bCs/>
                <w:color w:val="000000"/>
                <w:lang w:eastAsia="lv-LV"/>
              </w:rPr>
              <w:t>Kp=300%</w:t>
            </w:r>
          </w:p>
        </w:tc>
        <w:tc>
          <w:tcPr>
            <w:tcW w:w="1134"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84.4%</w:t>
            </w:r>
          </w:p>
        </w:tc>
        <w:tc>
          <w:tcPr>
            <w:tcW w:w="1203"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68.4%</w:t>
            </w:r>
          </w:p>
        </w:tc>
        <w:tc>
          <w:tcPr>
            <w:tcW w:w="1206"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51.5%</w:t>
            </w:r>
          </w:p>
        </w:tc>
        <w:tc>
          <w:tcPr>
            <w:tcW w:w="1200"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33.1%</w:t>
            </w:r>
          </w:p>
        </w:tc>
        <w:tc>
          <w:tcPr>
            <w:tcW w:w="1285"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12.2%</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Kp=350%</w:t>
            </w:r>
          </w:p>
        </w:tc>
        <w:tc>
          <w:tcPr>
            <w:tcW w:w="1134"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80.5%</w:t>
            </w:r>
          </w:p>
        </w:tc>
        <w:tc>
          <w:tcPr>
            <w:tcW w:w="1203"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59.9%</w:t>
            </w:r>
          </w:p>
        </w:tc>
        <w:tc>
          <w:tcPr>
            <w:tcW w:w="1206"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37.2%</w:t>
            </w:r>
          </w:p>
        </w:tc>
        <w:tc>
          <w:tcPr>
            <w:tcW w:w="1200"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11.7%</w:t>
            </w:r>
          </w:p>
        </w:tc>
        <w:tc>
          <w:tcPr>
            <w:tcW w:w="1285" w:type="dxa"/>
            <w:tcBorders>
              <w:top w:val="nil"/>
              <w:left w:val="nil"/>
              <w:bottom w:val="nil"/>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w:t>
            </w:r>
          </w:p>
        </w:tc>
      </w:tr>
      <w:tr w:rsidR="006D3AB5" w:rsidRPr="00DB426E" w:rsidTr="006D3AB5">
        <w:trPr>
          <w:trHeight w:val="300"/>
        </w:trPr>
        <w:tc>
          <w:tcPr>
            <w:tcW w:w="2132" w:type="dxa"/>
            <w:tcBorders>
              <w:top w:val="nil"/>
              <w:left w:val="single" w:sz="4" w:space="0" w:color="auto"/>
              <w:bottom w:val="single" w:sz="4" w:space="0" w:color="auto"/>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Kp=400%</w:t>
            </w:r>
          </w:p>
        </w:tc>
        <w:tc>
          <w:tcPr>
            <w:tcW w:w="1134" w:type="dxa"/>
            <w:tcBorders>
              <w:top w:val="nil"/>
              <w:left w:val="nil"/>
              <w:bottom w:val="single" w:sz="4" w:space="0" w:color="auto"/>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76.6%</w:t>
            </w:r>
          </w:p>
        </w:tc>
        <w:tc>
          <w:tcPr>
            <w:tcW w:w="1203" w:type="dxa"/>
            <w:tcBorders>
              <w:top w:val="nil"/>
              <w:left w:val="nil"/>
              <w:bottom w:val="single" w:sz="4" w:space="0" w:color="auto"/>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51.3%</w:t>
            </w:r>
          </w:p>
        </w:tc>
        <w:tc>
          <w:tcPr>
            <w:tcW w:w="1206" w:type="dxa"/>
            <w:tcBorders>
              <w:top w:val="nil"/>
              <w:left w:val="nil"/>
              <w:bottom w:val="single" w:sz="4" w:space="0" w:color="auto"/>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22.9%</w:t>
            </w:r>
          </w:p>
        </w:tc>
        <w:tc>
          <w:tcPr>
            <w:tcW w:w="1200" w:type="dxa"/>
            <w:tcBorders>
              <w:top w:val="nil"/>
              <w:left w:val="nil"/>
              <w:bottom w:val="single" w:sz="4" w:space="0" w:color="auto"/>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w:t>
            </w:r>
          </w:p>
        </w:tc>
        <w:tc>
          <w:tcPr>
            <w:tcW w:w="1285" w:type="dxa"/>
            <w:tcBorders>
              <w:top w:val="nil"/>
              <w:left w:val="nil"/>
              <w:bottom w:val="single" w:sz="4" w:space="0" w:color="auto"/>
              <w:right w:val="single" w:sz="4" w:space="0" w:color="auto"/>
            </w:tcBorders>
            <w:shd w:val="clear" w:color="000000" w:fill="FFFFFF"/>
            <w:noWrap/>
            <w:vAlign w:val="bottom"/>
            <w:hideMark/>
          </w:tcPr>
          <w:p w:rsidR="006D3AB5" w:rsidRPr="00DB426E" w:rsidRDefault="006D3AB5" w:rsidP="009B5CBF">
            <w:pPr>
              <w:spacing w:after="0"/>
              <w:jc w:val="center"/>
              <w:rPr>
                <w:rFonts w:eastAsia="Times New Roman"/>
                <w:lang w:eastAsia="lv-LV"/>
              </w:rPr>
            </w:pPr>
            <w:r w:rsidRPr="00DB426E">
              <w:rPr>
                <w:rFonts w:eastAsia="Times New Roman"/>
                <w:lang w:eastAsia="lv-LV"/>
              </w:rPr>
              <w:t>-</w:t>
            </w:r>
          </w:p>
        </w:tc>
      </w:tr>
      <w:tr w:rsidR="006D3AB5" w:rsidRPr="00DB426E" w:rsidTr="006D3AB5">
        <w:trPr>
          <w:trHeight w:val="300"/>
        </w:trPr>
        <w:tc>
          <w:tcPr>
            <w:tcW w:w="21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Inerces variants</w:t>
            </w:r>
          </w:p>
        </w:tc>
        <w:tc>
          <w:tcPr>
            <w:tcW w:w="1134"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100%</w:t>
            </w:r>
          </w:p>
        </w:tc>
        <w:tc>
          <w:tcPr>
            <w:tcW w:w="1203"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100%</w:t>
            </w:r>
          </w:p>
        </w:tc>
        <w:tc>
          <w:tcPr>
            <w:tcW w:w="1206"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100%</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100%</w:t>
            </w:r>
          </w:p>
        </w:tc>
        <w:tc>
          <w:tcPr>
            <w:tcW w:w="1285"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100%</w:t>
            </w:r>
          </w:p>
        </w:tc>
      </w:tr>
    </w:tbl>
    <w:p w:rsidR="006D3AB5" w:rsidRPr="00DB426E" w:rsidRDefault="006D3AB5" w:rsidP="00475128">
      <w:pPr>
        <w:numPr>
          <w:ilvl w:val="0"/>
          <w:numId w:val="20"/>
        </w:numPr>
        <w:spacing w:before="120" w:after="0" w:line="240" w:lineRule="auto"/>
        <w:rPr>
          <w:b/>
          <w:i/>
        </w:rPr>
      </w:pPr>
      <w:r w:rsidRPr="00DB426E">
        <w:rPr>
          <w:b/>
          <w:i/>
        </w:rPr>
        <w:t>Nodokļu maksājumi absolūtos skaitļos (tūkst. LVL)</w:t>
      </w:r>
    </w:p>
    <w:tbl>
      <w:tblPr>
        <w:tblW w:w="8226" w:type="dxa"/>
        <w:tblInd w:w="103" w:type="dxa"/>
        <w:tblLook w:val="04A0" w:firstRow="1" w:lastRow="0" w:firstColumn="1" w:lastColumn="0" w:noHBand="0" w:noVBand="1"/>
      </w:tblPr>
      <w:tblGrid>
        <w:gridCol w:w="2132"/>
        <w:gridCol w:w="1134"/>
        <w:gridCol w:w="1275"/>
        <w:gridCol w:w="1134"/>
        <w:gridCol w:w="1275"/>
        <w:gridCol w:w="1276"/>
      </w:tblGrid>
      <w:tr w:rsidR="006D3AB5" w:rsidRPr="00DB426E" w:rsidTr="006D3AB5">
        <w:trPr>
          <w:trHeight w:val="300"/>
        </w:trPr>
        <w:tc>
          <w:tcPr>
            <w:tcW w:w="2132" w:type="dxa"/>
            <w:tcBorders>
              <w:top w:val="single" w:sz="4" w:space="0" w:color="auto"/>
              <w:left w:val="single" w:sz="4" w:space="0" w:color="auto"/>
              <w:bottom w:val="nil"/>
              <w:right w:val="single" w:sz="4" w:space="0" w:color="auto"/>
            </w:tcBorders>
            <w:shd w:val="clear" w:color="000000"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 </w:t>
            </w:r>
          </w:p>
        </w:tc>
        <w:tc>
          <w:tcPr>
            <w:tcW w:w="6094" w:type="dxa"/>
            <w:gridSpan w:val="5"/>
            <w:tcBorders>
              <w:top w:val="single" w:sz="4" w:space="0" w:color="auto"/>
              <w:left w:val="nil"/>
              <w:bottom w:val="single" w:sz="4" w:space="0" w:color="auto"/>
              <w:right w:val="single" w:sz="4" w:space="0" w:color="000000"/>
            </w:tcBorders>
            <w:shd w:val="clear" w:color="000000" w:fill="D9D9D9"/>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2132" w:type="dxa"/>
            <w:tcBorders>
              <w:top w:val="nil"/>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 </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0.5%</w:t>
            </w:r>
          </w:p>
        </w:tc>
        <w:tc>
          <w:tcPr>
            <w:tcW w:w="1275"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1.5%</w:t>
            </w:r>
          </w:p>
        </w:tc>
        <w:tc>
          <w:tcPr>
            <w:tcW w:w="1275"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2.0%</w:t>
            </w:r>
          </w:p>
        </w:tc>
        <w:tc>
          <w:tcPr>
            <w:tcW w:w="1276"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2.5%</w:t>
            </w:r>
          </w:p>
        </w:tc>
      </w:tr>
      <w:tr w:rsidR="006D3AB5" w:rsidRPr="00DB426E" w:rsidTr="006D3AB5">
        <w:trPr>
          <w:trHeight w:val="315"/>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Kp=200%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202</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170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143</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121</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102</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Kp=250%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193</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153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118</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87</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60</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b/>
                <w:bCs/>
                <w:color w:val="000000"/>
                <w:lang w:eastAsia="lv-LV"/>
              </w:rPr>
            </w:pPr>
            <w:r w:rsidRPr="00DB426E">
              <w:rPr>
                <w:rFonts w:eastAsia="Times New Roman"/>
                <w:b/>
                <w:bCs/>
                <w:color w:val="000000"/>
                <w:lang w:eastAsia="lv-LV"/>
              </w:rPr>
              <w:t>Kp=300%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185</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136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92</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53</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color w:val="000000"/>
                <w:lang w:eastAsia="lv-LV"/>
              </w:rPr>
            </w:pPr>
            <w:r w:rsidRPr="00DB426E">
              <w:rPr>
                <w:rFonts w:eastAsia="Times New Roman"/>
                <w:b/>
                <w:color w:val="000000"/>
                <w:lang w:eastAsia="lv-LV"/>
              </w:rPr>
              <w:t>17</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Kp=350%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176</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119</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67</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19</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0</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Kp=400%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168</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102</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41</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0</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0</w:t>
            </w:r>
          </w:p>
        </w:tc>
      </w:tr>
      <w:tr w:rsidR="006D3AB5" w:rsidRPr="00DB426E" w:rsidTr="006D3AB5">
        <w:trPr>
          <w:trHeight w:val="300"/>
        </w:trPr>
        <w:tc>
          <w:tcPr>
            <w:tcW w:w="2132"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Inerces variants</w:t>
            </w:r>
          </w:p>
        </w:tc>
        <w:tc>
          <w:tcPr>
            <w:tcW w:w="1134"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219</w:t>
            </w:r>
          </w:p>
        </w:tc>
        <w:tc>
          <w:tcPr>
            <w:tcW w:w="1275"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199</w:t>
            </w:r>
          </w:p>
        </w:tc>
        <w:tc>
          <w:tcPr>
            <w:tcW w:w="1134"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179</w:t>
            </w:r>
          </w:p>
        </w:tc>
        <w:tc>
          <w:tcPr>
            <w:tcW w:w="1275"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159</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139</w:t>
            </w:r>
          </w:p>
        </w:tc>
      </w:tr>
    </w:tbl>
    <w:p w:rsidR="006D3AB5" w:rsidRPr="00DB426E" w:rsidRDefault="006D3AB5" w:rsidP="00475128">
      <w:pPr>
        <w:numPr>
          <w:ilvl w:val="0"/>
          <w:numId w:val="20"/>
        </w:numPr>
        <w:spacing w:before="120" w:after="0" w:line="240" w:lineRule="auto"/>
      </w:pPr>
      <w:r w:rsidRPr="00DB426E">
        <w:rPr>
          <w:b/>
          <w:i/>
        </w:rPr>
        <w:t>Nodokļu samazinājums absolūtos skaitļos (tūkst. LVL)</w:t>
      </w:r>
    </w:p>
    <w:tbl>
      <w:tblPr>
        <w:tblW w:w="8227" w:type="dxa"/>
        <w:tblInd w:w="103" w:type="dxa"/>
        <w:tblLook w:val="04A0" w:firstRow="1" w:lastRow="0" w:firstColumn="1" w:lastColumn="0" w:noHBand="0" w:noVBand="1"/>
      </w:tblPr>
      <w:tblGrid>
        <w:gridCol w:w="2132"/>
        <w:gridCol w:w="1134"/>
        <w:gridCol w:w="1275"/>
        <w:gridCol w:w="1134"/>
        <w:gridCol w:w="1276"/>
        <w:gridCol w:w="1276"/>
      </w:tblGrid>
      <w:tr w:rsidR="006D3AB5" w:rsidRPr="00DB426E" w:rsidTr="006D3AB5">
        <w:trPr>
          <w:trHeight w:val="300"/>
        </w:trPr>
        <w:tc>
          <w:tcPr>
            <w:tcW w:w="2132" w:type="dxa"/>
            <w:tcBorders>
              <w:top w:val="single" w:sz="4" w:space="0" w:color="auto"/>
              <w:left w:val="single" w:sz="4" w:space="0" w:color="auto"/>
              <w:bottom w:val="nil"/>
              <w:right w:val="single" w:sz="4" w:space="0" w:color="auto"/>
            </w:tcBorders>
            <w:shd w:val="clear" w:color="000000"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 </w:t>
            </w:r>
          </w:p>
        </w:tc>
        <w:tc>
          <w:tcPr>
            <w:tcW w:w="6095" w:type="dxa"/>
            <w:gridSpan w:val="5"/>
            <w:tcBorders>
              <w:top w:val="single" w:sz="4" w:space="0" w:color="auto"/>
              <w:left w:val="nil"/>
              <w:bottom w:val="single" w:sz="4" w:space="0" w:color="auto"/>
              <w:right w:val="single" w:sz="4" w:space="0" w:color="000000"/>
            </w:tcBorders>
            <w:shd w:val="clear" w:color="000000" w:fill="D9D9D9"/>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2132" w:type="dxa"/>
            <w:tcBorders>
              <w:top w:val="nil"/>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 </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0.5%</w:t>
            </w:r>
          </w:p>
        </w:tc>
        <w:tc>
          <w:tcPr>
            <w:tcW w:w="1275"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1.5%</w:t>
            </w:r>
          </w:p>
        </w:tc>
        <w:tc>
          <w:tcPr>
            <w:tcW w:w="1276"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2.0%</w:t>
            </w:r>
          </w:p>
        </w:tc>
        <w:tc>
          <w:tcPr>
            <w:tcW w:w="1276"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rFonts w:eastAsia="Times New Roman"/>
                <w:b/>
                <w:bCs/>
                <w:lang w:eastAsia="lv-LV"/>
              </w:rPr>
            </w:pPr>
            <w:r w:rsidRPr="00DB426E">
              <w:rPr>
                <w:rFonts w:eastAsia="Times New Roman"/>
                <w:b/>
                <w:bCs/>
                <w:lang w:eastAsia="lv-LV"/>
              </w:rPr>
              <w:t>2.5%</w:t>
            </w:r>
          </w:p>
        </w:tc>
      </w:tr>
      <w:tr w:rsidR="006D3AB5" w:rsidRPr="00DB426E" w:rsidTr="006D3AB5">
        <w:trPr>
          <w:trHeight w:val="315"/>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Kp=200%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-17</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-29</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-36</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-38</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-37</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Kp=250%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-26</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-46</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-61</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-72</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-79</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b/>
                <w:bCs/>
                <w:color w:val="000000"/>
                <w:lang w:eastAsia="lv-LV"/>
              </w:rPr>
            </w:pPr>
            <w:r w:rsidRPr="00DB426E">
              <w:rPr>
                <w:rFonts w:eastAsia="Times New Roman"/>
                <w:b/>
                <w:bCs/>
                <w:color w:val="000000"/>
                <w:lang w:eastAsia="lv-LV"/>
              </w:rPr>
              <w:t>Kp=300%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-34</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-63</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-87</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-106</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b/>
                <w:bCs/>
                <w:color w:val="000000"/>
                <w:lang w:eastAsia="lv-LV"/>
              </w:rPr>
            </w:pPr>
            <w:r w:rsidRPr="00DB426E">
              <w:rPr>
                <w:rFonts w:eastAsia="Times New Roman"/>
                <w:b/>
                <w:bCs/>
                <w:color w:val="000000"/>
                <w:lang w:eastAsia="lv-LV"/>
              </w:rPr>
              <w:t>-122</w:t>
            </w:r>
          </w:p>
        </w:tc>
      </w:tr>
      <w:tr w:rsidR="006D3AB5" w:rsidRPr="00DB426E" w:rsidTr="006D3AB5">
        <w:trPr>
          <w:trHeight w:val="300"/>
        </w:trPr>
        <w:tc>
          <w:tcPr>
            <w:tcW w:w="2132"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Kp=350%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-43</w:t>
            </w:r>
          </w:p>
        </w:tc>
        <w:tc>
          <w:tcPr>
            <w:tcW w:w="1275"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-80</w:t>
            </w:r>
          </w:p>
        </w:tc>
        <w:tc>
          <w:tcPr>
            <w:tcW w:w="1134"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-112</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-140</w:t>
            </w:r>
          </w:p>
        </w:tc>
        <w:tc>
          <w:tcPr>
            <w:tcW w:w="1276" w:type="dxa"/>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-139</w:t>
            </w:r>
          </w:p>
        </w:tc>
      </w:tr>
      <w:tr w:rsidR="006D3AB5" w:rsidRPr="00DB426E" w:rsidTr="006D3AB5">
        <w:trPr>
          <w:trHeight w:val="300"/>
        </w:trPr>
        <w:tc>
          <w:tcPr>
            <w:tcW w:w="2132" w:type="dxa"/>
            <w:tcBorders>
              <w:top w:val="nil"/>
              <w:left w:val="single" w:sz="4" w:space="0" w:color="auto"/>
              <w:bottom w:val="single" w:sz="4" w:space="0" w:color="auto"/>
              <w:right w:val="single" w:sz="4" w:space="0" w:color="auto"/>
            </w:tcBorders>
            <w:shd w:val="clear" w:color="auto" w:fill="auto"/>
            <w:vAlign w:val="bottom"/>
            <w:hideMark/>
          </w:tcPr>
          <w:p w:rsidR="006D3AB5" w:rsidRPr="00DB426E" w:rsidRDefault="006D3AB5" w:rsidP="009B5CBF">
            <w:pPr>
              <w:spacing w:after="0"/>
              <w:rPr>
                <w:rFonts w:eastAsia="Times New Roman"/>
                <w:color w:val="000000"/>
                <w:lang w:eastAsia="lv-LV"/>
              </w:rPr>
            </w:pPr>
            <w:r w:rsidRPr="00DB426E">
              <w:rPr>
                <w:rFonts w:eastAsia="Times New Roman"/>
                <w:color w:val="000000"/>
                <w:lang w:eastAsia="lv-LV"/>
              </w:rPr>
              <w:t>Kp=400%</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-51</w:t>
            </w:r>
          </w:p>
        </w:tc>
        <w:tc>
          <w:tcPr>
            <w:tcW w:w="1275"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-97</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-138</w:t>
            </w:r>
          </w:p>
        </w:tc>
        <w:tc>
          <w:tcPr>
            <w:tcW w:w="1276"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-159</w:t>
            </w:r>
          </w:p>
        </w:tc>
        <w:tc>
          <w:tcPr>
            <w:tcW w:w="1276"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rFonts w:eastAsia="Times New Roman"/>
                <w:color w:val="000000"/>
                <w:lang w:eastAsia="lv-LV"/>
              </w:rPr>
            </w:pPr>
            <w:r w:rsidRPr="00DB426E">
              <w:rPr>
                <w:rFonts w:eastAsia="Times New Roman"/>
                <w:color w:val="000000"/>
                <w:lang w:eastAsia="lv-LV"/>
              </w:rPr>
              <w:t>-139</w:t>
            </w:r>
          </w:p>
        </w:tc>
      </w:tr>
    </w:tbl>
    <w:p w:rsidR="002612BC" w:rsidRDefault="002612BC" w:rsidP="009B5CBF">
      <w:pPr>
        <w:spacing w:before="240"/>
      </w:pPr>
    </w:p>
    <w:p w:rsidR="006D3AB5" w:rsidRPr="00DB426E" w:rsidRDefault="006D3AB5" w:rsidP="009B5CBF">
      <w:pPr>
        <w:spacing w:before="240"/>
      </w:pPr>
      <w:r w:rsidRPr="00DB426E">
        <w:t xml:space="preserve">Atbilstoši statistikas datiem vidējo </w:t>
      </w:r>
      <w:r w:rsidRPr="00A82D8E">
        <w:t xml:space="preserve">uzņēmumu segmentā pētniecības un attīstības izdevumi vidēji nepārsniedz 0.1% no apgrozījuma, kas ļauj </w:t>
      </w:r>
      <w:r w:rsidR="00A82D8E" w:rsidRPr="00A82D8E">
        <w:t>pie</w:t>
      </w:r>
      <w:r w:rsidR="0083766B" w:rsidRPr="00A82D8E">
        <w:t>lietot</w:t>
      </w:r>
      <w:r w:rsidRPr="00A82D8E">
        <w:t xml:space="preserve"> zinātnisko pētījumu izmaksu palielināšanas koeficientu </w:t>
      </w:r>
      <w:proofErr w:type="spellStart"/>
      <w:r w:rsidRPr="00A82D8E">
        <w:rPr>
          <w:b/>
        </w:rPr>
        <w:t>Кр</w:t>
      </w:r>
      <w:proofErr w:type="spellEnd"/>
      <w:r w:rsidRPr="00A82D8E">
        <w:rPr>
          <w:b/>
        </w:rPr>
        <w:t xml:space="preserve"> =300%</w:t>
      </w:r>
      <w:r w:rsidRPr="00A82D8E">
        <w:t xml:space="preserve"> praktiski bez riska, raugoties</w:t>
      </w:r>
      <w:r w:rsidRPr="00DB426E">
        <w:t xml:space="preserve"> no budžeta ieņēmumu samazinājuma viedokļa. </w:t>
      </w:r>
    </w:p>
    <w:p w:rsidR="009B5CBF" w:rsidRPr="00DB426E" w:rsidRDefault="009B5CBF" w:rsidP="006D3AB5">
      <w:pPr>
        <w:pStyle w:val="Caption"/>
      </w:pPr>
    </w:p>
    <w:p w:rsidR="009B5CBF" w:rsidRPr="00DB426E" w:rsidRDefault="009B5CBF" w:rsidP="006D3AB5">
      <w:pPr>
        <w:pStyle w:val="Caption"/>
      </w:pPr>
    </w:p>
    <w:p w:rsidR="009B5CBF" w:rsidRPr="00DB426E" w:rsidRDefault="009B5CBF" w:rsidP="006D3AB5">
      <w:pPr>
        <w:pStyle w:val="Caption"/>
      </w:pPr>
    </w:p>
    <w:p w:rsidR="009B5CBF" w:rsidRPr="00DB426E" w:rsidRDefault="009B5CBF" w:rsidP="006D3AB5">
      <w:pPr>
        <w:pStyle w:val="Caption"/>
      </w:pPr>
    </w:p>
    <w:p w:rsidR="009B5CBF" w:rsidRPr="00DB426E" w:rsidRDefault="009B5CBF" w:rsidP="006D3AB5">
      <w:pPr>
        <w:pStyle w:val="Caption"/>
      </w:pPr>
    </w:p>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5</w:t>
      </w:r>
      <w:r w:rsidR="009B0188">
        <w:rPr>
          <w:noProof/>
        </w:rPr>
        <w:fldChar w:fldCharType="end"/>
      </w:r>
      <w:r w:rsidRPr="00DB426E">
        <w:t>. Nodokļu maksājumu samazinājums atkarībā no zinātnisko pētījumu finansēšanas līmeņa, piemērojot dažādus ZP izmaksu palielināšanas koeficientus (VIDĒJIE uzņēmumi)</w:t>
      </w:r>
    </w:p>
    <w:p w:rsidR="006D3AB5" w:rsidRPr="00DB426E" w:rsidRDefault="006C3F27" w:rsidP="006D3AB5">
      <w:pPr>
        <w:pStyle w:val="Caption"/>
      </w:pPr>
      <w:r>
        <w:rPr>
          <w:noProof/>
          <w:lang w:eastAsia="lv-LV"/>
        </w:rPr>
        <w:drawing>
          <wp:inline distT="0" distB="0" distL="0" distR="0" wp14:anchorId="23C6416F" wp14:editId="07C8F906">
            <wp:extent cx="4916928" cy="2741176"/>
            <wp:effectExtent l="6098" t="6092" r="4574" b="6092"/>
            <wp:docPr id="36" name="Picture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D3AB5" w:rsidRPr="00DB426E" w:rsidRDefault="006C3F27" w:rsidP="006D3AB5">
      <w:pPr>
        <w:jc w:val="center"/>
        <w:rPr>
          <w:lang w:eastAsia="lv-LV"/>
        </w:rPr>
      </w:pPr>
      <w:r>
        <w:rPr>
          <w:noProof/>
          <w:lang w:eastAsia="lv-LV"/>
        </w:rPr>
        <w:drawing>
          <wp:inline distT="0" distB="0" distL="0" distR="0" wp14:anchorId="44060969" wp14:editId="36A3DDC2">
            <wp:extent cx="4948943" cy="2720104"/>
            <wp:effectExtent l="6091" t="6088" r="3046" b="6848"/>
            <wp:docPr id="37" name="Picture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07C68" w:rsidRPr="00A82D8E" w:rsidRDefault="002612BC" w:rsidP="00607C68">
      <w:pPr>
        <w:pStyle w:val="Heading3"/>
        <w:numPr>
          <w:ilvl w:val="2"/>
          <w:numId w:val="50"/>
        </w:numPr>
      </w:pPr>
      <w:bookmarkStart w:id="97" w:name="_Toc358978705"/>
      <w:bookmarkStart w:id="98" w:name="_Toc355007921"/>
      <w:bookmarkStart w:id="99" w:name="_Toc355008084"/>
      <w:bookmarkStart w:id="100" w:name="_Toc356472865"/>
      <w:r w:rsidRPr="00A82D8E">
        <w:t>Mazie uzņēmumi</w:t>
      </w:r>
      <w:bookmarkEnd w:id="97"/>
      <w:r w:rsidRPr="00A82D8E">
        <w:t xml:space="preserve"> </w:t>
      </w:r>
    </w:p>
    <w:p w:rsidR="00607C68" w:rsidRPr="00A82D8E" w:rsidRDefault="00607C68" w:rsidP="00607C68">
      <w:pPr>
        <w:spacing w:before="120" w:after="120"/>
      </w:pPr>
      <w:r w:rsidRPr="00A82D8E">
        <w:t>Tipveida uzņēmuma bāzes finanšu rādītāji:</w:t>
      </w:r>
    </w:p>
    <w:p w:rsidR="00607C68" w:rsidRPr="00A82D8E" w:rsidRDefault="00607C68" w:rsidP="00607C68">
      <w:pPr>
        <w:pStyle w:val="ListParagraph"/>
        <w:spacing w:before="120" w:after="120"/>
        <w:rPr>
          <w:lang w:val="lv-LV"/>
        </w:rPr>
      </w:pPr>
      <w:r w:rsidRPr="00A82D8E">
        <w:rPr>
          <w:lang w:val="lv-LV"/>
        </w:rPr>
        <w:t xml:space="preserve">NA = 3.1-3.8 milj. Ls, </w:t>
      </w:r>
    </w:p>
    <w:p w:rsidR="00607C68" w:rsidRPr="00A82D8E" w:rsidRDefault="00607C68" w:rsidP="00607C68">
      <w:pPr>
        <w:pStyle w:val="ListParagraph"/>
        <w:spacing w:before="120" w:after="120"/>
        <w:rPr>
          <w:lang w:val="lv-LV"/>
        </w:rPr>
      </w:pPr>
      <w:r w:rsidRPr="00A82D8E">
        <w:rPr>
          <w:lang w:val="lv-LV"/>
        </w:rPr>
        <w:t>Summārās izmaksas (ražošanas, pārdošanas, administratīvās) –91% no NA,</w:t>
      </w:r>
    </w:p>
    <w:p w:rsidR="00607C68" w:rsidRPr="00A82D8E" w:rsidRDefault="00607C68" w:rsidP="00607C68">
      <w:pPr>
        <w:pStyle w:val="ListParagraph"/>
        <w:spacing w:before="120" w:after="120"/>
        <w:rPr>
          <w:lang w:val="lv-LV"/>
        </w:rPr>
      </w:pPr>
      <w:r w:rsidRPr="00A82D8E">
        <w:rPr>
          <w:lang w:val="lv-LV"/>
        </w:rPr>
        <w:t>ZP izdevumi – 0.28% no NA.</w:t>
      </w:r>
    </w:p>
    <w:p w:rsidR="00607C68" w:rsidRDefault="00607C68" w:rsidP="00607C68">
      <w:r w:rsidRPr="00A82D8E">
        <w:t xml:space="preserve">Aprēķinos pieņemts, ka attīstības programmas realizācijai ik gadu tiek piešķirti 72-87 tūkst. latu, </w:t>
      </w:r>
      <w:r w:rsidR="00CB745F" w:rsidRPr="00A82D8E">
        <w:t>kas nodrošina apgrozījuma pieaugumu 5% gadā.</w:t>
      </w:r>
    </w:p>
    <w:p w:rsidR="00C11A85" w:rsidRDefault="00607C68" w:rsidP="00C11A8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8</w:t>
      </w:r>
      <w:r w:rsidR="009B0188">
        <w:rPr>
          <w:noProof/>
        </w:rPr>
        <w:fldChar w:fldCharType="end"/>
      </w:r>
      <w:r w:rsidRPr="00DB426E">
        <w:t>.</w:t>
      </w:r>
      <w:r w:rsidR="00C11A85" w:rsidRPr="00C11A85">
        <w:t xml:space="preserve"> </w:t>
      </w:r>
      <w:r w:rsidR="00C11A85" w:rsidRPr="00DB426E">
        <w:t>Finanšu aprēķini. 1.variants (</w:t>
      </w:r>
      <w:r w:rsidR="00C11A85">
        <w:t xml:space="preserve">MAZIE </w:t>
      </w:r>
      <w:r w:rsidR="00C11A85" w:rsidRPr="00DB426E">
        <w:t>uzņēmumi)</w:t>
      </w:r>
    </w:p>
    <w:p w:rsidR="00C11A85" w:rsidRDefault="00C11A85" w:rsidP="00C11A85">
      <w:r w:rsidRPr="00C11A85">
        <w:rPr>
          <w:noProof/>
          <w:lang w:eastAsia="lv-LV"/>
        </w:rPr>
        <w:drawing>
          <wp:inline distT="0" distB="0" distL="0" distR="0" wp14:anchorId="477F226F" wp14:editId="7358D6AF">
            <wp:extent cx="5415280" cy="294055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6047" cy="2946403"/>
                    </a:xfrm>
                    <a:prstGeom prst="rect">
                      <a:avLst/>
                    </a:prstGeom>
                    <a:noFill/>
                    <a:ln>
                      <a:noFill/>
                    </a:ln>
                  </pic:spPr>
                </pic:pic>
              </a:graphicData>
            </a:graphic>
          </wp:inline>
        </w:drawing>
      </w:r>
    </w:p>
    <w:p w:rsidR="00C11A85" w:rsidRDefault="00CB745F" w:rsidP="00C11A85">
      <w:r w:rsidRPr="00CB745F">
        <w:rPr>
          <w:noProof/>
          <w:lang w:eastAsia="lv-LV"/>
        </w:rPr>
        <w:drawing>
          <wp:inline distT="0" distB="0" distL="0" distR="0" wp14:anchorId="3230FA07" wp14:editId="1BF49B2A">
            <wp:extent cx="5386347" cy="3352800"/>
            <wp:effectExtent l="0" t="0" r="508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3274" cy="3357112"/>
                    </a:xfrm>
                    <a:prstGeom prst="rect">
                      <a:avLst/>
                    </a:prstGeom>
                    <a:noFill/>
                    <a:ln>
                      <a:noFill/>
                    </a:ln>
                  </pic:spPr>
                </pic:pic>
              </a:graphicData>
            </a:graphic>
          </wp:inline>
        </w:drawing>
      </w:r>
    </w:p>
    <w:p w:rsidR="00CB745F" w:rsidRPr="00DB426E" w:rsidRDefault="00CB745F" w:rsidP="00CB745F">
      <w:r w:rsidRPr="00A82D8E">
        <w:t xml:space="preserve">Aprēķini pilnā </w:t>
      </w:r>
      <w:r w:rsidR="00A82D8E" w:rsidRPr="00A82D8E">
        <w:t xml:space="preserve">apjomā ir </w:t>
      </w:r>
      <w:r w:rsidRPr="00A82D8E">
        <w:t>pieejami elektroniski.</w:t>
      </w:r>
    </w:p>
    <w:p w:rsidR="00CB745F" w:rsidRPr="00DB426E" w:rsidRDefault="00CB745F" w:rsidP="00CB745F">
      <w:pPr>
        <w:spacing w:before="120" w:after="120"/>
      </w:pPr>
      <w:r w:rsidRPr="00DB426E">
        <w:t xml:space="preserve">Atbilstoši iegūtajam rezultātam līdzekļu ekonomija ik gadu, samazinot uzņēmumu ienākuma nodokļu maksājumus, tiek lēsta </w:t>
      </w:r>
      <w:r w:rsidRPr="00DB426E">
        <w:rPr>
          <w:b/>
        </w:rPr>
        <w:t xml:space="preserve">no </w:t>
      </w:r>
      <w:r>
        <w:rPr>
          <w:b/>
        </w:rPr>
        <w:t>2.6</w:t>
      </w:r>
      <w:r w:rsidRPr="00DB426E">
        <w:rPr>
          <w:b/>
        </w:rPr>
        <w:t xml:space="preserve"> līdz </w:t>
      </w:r>
      <w:r>
        <w:rPr>
          <w:b/>
        </w:rPr>
        <w:t>3.2</w:t>
      </w:r>
      <w:r w:rsidRPr="00DB426E">
        <w:rPr>
          <w:b/>
        </w:rPr>
        <w:t xml:space="preserve"> tūkst. latu</w:t>
      </w:r>
      <w:r w:rsidRPr="00DB426E">
        <w:t xml:space="preserve">, kas ir vidēji </w:t>
      </w:r>
      <w:r>
        <w:rPr>
          <w:b/>
        </w:rPr>
        <w:t>6.4</w:t>
      </w:r>
      <w:r w:rsidRPr="00DB426E">
        <w:rPr>
          <w:b/>
        </w:rPr>
        <w:t>%</w:t>
      </w:r>
      <w:r w:rsidRPr="00DB426E">
        <w:t xml:space="preserve"> no esošajā likumdošanā paredzētās nodokļa summas (inerces variants). </w:t>
      </w:r>
    </w:p>
    <w:p w:rsidR="00CB745F" w:rsidRPr="00DB426E" w:rsidRDefault="00CB745F" w:rsidP="00CB745F">
      <w:pPr>
        <w:spacing w:before="120" w:after="120"/>
      </w:pPr>
      <w:r w:rsidRPr="00A82D8E">
        <w:t xml:space="preserve">Saskaņā ar aprēķiniem, ja izdevumi zinātniskajiem pētījumiem sasniedz </w:t>
      </w:r>
      <w:r w:rsidR="00D136C6" w:rsidRPr="00A82D8E">
        <w:t>2.5</w:t>
      </w:r>
      <w:r w:rsidRPr="00A82D8E">
        <w:t>%</w:t>
      </w:r>
      <w:r w:rsidRPr="00A82D8E">
        <w:rPr>
          <w:color w:val="FF0000"/>
        </w:rPr>
        <w:t xml:space="preserve"> </w:t>
      </w:r>
      <w:r w:rsidRPr="00A82D8E">
        <w:t>no apgrozījuma</w:t>
      </w:r>
      <w:r w:rsidR="00D136C6" w:rsidRPr="00A82D8E">
        <w:t xml:space="preserve"> un </w:t>
      </w:r>
      <w:proofErr w:type="spellStart"/>
      <w:r w:rsidR="00D136C6" w:rsidRPr="00A82D8E">
        <w:t>K</w:t>
      </w:r>
      <w:r w:rsidR="00D136C6" w:rsidRPr="00A82D8E">
        <w:rPr>
          <w:vertAlign w:val="subscript"/>
        </w:rPr>
        <w:t>iev</w:t>
      </w:r>
      <w:proofErr w:type="spellEnd"/>
      <w:r w:rsidR="00D136C6" w:rsidRPr="00A82D8E">
        <w:t>= 7.2</w:t>
      </w:r>
      <w:r w:rsidR="00A82D8E">
        <w:t>,</w:t>
      </w:r>
      <w:r w:rsidRPr="00A82D8E">
        <w:t xml:space="preserve"> uzņēmums praktiski nemaksā UIN. Ja izdevumi zinātniskiem pētījumiem ir </w:t>
      </w:r>
      <w:r w:rsidR="00D136C6" w:rsidRPr="00A82D8E">
        <w:t>1.7</w:t>
      </w:r>
      <w:r w:rsidRPr="00A82D8E">
        <w:t>% līmenī no apgrozījuma, UIN samazinās divas reizes.</w:t>
      </w:r>
    </w:p>
    <w:p w:rsidR="00CB745F" w:rsidRDefault="00D136C6" w:rsidP="00D136C6">
      <w:pPr>
        <w:pStyle w:val="Caption"/>
        <w:jc w:val="left"/>
      </w:pPr>
      <w:r>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9</w:t>
      </w:r>
      <w:r w:rsidR="009B0188">
        <w:rPr>
          <w:noProof/>
        </w:rPr>
        <w:fldChar w:fldCharType="end"/>
      </w:r>
      <w:r>
        <w:t>.</w:t>
      </w:r>
      <w:r w:rsidR="00CB745F" w:rsidRPr="00DB426E">
        <w:t>Nodokļu maksājumu samazinājums atkarībā no zinātnisko pētījumu finansēšanas līmeņa (</w:t>
      </w:r>
      <w:r w:rsidR="00CB745F">
        <w:t xml:space="preserve">MAZIE </w:t>
      </w:r>
      <w:r w:rsidR="00CB745F" w:rsidRPr="00DB426E">
        <w:t>uzņēmumi)</w:t>
      </w:r>
    </w:p>
    <w:tbl>
      <w:tblPr>
        <w:tblW w:w="9407" w:type="dxa"/>
        <w:tblInd w:w="103" w:type="dxa"/>
        <w:tblLook w:val="04A0" w:firstRow="1" w:lastRow="0" w:firstColumn="1" w:lastColumn="0" w:noHBand="0" w:noVBand="1"/>
      </w:tblPr>
      <w:tblGrid>
        <w:gridCol w:w="1706"/>
        <w:gridCol w:w="1404"/>
        <w:gridCol w:w="1254"/>
        <w:gridCol w:w="1254"/>
        <w:gridCol w:w="1254"/>
        <w:gridCol w:w="1254"/>
        <w:gridCol w:w="1281"/>
      </w:tblGrid>
      <w:tr w:rsidR="00D136C6" w:rsidRPr="00D136C6" w:rsidTr="00D136C6">
        <w:trPr>
          <w:trHeight w:val="300"/>
        </w:trPr>
        <w:tc>
          <w:tcPr>
            <w:tcW w:w="1706" w:type="dxa"/>
            <w:tcBorders>
              <w:top w:val="single" w:sz="4" w:space="0" w:color="auto"/>
              <w:left w:val="single" w:sz="4" w:space="0" w:color="auto"/>
              <w:bottom w:val="nil"/>
              <w:right w:val="single" w:sz="4" w:space="0" w:color="auto"/>
            </w:tcBorders>
            <w:shd w:val="clear" w:color="000000" w:fill="D9D9D9"/>
            <w:noWrap/>
            <w:vAlign w:val="center"/>
            <w:hideMark/>
          </w:tcPr>
          <w:p w:rsidR="00D136C6" w:rsidRPr="00D136C6" w:rsidRDefault="00D136C6" w:rsidP="00D136C6">
            <w:pPr>
              <w:spacing w:after="0" w:line="240" w:lineRule="auto"/>
              <w:rPr>
                <w:rFonts w:eastAsia="Times New Roman"/>
                <w:color w:val="000000"/>
                <w:lang w:eastAsia="lv-LV"/>
              </w:rPr>
            </w:pPr>
            <w:r w:rsidRPr="00D136C6">
              <w:rPr>
                <w:rFonts w:eastAsia="Times New Roman"/>
                <w:color w:val="000000"/>
                <w:lang w:eastAsia="lv-LV"/>
              </w:rPr>
              <w:t> </w:t>
            </w:r>
          </w:p>
        </w:tc>
        <w:tc>
          <w:tcPr>
            <w:tcW w:w="7701" w:type="dxa"/>
            <w:gridSpan w:val="6"/>
            <w:tcBorders>
              <w:top w:val="single" w:sz="4" w:space="0" w:color="auto"/>
              <w:left w:val="nil"/>
              <w:bottom w:val="single" w:sz="4" w:space="0" w:color="auto"/>
              <w:right w:val="single" w:sz="4" w:space="0" w:color="auto"/>
            </w:tcBorders>
            <w:shd w:val="clear" w:color="000000" w:fill="D9D9D9"/>
            <w:noWrap/>
            <w:vAlign w:val="center"/>
            <w:hideMark/>
          </w:tcPr>
          <w:p w:rsidR="00D136C6" w:rsidRPr="00D136C6" w:rsidRDefault="00D136C6" w:rsidP="00D136C6">
            <w:pPr>
              <w:spacing w:after="0" w:line="240" w:lineRule="auto"/>
              <w:jc w:val="center"/>
              <w:rPr>
                <w:rFonts w:eastAsia="Times New Roman"/>
                <w:b/>
                <w:bCs/>
                <w:color w:val="000000"/>
                <w:lang w:eastAsia="lv-LV"/>
              </w:rPr>
            </w:pPr>
            <w:r w:rsidRPr="00D136C6">
              <w:rPr>
                <w:rFonts w:eastAsia="Times New Roman"/>
                <w:b/>
                <w:bCs/>
                <w:color w:val="000000"/>
                <w:lang w:eastAsia="lv-LV"/>
              </w:rPr>
              <w:t>ZP izdevumi (% no NA)</w:t>
            </w:r>
          </w:p>
        </w:tc>
      </w:tr>
      <w:tr w:rsidR="00D136C6" w:rsidRPr="00D136C6" w:rsidTr="00D136C6">
        <w:trPr>
          <w:trHeight w:val="315"/>
        </w:trPr>
        <w:tc>
          <w:tcPr>
            <w:tcW w:w="1706" w:type="dxa"/>
            <w:tcBorders>
              <w:top w:val="nil"/>
              <w:left w:val="single" w:sz="4" w:space="0" w:color="auto"/>
              <w:bottom w:val="double" w:sz="6" w:space="0" w:color="auto"/>
              <w:right w:val="single" w:sz="4" w:space="0" w:color="auto"/>
            </w:tcBorders>
            <w:shd w:val="clear" w:color="000000" w:fill="D9D9D9"/>
            <w:noWrap/>
            <w:vAlign w:val="center"/>
            <w:hideMark/>
          </w:tcPr>
          <w:p w:rsidR="00D136C6" w:rsidRPr="00D136C6" w:rsidRDefault="00D136C6" w:rsidP="00D136C6">
            <w:pPr>
              <w:spacing w:after="0" w:line="240" w:lineRule="auto"/>
              <w:rPr>
                <w:rFonts w:eastAsia="Times New Roman"/>
                <w:color w:val="000000"/>
                <w:lang w:eastAsia="lv-LV"/>
              </w:rPr>
            </w:pPr>
            <w:r w:rsidRPr="00D136C6">
              <w:rPr>
                <w:rFonts w:eastAsia="Times New Roman"/>
                <w:color w:val="000000"/>
                <w:lang w:eastAsia="lv-LV"/>
              </w:rPr>
              <w:t> </w:t>
            </w:r>
          </w:p>
        </w:tc>
        <w:tc>
          <w:tcPr>
            <w:tcW w:w="1404" w:type="dxa"/>
            <w:tcBorders>
              <w:top w:val="nil"/>
              <w:left w:val="nil"/>
              <w:bottom w:val="double" w:sz="6" w:space="0" w:color="auto"/>
              <w:right w:val="single" w:sz="4" w:space="0" w:color="auto"/>
            </w:tcBorders>
            <w:shd w:val="clear" w:color="000000" w:fill="D9D9D9"/>
            <w:noWrap/>
            <w:vAlign w:val="center"/>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0.10%</w:t>
            </w:r>
          </w:p>
        </w:tc>
        <w:tc>
          <w:tcPr>
            <w:tcW w:w="1254" w:type="dxa"/>
            <w:tcBorders>
              <w:top w:val="nil"/>
              <w:left w:val="nil"/>
              <w:bottom w:val="double" w:sz="6" w:space="0" w:color="auto"/>
              <w:right w:val="single" w:sz="4" w:space="0" w:color="auto"/>
            </w:tcBorders>
            <w:shd w:val="clear" w:color="000000" w:fill="D9D9D9"/>
            <w:noWrap/>
            <w:vAlign w:val="center"/>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0.50%</w:t>
            </w:r>
          </w:p>
        </w:tc>
        <w:tc>
          <w:tcPr>
            <w:tcW w:w="1254" w:type="dxa"/>
            <w:tcBorders>
              <w:top w:val="nil"/>
              <w:left w:val="nil"/>
              <w:bottom w:val="double" w:sz="6" w:space="0" w:color="auto"/>
              <w:right w:val="single" w:sz="4" w:space="0" w:color="auto"/>
            </w:tcBorders>
            <w:shd w:val="clear" w:color="000000" w:fill="D9D9D9"/>
            <w:noWrap/>
            <w:vAlign w:val="center"/>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1.00%</w:t>
            </w:r>
          </w:p>
        </w:tc>
        <w:tc>
          <w:tcPr>
            <w:tcW w:w="1254" w:type="dxa"/>
            <w:tcBorders>
              <w:top w:val="nil"/>
              <w:left w:val="nil"/>
              <w:bottom w:val="double" w:sz="6" w:space="0" w:color="auto"/>
              <w:right w:val="single" w:sz="4" w:space="0" w:color="auto"/>
            </w:tcBorders>
            <w:shd w:val="clear" w:color="000000" w:fill="D9D9D9"/>
            <w:noWrap/>
            <w:vAlign w:val="center"/>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1.50%</w:t>
            </w:r>
          </w:p>
        </w:tc>
        <w:tc>
          <w:tcPr>
            <w:tcW w:w="1254" w:type="dxa"/>
            <w:tcBorders>
              <w:top w:val="nil"/>
              <w:left w:val="nil"/>
              <w:bottom w:val="double" w:sz="6" w:space="0" w:color="auto"/>
              <w:right w:val="single" w:sz="4" w:space="0" w:color="auto"/>
            </w:tcBorders>
            <w:shd w:val="clear" w:color="000000" w:fill="D9D9D9"/>
            <w:noWrap/>
            <w:vAlign w:val="center"/>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2.00%</w:t>
            </w:r>
          </w:p>
        </w:tc>
        <w:tc>
          <w:tcPr>
            <w:tcW w:w="1281" w:type="dxa"/>
            <w:tcBorders>
              <w:top w:val="nil"/>
              <w:left w:val="nil"/>
              <w:bottom w:val="double" w:sz="6" w:space="0" w:color="auto"/>
              <w:right w:val="single" w:sz="4" w:space="0" w:color="auto"/>
            </w:tcBorders>
            <w:shd w:val="clear" w:color="000000" w:fill="D9D9D9"/>
            <w:noWrap/>
            <w:vAlign w:val="center"/>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2.50%</w:t>
            </w:r>
          </w:p>
        </w:tc>
      </w:tr>
      <w:tr w:rsidR="00D136C6" w:rsidRPr="00D136C6" w:rsidTr="00D136C6">
        <w:trPr>
          <w:trHeight w:val="315"/>
        </w:trPr>
        <w:tc>
          <w:tcPr>
            <w:tcW w:w="1706" w:type="dxa"/>
            <w:tcBorders>
              <w:top w:val="nil"/>
              <w:left w:val="single" w:sz="4" w:space="0" w:color="auto"/>
              <w:bottom w:val="nil"/>
              <w:right w:val="single" w:sz="4" w:space="0" w:color="auto"/>
            </w:tcBorders>
            <w:shd w:val="clear" w:color="auto" w:fill="auto"/>
            <w:noWrap/>
            <w:vAlign w:val="bottom"/>
            <w:hideMark/>
          </w:tcPr>
          <w:p w:rsidR="00D136C6" w:rsidRPr="00D136C6" w:rsidRDefault="00D136C6" w:rsidP="00D136C6">
            <w:pPr>
              <w:spacing w:after="0" w:line="240" w:lineRule="auto"/>
              <w:jc w:val="left"/>
              <w:rPr>
                <w:rFonts w:eastAsia="Times New Roman"/>
                <w:color w:val="000000"/>
                <w:lang w:eastAsia="lv-LV"/>
              </w:rPr>
            </w:pPr>
            <w:r w:rsidRPr="00D136C6">
              <w:rPr>
                <w:rFonts w:eastAsia="Times New Roman"/>
                <w:color w:val="000000"/>
                <w:lang w:eastAsia="lv-LV"/>
              </w:rPr>
              <w:t>Kiev=7.24</w:t>
            </w:r>
          </w:p>
        </w:tc>
        <w:tc>
          <w:tcPr>
            <w:tcW w:w="140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-0.80%</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-14%</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-27%</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-45%</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-69%</w:t>
            </w:r>
          </w:p>
        </w:tc>
        <w:tc>
          <w:tcPr>
            <w:tcW w:w="1281"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-100%</w:t>
            </w:r>
          </w:p>
        </w:tc>
      </w:tr>
      <w:tr w:rsidR="00D136C6" w:rsidRPr="00D136C6" w:rsidTr="00D136C6">
        <w:trPr>
          <w:trHeight w:val="300"/>
        </w:trPr>
        <w:tc>
          <w:tcPr>
            <w:tcW w:w="1706" w:type="dxa"/>
            <w:tcBorders>
              <w:top w:val="nil"/>
              <w:left w:val="single" w:sz="4" w:space="0" w:color="auto"/>
              <w:bottom w:val="nil"/>
              <w:right w:val="single" w:sz="4" w:space="0" w:color="auto"/>
            </w:tcBorders>
            <w:shd w:val="clear" w:color="auto" w:fill="auto"/>
            <w:noWrap/>
            <w:vAlign w:val="bottom"/>
            <w:hideMark/>
          </w:tcPr>
          <w:p w:rsidR="00D136C6" w:rsidRPr="00D136C6" w:rsidRDefault="00D136C6" w:rsidP="00D136C6">
            <w:pPr>
              <w:spacing w:after="0" w:line="240" w:lineRule="auto"/>
              <w:jc w:val="left"/>
              <w:rPr>
                <w:rFonts w:eastAsia="Times New Roman"/>
                <w:b/>
                <w:color w:val="000000"/>
                <w:lang w:eastAsia="lv-LV"/>
              </w:rPr>
            </w:pPr>
            <w:r w:rsidRPr="00D136C6">
              <w:rPr>
                <w:rFonts w:eastAsia="Times New Roman"/>
                <w:b/>
                <w:color w:val="000000"/>
                <w:lang w:eastAsia="lv-LV"/>
              </w:rPr>
              <w:t>Kiev=5.0</w:t>
            </w:r>
          </w:p>
        </w:tc>
        <w:tc>
          <w:tcPr>
            <w:tcW w:w="140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b/>
                <w:color w:val="000000"/>
                <w:lang w:eastAsia="lv-LV"/>
              </w:rPr>
            </w:pPr>
            <w:r w:rsidRPr="00D136C6">
              <w:rPr>
                <w:rFonts w:eastAsia="Times New Roman"/>
                <w:b/>
                <w:color w:val="000000"/>
                <w:lang w:eastAsia="lv-LV"/>
              </w:rPr>
              <w:t>-0.53%</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b/>
                <w:color w:val="000000"/>
                <w:lang w:eastAsia="lv-LV"/>
              </w:rPr>
            </w:pPr>
            <w:r w:rsidRPr="00D136C6">
              <w:rPr>
                <w:rFonts w:eastAsia="Times New Roman"/>
                <w:b/>
                <w:color w:val="000000"/>
                <w:lang w:eastAsia="lv-LV"/>
              </w:rPr>
              <w:t>-12%</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b/>
                <w:color w:val="000000"/>
                <w:lang w:eastAsia="lv-LV"/>
              </w:rPr>
            </w:pPr>
            <w:r w:rsidRPr="00D136C6">
              <w:rPr>
                <w:rFonts w:eastAsia="Times New Roman"/>
                <w:b/>
                <w:color w:val="000000"/>
                <w:lang w:eastAsia="lv-LV"/>
              </w:rPr>
              <w:t>-26%</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b/>
                <w:color w:val="000000"/>
                <w:lang w:eastAsia="lv-LV"/>
              </w:rPr>
            </w:pPr>
            <w:r w:rsidRPr="00D136C6">
              <w:rPr>
                <w:rFonts w:eastAsia="Times New Roman"/>
                <w:b/>
                <w:color w:val="000000"/>
                <w:lang w:eastAsia="lv-LV"/>
              </w:rPr>
              <w:t>-43%</w:t>
            </w:r>
          </w:p>
        </w:tc>
        <w:tc>
          <w:tcPr>
            <w:tcW w:w="1254"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b/>
                <w:color w:val="000000"/>
                <w:lang w:eastAsia="lv-LV"/>
              </w:rPr>
            </w:pPr>
            <w:r w:rsidRPr="00D136C6">
              <w:rPr>
                <w:rFonts w:eastAsia="Times New Roman"/>
                <w:b/>
                <w:color w:val="000000"/>
                <w:lang w:eastAsia="lv-LV"/>
              </w:rPr>
              <w:t>-64%</w:t>
            </w:r>
          </w:p>
        </w:tc>
        <w:tc>
          <w:tcPr>
            <w:tcW w:w="1281" w:type="dxa"/>
            <w:tcBorders>
              <w:top w:val="nil"/>
              <w:left w:val="nil"/>
              <w:bottom w:val="nil"/>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b/>
                <w:color w:val="000000"/>
                <w:lang w:eastAsia="lv-LV"/>
              </w:rPr>
            </w:pPr>
            <w:r w:rsidRPr="00D136C6">
              <w:rPr>
                <w:rFonts w:eastAsia="Times New Roman"/>
                <w:b/>
                <w:color w:val="000000"/>
                <w:lang w:eastAsia="lv-LV"/>
              </w:rPr>
              <w:t>-91%</w:t>
            </w:r>
          </w:p>
        </w:tc>
      </w:tr>
      <w:tr w:rsidR="00D136C6" w:rsidRPr="00D136C6" w:rsidTr="00D136C6">
        <w:trPr>
          <w:trHeight w:val="300"/>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D136C6" w:rsidRPr="00D136C6" w:rsidRDefault="00D136C6" w:rsidP="00D136C6">
            <w:pPr>
              <w:spacing w:after="0" w:line="240" w:lineRule="auto"/>
              <w:jc w:val="left"/>
              <w:rPr>
                <w:rFonts w:eastAsia="Times New Roman"/>
                <w:color w:val="000000"/>
                <w:lang w:eastAsia="lv-LV"/>
              </w:rPr>
            </w:pPr>
            <w:r w:rsidRPr="00D136C6">
              <w:rPr>
                <w:rFonts w:eastAsia="Times New Roman"/>
                <w:color w:val="000000"/>
                <w:lang w:eastAsia="lv-LV"/>
              </w:rPr>
              <w:t>Kiev=2.5</w:t>
            </w:r>
          </w:p>
        </w:tc>
        <w:tc>
          <w:tcPr>
            <w:tcW w:w="1404" w:type="dxa"/>
            <w:tcBorders>
              <w:top w:val="nil"/>
              <w:left w:val="nil"/>
              <w:bottom w:val="single" w:sz="4" w:space="0" w:color="auto"/>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-0.25%</w:t>
            </w:r>
          </w:p>
        </w:tc>
        <w:tc>
          <w:tcPr>
            <w:tcW w:w="1254" w:type="dxa"/>
            <w:tcBorders>
              <w:top w:val="nil"/>
              <w:left w:val="nil"/>
              <w:bottom w:val="single" w:sz="4" w:space="0" w:color="auto"/>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-11%</w:t>
            </w:r>
          </w:p>
        </w:tc>
        <w:tc>
          <w:tcPr>
            <w:tcW w:w="1254" w:type="dxa"/>
            <w:tcBorders>
              <w:top w:val="nil"/>
              <w:left w:val="nil"/>
              <w:bottom w:val="single" w:sz="4" w:space="0" w:color="auto"/>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-25%</w:t>
            </w:r>
          </w:p>
        </w:tc>
        <w:tc>
          <w:tcPr>
            <w:tcW w:w="1254" w:type="dxa"/>
            <w:tcBorders>
              <w:top w:val="nil"/>
              <w:left w:val="nil"/>
              <w:bottom w:val="single" w:sz="4" w:space="0" w:color="auto"/>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-41%</w:t>
            </w:r>
          </w:p>
        </w:tc>
        <w:tc>
          <w:tcPr>
            <w:tcW w:w="1254" w:type="dxa"/>
            <w:tcBorders>
              <w:top w:val="nil"/>
              <w:left w:val="nil"/>
              <w:bottom w:val="single" w:sz="4" w:space="0" w:color="auto"/>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-59%</w:t>
            </w:r>
          </w:p>
        </w:tc>
        <w:tc>
          <w:tcPr>
            <w:tcW w:w="1281" w:type="dxa"/>
            <w:tcBorders>
              <w:top w:val="nil"/>
              <w:left w:val="nil"/>
              <w:bottom w:val="single" w:sz="4" w:space="0" w:color="auto"/>
              <w:right w:val="single" w:sz="4" w:space="0" w:color="auto"/>
            </w:tcBorders>
            <w:shd w:val="clear" w:color="auto" w:fill="auto"/>
            <w:noWrap/>
            <w:vAlign w:val="bottom"/>
            <w:hideMark/>
          </w:tcPr>
          <w:p w:rsidR="00D136C6" w:rsidRPr="00D136C6" w:rsidRDefault="00D136C6" w:rsidP="00D136C6">
            <w:pPr>
              <w:spacing w:after="0" w:line="240" w:lineRule="auto"/>
              <w:jc w:val="center"/>
              <w:rPr>
                <w:rFonts w:eastAsia="Times New Roman"/>
                <w:color w:val="000000"/>
                <w:lang w:eastAsia="lv-LV"/>
              </w:rPr>
            </w:pPr>
            <w:r w:rsidRPr="00D136C6">
              <w:rPr>
                <w:rFonts w:eastAsia="Times New Roman"/>
                <w:color w:val="000000"/>
                <w:lang w:eastAsia="lv-LV"/>
              </w:rPr>
              <w:t>-81%</w:t>
            </w:r>
          </w:p>
        </w:tc>
      </w:tr>
    </w:tbl>
    <w:p w:rsidR="00607C68" w:rsidRPr="00607C68" w:rsidRDefault="00607C68" w:rsidP="00607C68">
      <w:pPr>
        <w:pStyle w:val="Caption"/>
      </w:pPr>
    </w:p>
    <w:p w:rsidR="006D3AB5" w:rsidRPr="00DB426E" w:rsidRDefault="006D3AB5" w:rsidP="00475128">
      <w:pPr>
        <w:pStyle w:val="Heading3"/>
        <w:numPr>
          <w:ilvl w:val="1"/>
          <w:numId w:val="4"/>
        </w:numPr>
      </w:pPr>
      <w:bookmarkStart w:id="101" w:name="_Toc358978706"/>
      <w:r w:rsidRPr="00DB426E">
        <w:t>Valsts sociālās apdrošināšanas obligātas iemaksu (VSAOI) un iedzīvotāju ienākuma nodokļa (IIN) atvieglojumi (2.variants)</w:t>
      </w:r>
      <w:bookmarkEnd w:id="98"/>
      <w:bookmarkEnd w:id="99"/>
      <w:bookmarkEnd w:id="100"/>
      <w:bookmarkEnd w:id="101"/>
    </w:p>
    <w:p w:rsidR="006D3AB5" w:rsidRPr="00DB426E" w:rsidRDefault="006D3AB5" w:rsidP="006D3AB5">
      <w:r w:rsidRPr="00DB426E">
        <w:t xml:space="preserve">Kā papildus iespēja nodokļu sloga samazināšanai, veicot zinātniskos </w:t>
      </w:r>
      <w:r w:rsidRPr="00097DBA">
        <w:t>pētījumus, tiek izmantota zinātniskajos pētījumos iesaistītā personāla darba algas nodokļu likmes pazemināšana (</w:t>
      </w:r>
      <w:r w:rsidR="00097DBA" w:rsidRPr="00097DBA">
        <w:t>3.</w:t>
      </w:r>
      <w:r w:rsidRPr="00097DBA">
        <w:t xml:space="preserve"> nodaļa).</w:t>
      </w:r>
      <w:r w:rsidRPr="00DB426E">
        <w:t xml:space="preserve"> </w:t>
      </w:r>
    </w:p>
    <w:p w:rsidR="006D3AB5" w:rsidRPr="00DB426E" w:rsidRDefault="006D3AB5" w:rsidP="006D3AB5">
      <w:r w:rsidRPr="00DB426E">
        <w:t>Šajā sadaļā tiek analizēta VSAOI un IIN likmes pazemināšana zinātniskajos pētījumos iesaistītajiem kā iespējamais atbalsta mehānisms P&amp;A izstrādnēm uzņēmumā.</w:t>
      </w:r>
    </w:p>
    <w:p w:rsidR="006D3AB5" w:rsidRPr="00DB426E" w:rsidRDefault="006D3AB5" w:rsidP="006D3AB5">
      <w:r w:rsidRPr="00DB426E">
        <w:t xml:space="preserve">Tiek modelētas šādas savstarpējās sakarības: </w:t>
      </w:r>
    </w:p>
    <w:p w:rsidR="006D3AB5" w:rsidRPr="00DB426E" w:rsidRDefault="006D3AB5" w:rsidP="00475128">
      <w:pPr>
        <w:pStyle w:val="ListParagraph"/>
        <w:numPr>
          <w:ilvl w:val="0"/>
          <w:numId w:val="17"/>
        </w:numPr>
        <w:suppressAutoHyphens w:val="0"/>
        <w:spacing w:before="120"/>
        <w:rPr>
          <w:lang w:val="lv-LV"/>
        </w:rPr>
      </w:pPr>
      <w:r w:rsidRPr="00DB426E">
        <w:rPr>
          <w:lang w:val="lv-LV"/>
        </w:rPr>
        <w:t>Darba algas nodokļu pazeminājumu nosaka izmaksu zinātniskajiem pētījumiem samazināšanās attiecībā pret inerces variantu;</w:t>
      </w:r>
    </w:p>
    <w:p w:rsidR="006D3AB5" w:rsidRPr="00DB426E" w:rsidRDefault="006D3AB5" w:rsidP="00475128">
      <w:pPr>
        <w:pStyle w:val="ListParagraph"/>
        <w:numPr>
          <w:ilvl w:val="0"/>
          <w:numId w:val="17"/>
        </w:numPr>
        <w:suppressAutoHyphens w:val="0"/>
        <w:spacing w:before="120"/>
        <w:rPr>
          <w:lang w:val="lv-LV"/>
        </w:rPr>
      </w:pPr>
      <w:r w:rsidRPr="00DB426E">
        <w:rPr>
          <w:lang w:val="lv-LV"/>
        </w:rPr>
        <w:t>Attiecīgi palielinās uzņēmuma ienākumi un proporcionāli pieaug uzņēmuma ienākuma nodoklis;</w:t>
      </w:r>
    </w:p>
    <w:p w:rsidR="006D3AB5" w:rsidRPr="00DB426E" w:rsidRDefault="006D3AB5" w:rsidP="00475128">
      <w:pPr>
        <w:pStyle w:val="ListParagraph"/>
        <w:numPr>
          <w:ilvl w:val="0"/>
          <w:numId w:val="17"/>
        </w:numPr>
        <w:suppressAutoHyphens w:val="0"/>
        <w:spacing w:before="120"/>
        <w:rPr>
          <w:lang w:val="lv-LV"/>
        </w:rPr>
      </w:pPr>
      <w:r w:rsidRPr="00DB426E">
        <w:rPr>
          <w:lang w:val="lv-LV"/>
        </w:rPr>
        <w:t>Kopējo nodokļu samazinājumu veido vairākas komponentes (VSAOI+IIN+UIE).</w:t>
      </w:r>
    </w:p>
    <w:p w:rsidR="006D3AB5" w:rsidRPr="00DB426E" w:rsidRDefault="006D3AB5" w:rsidP="006D3AB5">
      <w:pPr>
        <w:spacing w:before="240"/>
      </w:pPr>
      <w:r w:rsidRPr="00DB426E">
        <w:t>Bāzes samazinājums ir pieņemts 25% apmērā no esošajām VSAOI un IIN likmēm.</w:t>
      </w:r>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10</w:t>
      </w:r>
      <w:r w:rsidR="009B0188">
        <w:rPr>
          <w:noProof/>
        </w:rPr>
        <w:fldChar w:fldCharType="end"/>
      </w:r>
      <w:r w:rsidRPr="00DB426E">
        <w:t xml:space="preserve">.VSAOI un IIN likmes </w:t>
      </w:r>
    </w:p>
    <w:tbl>
      <w:tblPr>
        <w:tblW w:w="8364"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5387"/>
        <w:gridCol w:w="1488"/>
        <w:gridCol w:w="1489"/>
      </w:tblGrid>
      <w:tr w:rsidR="006D3AB5" w:rsidRPr="00DB426E" w:rsidTr="006D3AB5">
        <w:tc>
          <w:tcPr>
            <w:tcW w:w="5387" w:type="dxa"/>
            <w:shd w:val="clear" w:color="auto" w:fill="D9D9D9"/>
          </w:tcPr>
          <w:p w:rsidR="006D3AB5" w:rsidRPr="00DB426E" w:rsidRDefault="006D3AB5" w:rsidP="009B5CBF">
            <w:pPr>
              <w:spacing w:after="0"/>
            </w:pPr>
          </w:p>
        </w:tc>
        <w:tc>
          <w:tcPr>
            <w:tcW w:w="1488" w:type="dxa"/>
            <w:shd w:val="clear" w:color="auto" w:fill="D9D9D9"/>
            <w:vAlign w:val="center"/>
          </w:tcPr>
          <w:p w:rsidR="006D3AB5" w:rsidRPr="00DB426E" w:rsidRDefault="006D3AB5" w:rsidP="009B5CBF">
            <w:pPr>
              <w:spacing w:after="0"/>
              <w:jc w:val="center"/>
            </w:pPr>
            <w:r w:rsidRPr="00DB426E">
              <w:t>Spēkā esoš</w:t>
            </w:r>
            <w:r w:rsidR="009B5CBF" w:rsidRPr="00DB426E">
              <w:t>ā</w:t>
            </w:r>
            <w:r w:rsidRPr="00DB426E">
              <w:t xml:space="preserve"> likumdošana</w:t>
            </w:r>
          </w:p>
        </w:tc>
        <w:tc>
          <w:tcPr>
            <w:tcW w:w="1489" w:type="dxa"/>
            <w:shd w:val="clear" w:color="auto" w:fill="D9D9D9"/>
            <w:vAlign w:val="center"/>
          </w:tcPr>
          <w:p w:rsidR="006D3AB5" w:rsidRPr="00DB426E" w:rsidRDefault="006D3AB5" w:rsidP="009B5CBF">
            <w:pPr>
              <w:spacing w:after="0"/>
              <w:jc w:val="center"/>
            </w:pPr>
            <w:r w:rsidRPr="00DB426E">
              <w:t>Likmes samazinājums par 25%</w:t>
            </w:r>
          </w:p>
        </w:tc>
      </w:tr>
      <w:tr w:rsidR="006D3AB5" w:rsidRPr="00DB426E" w:rsidTr="006D3AB5">
        <w:tc>
          <w:tcPr>
            <w:tcW w:w="5387" w:type="dxa"/>
            <w:shd w:val="clear" w:color="auto" w:fill="auto"/>
          </w:tcPr>
          <w:p w:rsidR="006D3AB5" w:rsidRPr="00DB426E" w:rsidRDefault="006D3AB5" w:rsidP="009B5CBF">
            <w:pPr>
              <w:spacing w:after="0"/>
            </w:pPr>
            <w:r w:rsidRPr="00DB426E">
              <w:t>Iedzīvotāju ienākuma nodoklis (IIN) no darba algas</w:t>
            </w:r>
          </w:p>
        </w:tc>
        <w:tc>
          <w:tcPr>
            <w:tcW w:w="1488" w:type="dxa"/>
            <w:shd w:val="clear" w:color="auto" w:fill="auto"/>
          </w:tcPr>
          <w:p w:rsidR="006D3AB5" w:rsidRPr="00DB426E" w:rsidRDefault="006D3AB5" w:rsidP="009B5CBF">
            <w:pPr>
              <w:spacing w:after="0"/>
              <w:jc w:val="center"/>
            </w:pPr>
            <w:r w:rsidRPr="00DB426E">
              <w:t>24%</w:t>
            </w:r>
          </w:p>
        </w:tc>
        <w:tc>
          <w:tcPr>
            <w:tcW w:w="1489" w:type="dxa"/>
          </w:tcPr>
          <w:p w:rsidR="006D3AB5" w:rsidRPr="00DB426E" w:rsidRDefault="006D3AB5" w:rsidP="009B5CBF">
            <w:pPr>
              <w:spacing w:after="0"/>
              <w:jc w:val="center"/>
            </w:pPr>
            <w:r w:rsidRPr="00DB426E">
              <w:t>18%</w:t>
            </w:r>
          </w:p>
        </w:tc>
      </w:tr>
      <w:tr w:rsidR="006D3AB5" w:rsidRPr="00DB426E" w:rsidTr="006D3AB5">
        <w:tc>
          <w:tcPr>
            <w:tcW w:w="5387" w:type="dxa"/>
            <w:shd w:val="clear" w:color="auto" w:fill="auto"/>
          </w:tcPr>
          <w:p w:rsidR="006D3AB5" w:rsidRPr="00DB426E" w:rsidRDefault="006D3AB5" w:rsidP="009B5CBF">
            <w:pPr>
              <w:spacing w:after="0"/>
              <w:rPr>
                <w:rFonts w:ascii="Arial" w:hAnsi="Arial" w:cs="Arial"/>
                <w:color w:val="000000"/>
                <w:sz w:val="19"/>
                <w:szCs w:val="19"/>
              </w:rPr>
            </w:pPr>
            <w:r w:rsidRPr="00DB426E">
              <w:t xml:space="preserve">Valsts sociālās </w:t>
            </w:r>
            <w:r w:rsidRPr="00DB426E">
              <w:rPr>
                <w:rFonts w:ascii="Arial" w:hAnsi="Arial" w:cs="Arial"/>
                <w:color w:val="000000"/>
                <w:sz w:val="19"/>
                <w:szCs w:val="19"/>
              </w:rPr>
              <w:t>apdrošināšanas obligātās iemaksas (VSAOI)</w:t>
            </w:r>
          </w:p>
          <w:p w:rsidR="006D3AB5" w:rsidRPr="00DB426E" w:rsidRDefault="006D3AB5" w:rsidP="009B5CBF">
            <w:pPr>
              <w:spacing w:after="0"/>
              <w:jc w:val="right"/>
              <w:rPr>
                <w:rFonts w:ascii="Arial" w:hAnsi="Arial" w:cs="Arial"/>
                <w:color w:val="000000"/>
                <w:sz w:val="19"/>
                <w:szCs w:val="19"/>
              </w:rPr>
            </w:pPr>
            <w:r w:rsidRPr="00DB426E">
              <w:rPr>
                <w:rFonts w:ascii="Arial" w:hAnsi="Arial" w:cs="Arial"/>
                <w:color w:val="000000"/>
                <w:sz w:val="19"/>
                <w:szCs w:val="19"/>
              </w:rPr>
              <w:t>Darba devēja likmes daļa</w:t>
            </w:r>
          </w:p>
          <w:p w:rsidR="006D3AB5" w:rsidRPr="00DB426E" w:rsidRDefault="006D3AB5" w:rsidP="009B5CBF">
            <w:pPr>
              <w:spacing w:after="0"/>
              <w:jc w:val="right"/>
            </w:pPr>
            <w:r w:rsidRPr="00DB426E">
              <w:rPr>
                <w:rFonts w:ascii="Arial" w:hAnsi="Arial" w:cs="Arial"/>
                <w:color w:val="000000"/>
                <w:sz w:val="19"/>
                <w:szCs w:val="19"/>
              </w:rPr>
              <w:t>Darba ņēmēja likmes daļa</w:t>
            </w:r>
          </w:p>
        </w:tc>
        <w:tc>
          <w:tcPr>
            <w:tcW w:w="1488" w:type="dxa"/>
            <w:shd w:val="clear" w:color="auto" w:fill="auto"/>
          </w:tcPr>
          <w:p w:rsidR="006D3AB5" w:rsidRPr="00DB426E" w:rsidRDefault="006D3AB5" w:rsidP="009B5CBF">
            <w:pPr>
              <w:spacing w:after="0"/>
              <w:jc w:val="center"/>
            </w:pPr>
            <w:r w:rsidRPr="00DB426E">
              <w:t>35.09%</w:t>
            </w:r>
          </w:p>
          <w:p w:rsidR="006D3AB5" w:rsidRPr="00DB426E" w:rsidRDefault="006D3AB5" w:rsidP="009B5CBF">
            <w:pPr>
              <w:spacing w:after="0"/>
              <w:jc w:val="center"/>
            </w:pPr>
            <w:r w:rsidRPr="00DB426E">
              <w:t>24.09%</w:t>
            </w:r>
          </w:p>
          <w:p w:rsidR="006D3AB5" w:rsidRPr="00DB426E" w:rsidRDefault="006D3AB5" w:rsidP="009B5CBF">
            <w:pPr>
              <w:spacing w:after="0"/>
              <w:jc w:val="center"/>
            </w:pPr>
            <w:r w:rsidRPr="00DB426E">
              <w:t>11.00%</w:t>
            </w:r>
          </w:p>
        </w:tc>
        <w:tc>
          <w:tcPr>
            <w:tcW w:w="1489" w:type="dxa"/>
          </w:tcPr>
          <w:p w:rsidR="006D3AB5" w:rsidRPr="00DB426E" w:rsidRDefault="006D3AB5" w:rsidP="009B5CBF">
            <w:pPr>
              <w:spacing w:after="0"/>
              <w:jc w:val="center"/>
            </w:pPr>
            <w:r w:rsidRPr="00DB426E">
              <w:t>26.32%</w:t>
            </w:r>
          </w:p>
          <w:p w:rsidR="006D3AB5" w:rsidRPr="00DB426E" w:rsidRDefault="006D3AB5" w:rsidP="009B5CBF">
            <w:pPr>
              <w:spacing w:after="0"/>
              <w:jc w:val="center"/>
            </w:pPr>
            <w:r w:rsidRPr="00DB426E">
              <w:t>18.07%</w:t>
            </w:r>
          </w:p>
          <w:p w:rsidR="006D3AB5" w:rsidRPr="00DB426E" w:rsidRDefault="006D3AB5" w:rsidP="009B5CBF">
            <w:pPr>
              <w:spacing w:after="0"/>
              <w:jc w:val="center"/>
            </w:pPr>
            <w:r w:rsidRPr="00DB426E">
              <w:t>8.25%</w:t>
            </w:r>
          </w:p>
        </w:tc>
      </w:tr>
    </w:tbl>
    <w:p w:rsidR="006D3AB5" w:rsidRDefault="006D3AB5" w:rsidP="006D3AB5"/>
    <w:p w:rsidR="00D136C6" w:rsidRPr="00DB426E" w:rsidRDefault="00D136C6" w:rsidP="006D3AB5"/>
    <w:p w:rsidR="006D3AB5" w:rsidRPr="00DB426E" w:rsidRDefault="006D3AB5" w:rsidP="00475128">
      <w:pPr>
        <w:pStyle w:val="Heading3"/>
        <w:numPr>
          <w:ilvl w:val="2"/>
          <w:numId w:val="4"/>
        </w:numPr>
      </w:pPr>
      <w:bookmarkStart w:id="102" w:name="_Toc356472866"/>
      <w:bookmarkStart w:id="103" w:name="_Toc358978707"/>
      <w:r w:rsidRPr="00DB426E">
        <w:t>Lielie uzņēmumi</w:t>
      </w:r>
      <w:bookmarkEnd w:id="102"/>
      <w:bookmarkEnd w:id="103"/>
    </w:p>
    <w:p w:rsidR="006D3AB5" w:rsidRPr="00DB426E" w:rsidRDefault="006D3AB5" w:rsidP="006D3AB5">
      <w:r w:rsidRPr="00DB426E">
        <w:t>Tipveida uzņēmuma bāzes finanšu rādītāji:</w:t>
      </w:r>
    </w:p>
    <w:p w:rsidR="006D3AB5" w:rsidRPr="00DB426E" w:rsidRDefault="006D3AB5" w:rsidP="009B5CBF">
      <w:pPr>
        <w:pStyle w:val="ListParagraph"/>
        <w:rPr>
          <w:lang w:val="lv-LV"/>
        </w:rPr>
      </w:pPr>
      <w:r w:rsidRPr="00DB426E">
        <w:rPr>
          <w:lang w:val="lv-LV"/>
        </w:rPr>
        <w:t xml:space="preserve">NA = 62-69 milj. Ls, </w:t>
      </w:r>
    </w:p>
    <w:p w:rsidR="006D3AB5" w:rsidRPr="00DB426E" w:rsidRDefault="006D3AB5" w:rsidP="009B5CBF">
      <w:pPr>
        <w:pStyle w:val="ListParagraph"/>
        <w:rPr>
          <w:lang w:val="lv-LV"/>
        </w:rPr>
      </w:pPr>
      <w:r w:rsidRPr="00DB426E">
        <w:rPr>
          <w:lang w:val="lv-LV"/>
        </w:rPr>
        <w:t>Summārās izmaksas (ražošanas, pārdošanas, administratīvās) –78% no NA,</w:t>
      </w:r>
    </w:p>
    <w:p w:rsidR="006D3AB5" w:rsidRPr="00DB426E" w:rsidRDefault="006D3AB5" w:rsidP="009B5CBF">
      <w:pPr>
        <w:pStyle w:val="ListParagraph"/>
        <w:rPr>
          <w:lang w:val="lv-LV"/>
        </w:rPr>
      </w:pPr>
      <w:r w:rsidRPr="00DB426E">
        <w:rPr>
          <w:lang w:val="lv-LV"/>
        </w:rPr>
        <w:t>ZP izdevumi - 4.5% no NA.</w:t>
      </w:r>
    </w:p>
    <w:p w:rsidR="006D3AB5" w:rsidRPr="00DB426E" w:rsidRDefault="006D3AB5" w:rsidP="009B5CBF">
      <w:pPr>
        <w:spacing w:before="240"/>
      </w:pPr>
      <w:r w:rsidRPr="00DB426E">
        <w:t>Attīstības programmas realizācijai ik gadus tiek piešķirti 6.1-6.7 milj. latu, tai skaitā aptuveni 2.8-3.0 miljoni – zinātniskiem pētījumiem un 3.3-3.6 miljoni – to ieviešanai. Zinātnisko pētījumu izdevumu struktūra (attiecība starp darba algu un ieguldītajiem materiālajiem resursiem) ir atkarīga no uzņēmuma darbības veida. Aprēķinos pieņemts, ka personāla darba alga veido 80% no kopējām izmaksām.</w:t>
      </w:r>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11</w:t>
      </w:r>
      <w:r w:rsidR="009B0188">
        <w:rPr>
          <w:noProof/>
        </w:rPr>
        <w:fldChar w:fldCharType="end"/>
      </w:r>
      <w:r w:rsidRPr="00DB426E">
        <w:t>. Finanšu aprēķini. 2.variants (LIELIE uzņēmumi)</w:t>
      </w:r>
    </w:p>
    <w:p w:rsidR="006D3AB5" w:rsidRPr="00DB426E" w:rsidRDefault="006C3F27" w:rsidP="006D3AB5">
      <w:r>
        <w:rPr>
          <w:noProof/>
          <w:lang w:eastAsia="lv-LV"/>
        </w:rPr>
        <w:drawing>
          <wp:inline distT="0" distB="0" distL="0" distR="0" wp14:anchorId="11F14BB7" wp14:editId="70F25A75">
            <wp:extent cx="5273040" cy="873760"/>
            <wp:effectExtent l="1905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cstate="print"/>
                    <a:srcRect/>
                    <a:stretch>
                      <a:fillRect/>
                    </a:stretch>
                  </pic:blipFill>
                  <pic:spPr bwMode="auto">
                    <a:xfrm>
                      <a:off x="0" y="0"/>
                      <a:ext cx="5273040" cy="87376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1C853670" wp14:editId="3D862ACC">
            <wp:extent cx="5273040" cy="1300480"/>
            <wp:effectExtent l="1905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cstate="print"/>
                    <a:srcRect/>
                    <a:stretch>
                      <a:fillRect/>
                    </a:stretch>
                  </pic:blipFill>
                  <pic:spPr bwMode="auto">
                    <a:xfrm>
                      <a:off x="0" y="0"/>
                      <a:ext cx="5273040" cy="130048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5F24B238" wp14:editId="1DD5ED94">
            <wp:extent cx="5273040" cy="1463040"/>
            <wp:effectExtent l="1905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srcRect/>
                    <a:stretch>
                      <a:fillRect/>
                    </a:stretch>
                  </pic:blipFill>
                  <pic:spPr bwMode="auto">
                    <a:xfrm>
                      <a:off x="0" y="0"/>
                      <a:ext cx="5273040" cy="1463040"/>
                    </a:xfrm>
                    <a:prstGeom prst="rect">
                      <a:avLst/>
                    </a:prstGeom>
                    <a:noFill/>
                    <a:ln w="9525">
                      <a:noFill/>
                      <a:miter lim="800000"/>
                      <a:headEnd/>
                      <a:tailEnd/>
                    </a:ln>
                  </pic:spPr>
                </pic:pic>
              </a:graphicData>
            </a:graphic>
          </wp:inline>
        </w:drawing>
      </w:r>
    </w:p>
    <w:p w:rsidR="006D3AB5" w:rsidRDefault="006C3F27" w:rsidP="006D3AB5">
      <w:r>
        <w:rPr>
          <w:noProof/>
          <w:lang w:eastAsia="lv-LV"/>
        </w:rPr>
        <w:drawing>
          <wp:inline distT="0" distB="0" distL="0" distR="0" wp14:anchorId="33081B70" wp14:editId="591154E7">
            <wp:extent cx="5273040" cy="3627120"/>
            <wp:effectExtent l="1905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srcRect/>
                    <a:stretch>
                      <a:fillRect/>
                    </a:stretch>
                  </pic:blipFill>
                  <pic:spPr bwMode="auto">
                    <a:xfrm>
                      <a:off x="0" y="0"/>
                      <a:ext cx="5273040" cy="3627120"/>
                    </a:xfrm>
                    <a:prstGeom prst="rect">
                      <a:avLst/>
                    </a:prstGeom>
                    <a:noFill/>
                    <a:ln w="9525">
                      <a:noFill/>
                      <a:miter lim="800000"/>
                      <a:headEnd/>
                      <a:tailEnd/>
                    </a:ln>
                  </pic:spPr>
                </pic:pic>
              </a:graphicData>
            </a:graphic>
          </wp:inline>
        </w:drawing>
      </w:r>
    </w:p>
    <w:p w:rsidR="0083766B" w:rsidRPr="00DB426E" w:rsidRDefault="0083766B" w:rsidP="0083766B">
      <w:pPr>
        <w:spacing w:after="0" w:line="240" w:lineRule="auto"/>
      </w:pPr>
      <w:r w:rsidRPr="00A82D8E">
        <w:t xml:space="preserve">Aprēķini pilnā </w:t>
      </w:r>
      <w:r w:rsidR="00A82D8E" w:rsidRPr="00A82D8E">
        <w:t>apjomā ir</w:t>
      </w:r>
      <w:r w:rsidRPr="00A82D8E">
        <w:t xml:space="preserve"> pieejami elektroniski.</w:t>
      </w:r>
    </w:p>
    <w:p w:rsidR="006D3AB5" w:rsidRPr="00DB426E" w:rsidRDefault="006D3AB5" w:rsidP="00D5406C">
      <w:pPr>
        <w:spacing w:before="120" w:after="0"/>
      </w:pPr>
      <w:r w:rsidRPr="00DB426E">
        <w:t>Aprēķinos pieņemts, ka starpība no darba devēja VSAOI likmes samazinājuma paliek uzņēmuma rīcībā, starpība no darba ņēmēja VSAOI un IIN tiek izmantota zinātnisko darbinieku darba algas paaugstināšanai.</w:t>
      </w:r>
    </w:p>
    <w:p w:rsidR="006D3AB5" w:rsidRPr="00DB426E" w:rsidRDefault="006D3AB5" w:rsidP="00D5406C">
      <w:pPr>
        <w:spacing w:before="120" w:after="0"/>
      </w:pPr>
      <w:r w:rsidRPr="00DB426E">
        <w:t>Uzņēmumiem, kuru apgrozījums ir ap 65 milj. latu un izdevumi zinātniekiem pētījumiem ~4.5% apmērā no apgrozījuma, nodokļu likmju samazinājums par 25% ļauj ik gadus ieekonomēt 90-100 tūkst. latu. Ievērojama līdzekļu daļa (140-150 tūkst. latu) papildinās zinātnisko darbinieku darba algas fondu. Attiecīgi atvieglojumu ieviešanas rezultātā budžets ik gadus nesaņems 230-250 tūkst. latu.</w:t>
      </w:r>
    </w:p>
    <w:p w:rsidR="006D3AB5" w:rsidRPr="00DB426E" w:rsidRDefault="006D3AB5" w:rsidP="00D5406C">
      <w:pPr>
        <w:spacing w:before="120" w:after="0"/>
      </w:pPr>
      <w:r w:rsidRPr="00DB426E">
        <w:t>Būtisku ietekmi uz nodokļu samazinājumu rada zinātniskajiem pētījumiem atvēlēto līdzekļu apjoms (</w:t>
      </w:r>
      <w:r w:rsidR="00A57024">
        <w:fldChar w:fldCharType="begin"/>
      </w:r>
      <w:r w:rsidR="00A57024">
        <w:instrText xml:space="preserve"> REF _Ref354583668 \h  \* MERGEFORMAT </w:instrText>
      </w:r>
      <w:r w:rsidR="00A57024">
        <w:fldChar w:fldCharType="separate"/>
      </w:r>
      <w:r w:rsidR="00BA3CB7" w:rsidRPr="00DB426E">
        <w:t xml:space="preserve">Attēls </w:t>
      </w:r>
      <w:r w:rsidR="00BA3CB7">
        <w:t>6</w:t>
      </w:r>
      <w:r w:rsidR="00BA3CB7" w:rsidRPr="00DB426E">
        <w:noBreakHyphen/>
      </w:r>
      <w:r w:rsidR="00BA3CB7">
        <w:t>6</w:t>
      </w:r>
      <w:r w:rsidR="00A57024">
        <w:fldChar w:fldCharType="end"/>
      </w:r>
      <w:r w:rsidRPr="00DB426E">
        <w:t>).</w:t>
      </w:r>
    </w:p>
    <w:p w:rsidR="006D3AB5" w:rsidRPr="00DB426E" w:rsidRDefault="006D3AB5" w:rsidP="006D3AB5">
      <w:pPr>
        <w:pStyle w:val="Caption"/>
      </w:pPr>
      <w:bookmarkStart w:id="104" w:name="_Ref354583668"/>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6</w:t>
      </w:r>
      <w:r w:rsidR="009B0188">
        <w:rPr>
          <w:noProof/>
        </w:rPr>
        <w:fldChar w:fldCharType="end"/>
      </w:r>
      <w:bookmarkEnd w:id="104"/>
      <w:r w:rsidRPr="00DB426E">
        <w:t xml:space="preserve">. VSAOI, IIN, UIN maksājumu dinamika atkarībā no ZP izdevumiem (LIELIE uzņēmumi) </w:t>
      </w:r>
    </w:p>
    <w:tbl>
      <w:tblPr>
        <w:tblW w:w="9606" w:type="dxa"/>
        <w:tblInd w:w="-318" w:type="dxa"/>
        <w:tblLayout w:type="fixed"/>
        <w:tblLook w:val="04A0" w:firstRow="1" w:lastRow="0" w:firstColumn="1" w:lastColumn="0" w:noHBand="0" w:noVBand="1"/>
      </w:tblPr>
      <w:tblGrid>
        <w:gridCol w:w="4786"/>
        <w:gridCol w:w="4820"/>
      </w:tblGrid>
      <w:tr w:rsidR="006D3AB5" w:rsidRPr="00DB426E" w:rsidTr="006D3AB5">
        <w:tc>
          <w:tcPr>
            <w:tcW w:w="4786" w:type="dxa"/>
            <w:shd w:val="clear" w:color="auto" w:fill="auto"/>
          </w:tcPr>
          <w:p w:rsidR="006D3AB5" w:rsidRPr="00DB426E" w:rsidRDefault="006C3F27" w:rsidP="006D3AB5">
            <w:r>
              <w:rPr>
                <w:noProof/>
                <w:lang w:eastAsia="lv-LV"/>
              </w:rPr>
              <w:drawing>
                <wp:anchor distT="0" distB="0" distL="114300" distR="114300" simplePos="0" relativeHeight="9" behindDoc="0" locked="0" layoutInCell="1" allowOverlap="1" wp14:anchorId="08F30B1F" wp14:editId="6EFE58A2">
                  <wp:simplePos x="0" y="0"/>
                  <wp:positionH relativeFrom="character">
                    <wp:posOffset>0</wp:posOffset>
                  </wp:positionH>
                  <wp:positionV relativeFrom="line">
                    <wp:posOffset>0</wp:posOffset>
                  </wp:positionV>
                  <wp:extent cx="2895600" cy="1969135"/>
                  <wp:effectExtent l="19050" t="0" r="0" b="0"/>
                  <wp:wrapNone/>
                  <wp:docPr id="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srcRect/>
                          <a:stretch>
                            <a:fillRect/>
                          </a:stretch>
                        </pic:blipFill>
                        <pic:spPr bwMode="auto">
                          <a:xfrm>
                            <a:off x="0" y="0"/>
                            <a:ext cx="2895600" cy="1969135"/>
                          </a:xfrm>
                          <a:prstGeom prst="rect">
                            <a:avLst/>
                          </a:prstGeom>
                          <a:noFill/>
                        </pic:spPr>
                      </pic:pic>
                    </a:graphicData>
                  </a:graphic>
                </wp:anchor>
              </w:drawing>
            </w:r>
            <w:r w:rsidR="00655410">
              <w:rPr>
                <w:noProof/>
                <w:lang w:eastAsia="lv-LV"/>
              </w:rPr>
              <mc:AlternateContent>
                <mc:Choice Requires="wps">
                  <w:drawing>
                    <wp:inline distT="0" distB="0" distL="0" distR="0" wp14:anchorId="2E9B3DC8" wp14:editId="149DEFF6">
                      <wp:extent cx="2895600" cy="1971040"/>
                      <wp:effectExtent l="0" t="0" r="0" b="0"/>
                      <wp:docPr id="66"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95600" cy="197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228pt;height:1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" filled="f" stroked="f">
                      <o:lock v:ext="edit" aspectratio="t"/>
                      <w10:anchorlock/>
                    </v:rect>
                  </w:pict>
                </mc:Fallback>
              </mc:AlternateContent>
            </w:r>
          </w:p>
        </w:tc>
        <w:tc>
          <w:tcPr>
            <w:tcW w:w="4820" w:type="dxa"/>
            <w:shd w:val="clear" w:color="auto" w:fill="auto"/>
          </w:tcPr>
          <w:p w:rsidR="006D3AB5" w:rsidRPr="00DB426E" w:rsidRDefault="006C3F27" w:rsidP="006D3AB5">
            <w:r>
              <w:rPr>
                <w:noProof/>
                <w:lang w:eastAsia="lv-LV"/>
              </w:rPr>
              <w:drawing>
                <wp:anchor distT="0" distB="0" distL="114300" distR="114300" simplePos="0" relativeHeight="8" behindDoc="0" locked="0" layoutInCell="1" allowOverlap="1" wp14:anchorId="0A0B5CBA" wp14:editId="70F1136D">
                  <wp:simplePos x="0" y="0"/>
                  <wp:positionH relativeFrom="character">
                    <wp:posOffset>0</wp:posOffset>
                  </wp:positionH>
                  <wp:positionV relativeFrom="line">
                    <wp:posOffset>0</wp:posOffset>
                  </wp:positionV>
                  <wp:extent cx="2906395" cy="1966595"/>
                  <wp:effectExtent l="19050" t="0" r="8255" b="0"/>
                  <wp:wrapNone/>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srcRect/>
                          <a:stretch>
                            <a:fillRect/>
                          </a:stretch>
                        </pic:blipFill>
                        <pic:spPr bwMode="auto">
                          <a:xfrm>
                            <a:off x="0" y="0"/>
                            <a:ext cx="2906395" cy="1966595"/>
                          </a:xfrm>
                          <a:prstGeom prst="rect">
                            <a:avLst/>
                          </a:prstGeom>
                          <a:noFill/>
                        </pic:spPr>
                      </pic:pic>
                    </a:graphicData>
                  </a:graphic>
                </wp:anchor>
              </w:drawing>
            </w:r>
            <w:r w:rsidR="00655410">
              <w:rPr>
                <w:noProof/>
                <w:lang w:eastAsia="lv-LV"/>
              </w:rPr>
              <mc:AlternateContent>
                <mc:Choice Requires="wps">
                  <w:drawing>
                    <wp:inline distT="0" distB="0" distL="0" distR="0" wp14:anchorId="6B831DDA" wp14:editId="201D2B8F">
                      <wp:extent cx="2905760" cy="1971040"/>
                      <wp:effectExtent l="0" t="0" r="0" b="0"/>
                      <wp:docPr id="65"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05760" cy="197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228.8pt;height:1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" filled="f" stroked="f">
                      <o:lock v:ext="edit" aspectratio="t"/>
                      <w10:anchorlock/>
                    </v:rect>
                  </w:pict>
                </mc:Fallback>
              </mc:AlternateContent>
            </w:r>
          </w:p>
        </w:tc>
      </w:tr>
    </w:tbl>
    <w:p w:rsidR="006D3AB5" w:rsidRPr="00DB426E" w:rsidRDefault="006D3AB5" w:rsidP="006D3AB5">
      <w:pPr>
        <w:spacing w:before="240"/>
      </w:pPr>
      <w:r w:rsidRPr="00DB426E">
        <w:t>Proporcionāli VSAOI un IIN likmju samazinājumam samazinās arī šo nodokļu maksājumi, un nedaudz palielinās uzņēmuma ienākuma nodoklis.</w:t>
      </w:r>
    </w:p>
    <w:p w:rsidR="006D3AB5" w:rsidRPr="00DB426E" w:rsidRDefault="006D3AB5" w:rsidP="006D3AB5">
      <w:pPr>
        <w:pStyle w:val="Caption"/>
        <w:jc w:val="left"/>
      </w:pPr>
      <w:bookmarkStart w:id="105" w:name="_Ref354586398"/>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12</w:t>
      </w:r>
      <w:r w:rsidR="009B0188">
        <w:rPr>
          <w:noProof/>
        </w:rPr>
        <w:fldChar w:fldCharType="end"/>
      </w:r>
      <w:bookmarkEnd w:id="105"/>
      <w:r w:rsidRPr="00DB426E">
        <w:t xml:space="preserve">. Nodokļu maksājumu izmaiņas atkarībā no VSAOI un IIN likmju atvieglojumiem </w:t>
      </w:r>
    </w:p>
    <w:tbl>
      <w:tblPr>
        <w:tblW w:w="5000" w:type="pct"/>
        <w:tblLook w:val="04A0" w:firstRow="1" w:lastRow="0" w:firstColumn="1" w:lastColumn="0" w:noHBand="0" w:noVBand="1"/>
      </w:tblPr>
      <w:tblGrid>
        <w:gridCol w:w="1683"/>
        <w:gridCol w:w="991"/>
        <w:gridCol w:w="991"/>
        <w:gridCol w:w="991"/>
        <w:gridCol w:w="993"/>
        <w:gridCol w:w="993"/>
        <w:gridCol w:w="1001"/>
        <w:gridCol w:w="991"/>
        <w:gridCol w:w="987"/>
      </w:tblGrid>
      <w:tr w:rsidR="006D3AB5" w:rsidRPr="00DB426E" w:rsidTr="006D3AB5">
        <w:trPr>
          <w:trHeight w:val="300"/>
        </w:trPr>
        <w:tc>
          <w:tcPr>
            <w:tcW w:w="875" w:type="pct"/>
            <w:tcBorders>
              <w:top w:val="single" w:sz="4" w:space="0" w:color="auto"/>
              <w:left w:val="single" w:sz="4" w:space="0" w:color="auto"/>
              <w:bottom w:val="nil"/>
              <w:right w:val="double" w:sz="6" w:space="0" w:color="auto"/>
            </w:tcBorders>
            <w:shd w:val="clear" w:color="000000" w:fill="D9D9D9"/>
            <w:noWrap/>
            <w:vAlign w:val="bottom"/>
            <w:hideMark/>
          </w:tcPr>
          <w:p w:rsidR="006D3AB5" w:rsidRPr="00DB426E" w:rsidRDefault="006D3AB5" w:rsidP="009B5CBF">
            <w:pPr>
              <w:spacing w:after="0"/>
              <w:rPr>
                <w:sz w:val="20"/>
                <w:lang w:eastAsia="lv-LV"/>
              </w:rPr>
            </w:pPr>
            <w:bookmarkStart w:id="106" w:name="_Ref354327470"/>
            <w:r w:rsidRPr="00DB426E">
              <w:rPr>
                <w:sz w:val="20"/>
                <w:lang w:eastAsia="lv-LV"/>
              </w:rPr>
              <w:t> </w:t>
            </w:r>
          </w:p>
        </w:tc>
        <w:tc>
          <w:tcPr>
            <w:tcW w:w="4125" w:type="pct"/>
            <w:gridSpan w:val="8"/>
            <w:tcBorders>
              <w:top w:val="single" w:sz="4" w:space="0" w:color="auto"/>
              <w:left w:val="nil"/>
              <w:bottom w:val="nil"/>
              <w:right w:val="single" w:sz="4" w:space="0" w:color="auto"/>
            </w:tcBorders>
            <w:shd w:val="clear" w:color="000000" w:fill="D9D9D9"/>
            <w:noWrap/>
            <w:vAlign w:val="center"/>
            <w:hideMark/>
          </w:tcPr>
          <w:p w:rsidR="006D3AB5" w:rsidRPr="00DB426E" w:rsidRDefault="006D3AB5" w:rsidP="009B5CBF">
            <w:pPr>
              <w:spacing w:after="0"/>
              <w:jc w:val="center"/>
              <w:rPr>
                <w:sz w:val="20"/>
                <w:lang w:eastAsia="lv-LV"/>
              </w:rPr>
            </w:pPr>
            <w:bookmarkStart w:id="107" w:name="_Toc355007922"/>
            <w:bookmarkStart w:id="108" w:name="_Toc355008085"/>
            <w:r w:rsidRPr="00DB426E">
              <w:rPr>
                <w:b/>
                <w:bCs/>
                <w:sz w:val="20"/>
                <w:lang w:eastAsia="lv-LV"/>
              </w:rPr>
              <w:t>VSAOI, IIN likmju atvieglojumi</w:t>
            </w:r>
            <w:bookmarkEnd w:id="107"/>
            <w:bookmarkEnd w:id="108"/>
          </w:p>
        </w:tc>
      </w:tr>
      <w:tr w:rsidR="006D3AB5" w:rsidRPr="00DB426E" w:rsidTr="006D3AB5">
        <w:trPr>
          <w:trHeight w:val="315"/>
        </w:trPr>
        <w:tc>
          <w:tcPr>
            <w:tcW w:w="875" w:type="pct"/>
            <w:tcBorders>
              <w:top w:val="nil"/>
              <w:left w:val="single" w:sz="4" w:space="0" w:color="auto"/>
              <w:bottom w:val="double" w:sz="6" w:space="0" w:color="auto"/>
              <w:right w:val="double" w:sz="6" w:space="0" w:color="auto"/>
            </w:tcBorders>
            <w:shd w:val="clear" w:color="000000" w:fill="D9D9D9"/>
            <w:noWrap/>
            <w:vAlign w:val="bottom"/>
            <w:hideMark/>
          </w:tcPr>
          <w:p w:rsidR="006D3AB5" w:rsidRPr="00DB426E" w:rsidRDefault="006D3AB5" w:rsidP="009B5CBF">
            <w:pPr>
              <w:spacing w:after="0"/>
              <w:rPr>
                <w:sz w:val="20"/>
                <w:lang w:eastAsia="lv-LV"/>
              </w:rPr>
            </w:pPr>
            <w:r w:rsidRPr="00DB426E">
              <w:rPr>
                <w:sz w:val="20"/>
                <w:lang w:eastAsia="lv-LV"/>
              </w:rPr>
              <w:t> </w:t>
            </w:r>
          </w:p>
        </w:tc>
        <w:tc>
          <w:tcPr>
            <w:tcW w:w="515"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sz w:val="20"/>
                <w:lang w:eastAsia="lv-LV"/>
              </w:rPr>
            </w:pPr>
            <w:bookmarkStart w:id="109" w:name="_Toc355007923"/>
            <w:bookmarkStart w:id="110" w:name="_Toc355008086"/>
            <w:r w:rsidRPr="00DB426E">
              <w:rPr>
                <w:sz w:val="20"/>
                <w:lang w:eastAsia="lv-LV"/>
              </w:rPr>
              <w:t>20%</w:t>
            </w:r>
            <w:bookmarkEnd w:id="109"/>
            <w:bookmarkEnd w:id="110"/>
          </w:p>
        </w:tc>
        <w:tc>
          <w:tcPr>
            <w:tcW w:w="515"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b/>
                <w:bCs/>
                <w:sz w:val="20"/>
                <w:lang w:eastAsia="lv-LV"/>
              </w:rPr>
            </w:pPr>
            <w:bookmarkStart w:id="111" w:name="_Toc355007924"/>
            <w:bookmarkStart w:id="112" w:name="_Toc355008087"/>
            <w:r w:rsidRPr="00DB426E">
              <w:rPr>
                <w:b/>
                <w:bCs/>
                <w:sz w:val="20"/>
                <w:lang w:eastAsia="lv-LV"/>
              </w:rPr>
              <w:t>25%</w:t>
            </w:r>
            <w:bookmarkEnd w:id="111"/>
            <w:bookmarkEnd w:id="112"/>
          </w:p>
        </w:tc>
        <w:tc>
          <w:tcPr>
            <w:tcW w:w="515"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sz w:val="20"/>
                <w:lang w:eastAsia="lv-LV"/>
              </w:rPr>
            </w:pPr>
            <w:bookmarkStart w:id="113" w:name="_Toc355007925"/>
            <w:bookmarkStart w:id="114" w:name="_Toc355008088"/>
            <w:r w:rsidRPr="00DB426E">
              <w:rPr>
                <w:sz w:val="20"/>
                <w:lang w:eastAsia="lv-LV"/>
              </w:rPr>
              <w:t>30%</w:t>
            </w:r>
            <w:bookmarkEnd w:id="113"/>
            <w:bookmarkEnd w:id="114"/>
          </w:p>
        </w:tc>
        <w:tc>
          <w:tcPr>
            <w:tcW w:w="516"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sz w:val="20"/>
                <w:lang w:eastAsia="lv-LV"/>
              </w:rPr>
            </w:pPr>
            <w:bookmarkStart w:id="115" w:name="_Toc355007926"/>
            <w:bookmarkStart w:id="116" w:name="_Toc355008089"/>
            <w:r w:rsidRPr="00DB426E">
              <w:rPr>
                <w:sz w:val="20"/>
                <w:lang w:eastAsia="lv-LV"/>
              </w:rPr>
              <w:t>35%</w:t>
            </w:r>
            <w:bookmarkEnd w:id="115"/>
            <w:bookmarkEnd w:id="116"/>
          </w:p>
        </w:tc>
        <w:tc>
          <w:tcPr>
            <w:tcW w:w="516"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sz w:val="20"/>
                <w:lang w:eastAsia="lv-LV"/>
              </w:rPr>
            </w:pPr>
            <w:bookmarkStart w:id="117" w:name="_Toc355007927"/>
            <w:bookmarkStart w:id="118" w:name="_Toc355008090"/>
            <w:r w:rsidRPr="00DB426E">
              <w:rPr>
                <w:sz w:val="20"/>
                <w:lang w:eastAsia="lv-LV"/>
              </w:rPr>
              <w:t>40%</w:t>
            </w:r>
            <w:bookmarkEnd w:id="117"/>
            <w:bookmarkEnd w:id="118"/>
          </w:p>
        </w:tc>
        <w:tc>
          <w:tcPr>
            <w:tcW w:w="520"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sz w:val="20"/>
                <w:lang w:eastAsia="lv-LV"/>
              </w:rPr>
            </w:pPr>
            <w:bookmarkStart w:id="119" w:name="_Toc355007928"/>
            <w:bookmarkStart w:id="120" w:name="_Toc355008091"/>
            <w:r w:rsidRPr="00DB426E">
              <w:rPr>
                <w:sz w:val="20"/>
                <w:lang w:eastAsia="lv-LV"/>
              </w:rPr>
              <w:t>45%</w:t>
            </w:r>
            <w:bookmarkEnd w:id="119"/>
            <w:bookmarkEnd w:id="120"/>
          </w:p>
        </w:tc>
        <w:tc>
          <w:tcPr>
            <w:tcW w:w="515"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sz w:val="20"/>
                <w:lang w:eastAsia="lv-LV"/>
              </w:rPr>
            </w:pPr>
            <w:bookmarkStart w:id="121" w:name="_Toc355007929"/>
            <w:bookmarkStart w:id="122" w:name="_Toc355008092"/>
            <w:r w:rsidRPr="00DB426E">
              <w:rPr>
                <w:sz w:val="20"/>
                <w:lang w:eastAsia="lv-LV"/>
              </w:rPr>
              <w:t>50%</w:t>
            </w:r>
            <w:bookmarkEnd w:id="121"/>
            <w:bookmarkEnd w:id="122"/>
          </w:p>
        </w:tc>
        <w:tc>
          <w:tcPr>
            <w:tcW w:w="515" w:type="pct"/>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rPr>
                <w:sz w:val="20"/>
                <w:lang w:eastAsia="lv-LV"/>
              </w:rPr>
            </w:pPr>
            <w:bookmarkStart w:id="123" w:name="_Toc355007930"/>
            <w:bookmarkStart w:id="124" w:name="_Toc355008093"/>
            <w:r w:rsidRPr="00DB426E">
              <w:rPr>
                <w:sz w:val="20"/>
                <w:lang w:eastAsia="lv-LV"/>
              </w:rPr>
              <w:t>55%</w:t>
            </w:r>
            <w:bookmarkEnd w:id="123"/>
            <w:bookmarkEnd w:id="124"/>
          </w:p>
        </w:tc>
      </w:tr>
      <w:tr w:rsidR="006D3AB5" w:rsidRPr="00DB426E" w:rsidTr="006D3AB5">
        <w:trPr>
          <w:trHeight w:val="315"/>
        </w:trPr>
        <w:tc>
          <w:tcPr>
            <w:tcW w:w="875" w:type="pct"/>
            <w:tcBorders>
              <w:top w:val="nil"/>
              <w:left w:val="single" w:sz="4" w:space="0" w:color="auto"/>
              <w:bottom w:val="nil"/>
              <w:right w:val="double" w:sz="6" w:space="0" w:color="auto"/>
            </w:tcBorders>
            <w:shd w:val="clear" w:color="auto" w:fill="auto"/>
            <w:noWrap/>
            <w:vAlign w:val="bottom"/>
            <w:hideMark/>
          </w:tcPr>
          <w:p w:rsidR="006D3AB5" w:rsidRPr="00DB426E" w:rsidRDefault="006D3AB5" w:rsidP="009B5CBF">
            <w:pPr>
              <w:spacing w:after="0"/>
              <w:rPr>
                <w:b/>
                <w:bCs/>
                <w:sz w:val="20"/>
                <w:lang w:eastAsia="lv-LV"/>
              </w:rPr>
            </w:pPr>
            <w:bookmarkStart w:id="125" w:name="_Toc355007931"/>
            <w:bookmarkStart w:id="126" w:name="_Toc355008094"/>
            <w:r w:rsidRPr="00DB426E">
              <w:rPr>
                <w:b/>
                <w:bCs/>
                <w:sz w:val="20"/>
                <w:lang w:eastAsia="lv-LV"/>
              </w:rPr>
              <w:t>VSAOI+IIN</w:t>
            </w:r>
            <w:bookmarkEnd w:id="125"/>
            <w:bookmarkEnd w:id="126"/>
            <w:r w:rsidRPr="00DB426E">
              <w:rPr>
                <w:b/>
                <w:bCs/>
                <w:sz w:val="20"/>
                <w:lang w:eastAsia="lv-LV"/>
              </w:rPr>
              <w:t xml:space="preserve"> </w:t>
            </w:r>
          </w:p>
        </w:tc>
        <w:tc>
          <w:tcPr>
            <w:tcW w:w="515"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27" w:name="_Toc355007932"/>
            <w:bookmarkStart w:id="128" w:name="_Toc355008095"/>
            <w:r w:rsidRPr="00DB426E">
              <w:rPr>
                <w:sz w:val="20"/>
              </w:rPr>
              <w:t>-19.25%</w:t>
            </w:r>
            <w:bookmarkEnd w:id="127"/>
            <w:bookmarkEnd w:id="128"/>
          </w:p>
        </w:tc>
        <w:tc>
          <w:tcPr>
            <w:tcW w:w="515"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29" w:name="_Toc355007933"/>
            <w:bookmarkStart w:id="130" w:name="_Toc355008096"/>
            <w:r w:rsidRPr="00DB426E">
              <w:rPr>
                <w:sz w:val="20"/>
              </w:rPr>
              <w:t>-24.12%</w:t>
            </w:r>
            <w:bookmarkEnd w:id="129"/>
            <w:bookmarkEnd w:id="130"/>
          </w:p>
        </w:tc>
        <w:tc>
          <w:tcPr>
            <w:tcW w:w="515"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31" w:name="_Toc355007934"/>
            <w:bookmarkStart w:id="132" w:name="_Toc355008097"/>
            <w:r w:rsidRPr="00DB426E">
              <w:rPr>
                <w:sz w:val="20"/>
              </w:rPr>
              <w:t>-29.02%</w:t>
            </w:r>
            <w:bookmarkEnd w:id="131"/>
            <w:bookmarkEnd w:id="132"/>
          </w:p>
        </w:tc>
        <w:tc>
          <w:tcPr>
            <w:tcW w:w="516"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33" w:name="_Toc355007935"/>
            <w:bookmarkStart w:id="134" w:name="_Toc355008098"/>
            <w:r w:rsidRPr="00DB426E">
              <w:rPr>
                <w:sz w:val="20"/>
              </w:rPr>
              <w:t>-33.94%</w:t>
            </w:r>
            <w:bookmarkEnd w:id="133"/>
            <w:bookmarkEnd w:id="134"/>
          </w:p>
        </w:tc>
        <w:tc>
          <w:tcPr>
            <w:tcW w:w="516"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35" w:name="_Toc355007936"/>
            <w:bookmarkStart w:id="136" w:name="_Toc355008099"/>
            <w:r w:rsidRPr="00DB426E">
              <w:rPr>
                <w:sz w:val="20"/>
              </w:rPr>
              <w:t>-38.88%</w:t>
            </w:r>
            <w:bookmarkEnd w:id="135"/>
            <w:bookmarkEnd w:id="136"/>
          </w:p>
        </w:tc>
        <w:tc>
          <w:tcPr>
            <w:tcW w:w="520"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37" w:name="_Toc355007937"/>
            <w:bookmarkStart w:id="138" w:name="_Toc355008100"/>
            <w:r w:rsidRPr="00DB426E">
              <w:rPr>
                <w:sz w:val="20"/>
              </w:rPr>
              <w:t>-43.84%</w:t>
            </w:r>
            <w:bookmarkEnd w:id="137"/>
            <w:bookmarkEnd w:id="138"/>
          </w:p>
        </w:tc>
        <w:tc>
          <w:tcPr>
            <w:tcW w:w="515"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39" w:name="_Toc355007938"/>
            <w:bookmarkStart w:id="140" w:name="_Toc355008101"/>
            <w:r w:rsidRPr="00DB426E">
              <w:rPr>
                <w:sz w:val="20"/>
              </w:rPr>
              <w:t>-48.83%</w:t>
            </w:r>
            <w:bookmarkEnd w:id="139"/>
            <w:bookmarkEnd w:id="140"/>
          </w:p>
        </w:tc>
        <w:tc>
          <w:tcPr>
            <w:tcW w:w="515" w:type="pct"/>
            <w:tcBorders>
              <w:top w:val="nil"/>
              <w:left w:val="nil"/>
              <w:bottom w:val="nil"/>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41" w:name="_Toc355007939"/>
            <w:bookmarkStart w:id="142" w:name="_Toc355008102"/>
            <w:r w:rsidRPr="00DB426E">
              <w:rPr>
                <w:sz w:val="20"/>
              </w:rPr>
              <w:t>-53.84%</w:t>
            </w:r>
            <w:bookmarkEnd w:id="141"/>
            <w:bookmarkEnd w:id="142"/>
          </w:p>
        </w:tc>
      </w:tr>
      <w:tr w:rsidR="006D3AB5" w:rsidRPr="00DB426E" w:rsidTr="006D3AB5">
        <w:trPr>
          <w:trHeight w:val="300"/>
        </w:trPr>
        <w:tc>
          <w:tcPr>
            <w:tcW w:w="875" w:type="pct"/>
            <w:tcBorders>
              <w:top w:val="nil"/>
              <w:left w:val="single" w:sz="4" w:space="0" w:color="auto"/>
              <w:bottom w:val="single" w:sz="4" w:space="0" w:color="auto"/>
              <w:right w:val="double" w:sz="6" w:space="0" w:color="auto"/>
            </w:tcBorders>
            <w:shd w:val="clear" w:color="auto" w:fill="auto"/>
            <w:noWrap/>
            <w:vAlign w:val="bottom"/>
            <w:hideMark/>
          </w:tcPr>
          <w:p w:rsidR="006D3AB5" w:rsidRPr="00DB426E" w:rsidRDefault="006D3AB5" w:rsidP="009B5CBF">
            <w:pPr>
              <w:spacing w:after="0"/>
              <w:rPr>
                <w:b/>
                <w:bCs/>
                <w:sz w:val="20"/>
                <w:lang w:eastAsia="lv-LV"/>
              </w:rPr>
            </w:pPr>
            <w:bookmarkStart w:id="143" w:name="_Toc355007940"/>
            <w:bookmarkStart w:id="144" w:name="_Toc355008103"/>
            <w:r w:rsidRPr="00DB426E">
              <w:rPr>
                <w:b/>
                <w:bCs/>
                <w:sz w:val="20"/>
                <w:lang w:eastAsia="lv-LV"/>
              </w:rPr>
              <w:t>UIN</w:t>
            </w:r>
            <w:bookmarkEnd w:id="143"/>
            <w:bookmarkEnd w:id="144"/>
            <w:r w:rsidRPr="00DB426E">
              <w:rPr>
                <w:b/>
                <w:bCs/>
                <w:sz w:val="20"/>
                <w:lang w:eastAsia="lv-LV"/>
              </w:rPr>
              <w:t xml:space="preserve"> </w:t>
            </w:r>
          </w:p>
        </w:tc>
        <w:tc>
          <w:tcPr>
            <w:tcW w:w="515"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45" w:name="_Toc355007941"/>
            <w:bookmarkStart w:id="146" w:name="_Toc355008104"/>
            <w:r w:rsidRPr="00DB426E">
              <w:rPr>
                <w:sz w:val="20"/>
              </w:rPr>
              <w:t>0.70%</w:t>
            </w:r>
            <w:bookmarkEnd w:id="145"/>
            <w:bookmarkEnd w:id="146"/>
          </w:p>
        </w:tc>
        <w:tc>
          <w:tcPr>
            <w:tcW w:w="515"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47" w:name="_Toc355007942"/>
            <w:bookmarkStart w:id="148" w:name="_Toc355008105"/>
            <w:r w:rsidRPr="00DB426E">
              <w:rPr>
                <w:sz w:val="20"/>
              </w:rPr>
              <w:t>0.90%</w:t>
            </w:r>
            <w:bookmarkEnd w:id="147"/>
            <w:bookmarkEnd w:id="148"/>
          </w:p>
        </w:tc>
        <w:tc>
          <w:tcPr>
            <w:tcW w:w="515"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49" w:name="_Toc355007943"/>
            <w:bookmarkStart w:id="150" w:name="_Toc355008106"/>
            <w:r w:rsidRPr="00DB426E">
              <w:rPr>
                <w:sz w:val="20"/>
              </w:rPr>
              <w:t>1.10%</w:t>
            </w:r>
            <w:bookmarkEnd w:id="149"/>
            <w:bookmarkEnd w:id="150"/>
          </w:p>
        </w:tc>
        <w:tc>
          <w:tcPr>
            <w:tcW w:w="516"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51" w:name="_Toc355007944"/>
            <w:bookmarkStart w:id="152" w:name="_Toc355008107"/>
            <w:r w:rsidRPr="00DB426E">
              <w:rPr>
                <w:sz w:val="20"/>
              </w:rPr>
              <w:t>1.30%</w:t>
            </w:r>
            <w:bookmarkEnd w:id="151"/>
            <w:bookmarkEnd w:id="152"/>
          </w:p>
        </w:tc>
        <w:tc>
          <w:tcPr>
            <w:tcW w:w="516"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53" w:name="_Toc355007945"/>
            <w:bookmarkStart w:id="154" w:name="_Toc355008108"/>
            <w:r w:rsidRPr="00DB426E">
              <w:rPr>
                <w:sz w:val="20"/>
              </w:rPr>
              <w:t>1.40%</w:t>
            </w:r>
            <w:bookmarkEnd w:id="153"/>
            <w:bookmarkEnd w:id="154"/>
          </w:p>
        </w:tc>
        <w:tc>
          <w:tcPr>
            <w:tcW w:w="520"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55" w:name="_Toc355007946"/>
            <w:bookmarkStart w:id="156" w:name="_Toc355008109"/>
            <w:r w:rsidRPr="00DB426E">
              <w:rPr>
                <w:sz w:val="20"/>
              </w:rPr>
              <w:t>1.60%</w:t>
            </w:r>
            <w:bookmarkEnd w:id="155"/>
            <w:bookmarkEnd w:id="156"/>
          </w:p>
        </w:tc>
        <w:tc>
          <w:tcPr>
            <w:tcW w:w="515"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57" w:name="_Toc355007947"/>
            <w:bookmarkStart w:id="158" w:name="_Toc355008110"/>
            <w:r w:rsidRPr="00DB426E">
              <w:rPr>
                <w:sz w:val="20"/>
              </w:rPr>
              <w:t>1.80%</w:t>
            </w:r>
            <w:bookmarkEnd w:id="157"/>
            <w:bookmarkEnd w:id="158"/>
          </w:p>
        </w:tc>
        <w:tc>
          <w:tcPr>
            <w:tcW w:w="515" w:type="pct"/>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jc w:val="center"/>
              <w:rPr>
                <w:sz w:val="20"/>
              </w:rPr>
            </w:pPr>
            <w:bookmarkStart w:id="159" w:name="_Toc355007948"/>
            <w:bookmarkStart w:id="160" w:name="_Toc355008111"/>
            <w:r w:rsidRPr="00DB426E">
              <w:rPr>
                <w:sz w:val="20"/>
              </w:rPr>
              <w:t>2.00%</w:t>
            </w:r>
            <w:bookmarkEnd w:id="159"/>
            <w:bookmarkEnd w:id="160"/>
          </w:p>
        </w:tc>
      </w:tr>
    </w:tbl>
    <w:p w:rsidR="006D3AB5" w:rsidRPr="00DB426E" w:rsidRDefault="006D3AB5" w:rsidP="006D3AB5">
      <w:pPr>
        <w:pStyle w:val="Caption"/>
      </w:pPr>
      <w:bookmarkStart w:id="161" w:name="_Ref354586380"/>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7</w:t>
      </w:r>
      <w:r w:rsidR="009B0188">
        <w:rPr>
          <w:noProof/>
        </w:rPr>
        <w:fldChar w:fldCharType="end"/>
      </w:r>
      <w:bookmarkEnd w:id="161"/>
      <w:r w:rsidRPr="00DB426E">
        <w:t>. Nodokļu maksājumu izmaiņas atkarībā no VSAOI un IIN likmju atvieglojumiem (LIELIE uzņēmumi)</w:t>
      </w:r>
    </w:p>
    <w:p w:rsidR="006D3AB5" w:rsidRPr="00DB426E" w:rsidRDefault="006C3F27" w:rsidP="006D3AB5">
      <w:pPr>
        <w:jc w:val="center"/>
      </w:pPr>
      <w:r>
        <w:rPr>
          <w:noProof/>
          <w:lang w:eastAsia="lv-LV"/>
        </w:rPr>
        <w:drawing>
          <wp:inline distT="0" distB="0" distL="0" distR="0" wp14:anchorId="1A1CCE11" wp14:editId="5E1A0FBB">
            <wp:extent cx="4569974" cy="2741176"/>
            <wp:effectExtent l="6093" t="6092" r="6093" b="6092"/>
            <wp:docPr id="44" name="Picture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D3AB5" w:rsidRPr="00DB426E" w:rsidRDefault="006D3AB5" w:rsidP="006D3AB5">
      <w:pPr>
        <w:jc w:val="center"/>
      </w:pPr>
    </w:p>
    <w:p w:rsidR="006D3AB5" w:rsidRPr="00DB426E" w:rsidRDefault="006D3AB5" w:rsidP="006D3AB5">
      <w:pPr>
        <w:jc w:val="center"/>
      </w:pPr>
    </w:p>
    <w:p w:rsidR="006D3AB5" w:rsidRPr="00DB426E" w:rsidRDefault="006D3AB5" w:rsidP="00475128">
      <w:pPr>
        <w:pStyle w:val="Heading3"/>
        <w:numPr>
          <w:ilvl w:val="2"/>
          <w:numId w:val="4"/>
        </w:numPr>
      </w:pPr>
      <w:bookmarkStart w:id="162" w:name="_Toc356472867"/>
      <w:bookmarkStart w:id="163" w:name="_Toc358978708"/>
      <w:bookmarkEnd w:id="106"/>
      <w:r w:rsidRPr="00DB426E">
        <w:t>Vidējie uzņēmumi</w:t>
      </w:r>
      <w:bookmarkEnd w:id="162"/>
      <w:bookmarkEnd w:id="163"/>
    </w:p>
    <w:p w:rsidR="006D3AB5" w:rsidRPr="00DB426E" w:rsidRDefault="006D3AB5" w:rsidP="006D3AB5">
      <w:r w:rsidRPr="00DB426E">
        <w:t xml:space="preserve">Vidējā segmenta uzņēmuma bāzes rādītāji: </w:t>
      </w:r>
    </w:p>
    <w:p w:rsidR="006D3AB5" w:rsidRPr="00DB426E" w:rsidRDefault="006D3AB5" w:rsidP="009B5CBF">
      <w:pPr>
        <w:pStyle w:val="ListParagraph"/>
        <w:rPr>
          <w:lang w:val="lv-LV"/>
        </w:rPr>
      </w:pPr>
      <w:r w:rsidRPr="00DB426E">
        <w:rPr>
          <w:lang w:val="lv-LV"/>
        </w:rPr>
        <w:t xml:space="preserve">NA = 22-27 milj. Ls, </w:t>
      </w:r>
    </w:p>
    <w:p w:rsidR="006D3AB5" w:rsidRPr="00DB426E" w:rsidRDefault="006D3AB5" w:rsidP="009B5CBF">
      <w:pPr>
        <w:pStyle w:val="ListParagraph"/>
        <w:rPr>
          <w:lang w:val="lv-LV"/>
        </w:rPr>
      </w:pPr>
      <w:r w:rsidRPr="00DB426E">
        <w:rPr>
          <w:lang w:val="lv-LV"/>
        </w:rPr>
        <w:t>Summārās izmaksas (ražošanas, pārdošanas, administratīvās) – 93% no NA,</w:t>
      </w:r>
    </w:p>
    <w:p w:rsidR="006D3AB5" w:rsidRPr="00DB426E" w:rsidRDefault="006D3AB5" w:rsidP="009B5CBF">
      <w:pPr>
        <w:pStyle w:val="ListParagraph"/>
        <w:rPr>
          <w:lang w:val="lv-LV"/>
        </w:rPr>
      </w:pPr>
      <w:r w:rsidRPr="00DB426E">
        <w:rPr>
          <w:lang w:val="lv-LV"/>
        </w:rPr>
        <w:t>ZP izdevumi – 0.3% no NA</w:t>
      </w:r>
    </w:p>
    <w:p w:rsidR="006D3AB5" w:rsidRDefault="006D3AB5" w:rsidP="006D3AB5">
      <w:r w:rsidRPr="00DB426E">
        <w:t>Vidējās zinātnisko pētījumu izmaksas, kas aprēķinātas, neņemot vērā atvieglojumus, veido 68-82 tūkst. latu gadā. Ja darba algas īpatsvars ir 80%, un VSAOI un IIN likmes tiek samazinātas par 25%, ZP izdevumu samazinājums ir 2-3 tūkst. latu, salīdzinot ar inerces variantu (</w:t>
      </w:r>
      <w:r w:rsidR="00B00167">
        <w:fldChar w:fldCharType="begin"/>
      </w:r>
      <w:r w:rsidR="00B00167">
        <w:instrText xml:space="preserve"> REF _Ref354658039 \h </w:instrText>
      </w:r>
      <w:r w:rsidR="00B00167">
        <w:fldChar w:fldCharType="separate"/>
      </w:r>
      <w:r w:rsidR="00B00167" w:rsidRPr="00DB426E">
        <w:t xml:space="preserve">Tabula </w:t>
      </w:r>
      <w:r w:rsidR="00B00167">
        <w:rPr>
          <w:noProof/>
        </w:rPr>
        <w:t>6</w:t>
      </w:r>
      <w:r w:rsidR="00B00167">
        <w:noBreakHyphen/>
      </w:r>
      <w:r w:rsidR="00B00167">
        <w:rPr>
          <w:noProof/>
        </w:rPr>
        <w:t>13</w:t>
      </w:r>
      <w:r w:rsidR="00B00167">
        <w:fldChar w:fldCharType="end"/>
      </w:r>
      <w:r w:rsidRPr="00DB426E">
        <w:t xml:space="preserve">). Arī budžeta ieņēmumu (VSAOI, IIN, UIN) samazinājums ir nenozīmīgs – 6-7 tūkst latu. Pieaugot zinātnisko pētījumu izmaksām, atvieglojumu ietekme ir daudz jūtamāka. </w:t>
      </w:r>
    </w:p>
    <w:p w:rsidR="001D5ABA" w:rsidRPr="00DB426E" w:rsidRDefault="001D5ABA" w:rsidP="006D3AB5"/>
    <w:p w:rsidR="006D3AB5" w:rsidRPr="00DB426E" w:rsidRDefault="006D3AB5" w:rsidP="006D3AB5">
      <w:pPr>
        <w:pStyle w:val="Caption"/>
      </w:pPr>
      <w:bookmarkStart w:id="164" w:name="_Ref354658141"/>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8</w:t>
      </w:r>
      <w:r w:rsidR="009B0188">
        <w:rPr>
          <w:noProof/>
        </w:rPr>
        <w:fldChar w:fldCharType="end"/>
      </w:r>
      <w:bookmarkEnd w:id="164"/>
      <w:r w:rsidRPr="00DB426E">
        <w:t>.Nodokļu izmaiņas atkarībā no ZP izdevumu lieluma (VIDĒJIE uzņēmumi)</w:t>
      </w:r>
    </w:p>
    <w:p w:rsidR="006D3AB5" w:rsidRPr="00DB426E" w:rsidRDefault="006C3F27" w:rsidP="006D3AB5">
      <w:pPr>
        <w:jc w:val="center"/>
      </w:pPr>
      <w:r>
        <w:rPr>
          <w:noProof/>
          <w:lang w:eastAsia="lv-LV"/>
        </w:rPr>
        <w:drawing>
          <wp:inline distT="0" distB="0" distL="0" distR="0" wp14:anchorId="28DA638F" wp14:editId="5D2A2AA2">
            <wp:extent cx="4438244" cy="2508530"/>
            <wp:effectExtent l="5918" t="5575" r="5918" b="5575"/>
            <wp:docPr id="45" name="Picture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6D3AB5" w:rsidRPr="00DB426E" w:rsidRDefault="006D3AB5" w:rsidP="006D3AB5">
      <w:pPr>
        <w:pStyle w:val="Caption"/>
        <w:jc w:val="left"/>
      </w:pPr>
      <w:bookmarkStart w:id="165" w:name="_Ref354658039"/>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w:instrText>
      </w:r>
      <w:r w:rsidR="009B0188">
        <w:instrText xml:space="preserve">C \s 1 </w:instrText>
      </w:r>
      <w:r w:rsidR="009B0188">
        <w:fldChar w:fldCharType="separate"/>
      </w:r>
      <w:r w:rsidR="00BE6FC8">
        <w:rPr>
          <w:noProof/>
        </w:rPr>
        <w:t>13</w:t>
      </w:r>
      <w:r w:rsidR="009B0188">
        <w:rPr>
          <w:noProof/>
        </w:rPr>
        <w:fldChar w:fldCharType="end"/>
      </w:r>
      <w:bookmarkEnd w:id="165"/>
      <w:r w:rsidRPr="00DB426E">
        <w:t>. Finanšu aprēķini. 2.variants (VIDĒJIE uzņēmumi)</w:t>
      </w:r>
    </w:p>
    <w:p w:rsidR="006D3AB5" w:rsidRPr="00DB426E" w:rsidRDefault="006C3F27" w:rsidP="006D3AB5">
      <w:r>
        <w:rPr>
          <w:noProof/>
          <w:lang w:eastAsia="lv-LV"/>
        </w:rPr>
        <w:drawing>
          <wp:inline distT="0" distB="0" distL="0" distR="0" wp14:anchorId="35B25FD8" wp14:editId="1713B6E4">
            <wp:extent cx="5273040" cy="2286000"/>
            <wp:effectExtent l="1905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cstate="print"/>
                    <a:srcRect/>
                    <a:stretch>
                      <a:fillRect/>
                    </a:stretch>
                  </pic:blipFill>
                  <pic:spPr bwMode="auto">
                    <a:xfrm>
                      <a:off x="0" y="0"/>
                      <a:ext cx="5273040" cy="228600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6A5BFF00" wp14:editId="6652895A">
            <wp:extent cx="5273040" cy="1463040"/>
            <wp:effectExtent l="1905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cstate="print"/>
                    <a:srcRect/>
                    <a:stretch>
                      <a:fillRect/>
                    </a:stretch>
                  </pic:blipFill>
                  <pic:spPr bwMode="auto">
                    <a:xfrm>
                      <a:off x="0" y="0"/>
                      <a:ext cx="5273040" cy="146304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076C202F" wp14:editId="5A1B606C">
            <wp:extent cx="5273040" cy="3647440"/>
            <wp:effectExtent l="1905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cstate="print"/>
                    <a:srcRect/>
                    <a:stretch>
                      <a:fillRect/>
                    </a:stretch>
                  </pic:blipFill>
                  <pic:spPr bwMode="auto">
                    <a:xfrm>
                      <a:off x="0" y="0"/>
                      <a:ext cx="5273040" cy="3647440"/>
                    </a:xfrm>
                    <a:prstGeom prst="rect">
                      <a:avLst/>
                    </a:prstGeom>
                    <a:noFill/>
                    <a:ln w="9525">
                      <a:noFill/>
                      <a:miter lim="800000"/>
                      <a:headEnd/>
                      <a:tailEnd/>
                    </a:ln>
                  </pic:spPr>
                </pic:pic>
              </a:graphicData>
            </a:graphic>
          </wp:inline>
        </w:drawing>
      </w:r>
    </w:p>
    <w:p w:rsidR="00794D82" w:rsidRPr="00DB426E" w:rsidRDefault="00794D82" w:rsidP="00794D82">
      <w:pPr>
        <w:spacing w:after="0"/>
      </w:pPr>
      <w:r w:rsidRPr="00211A36">
        <w:t xml:space="preserve">Aprēķini pilnā </w:t>
      </w:r>
      <w:r w:rsidR="00211A36" w:rsidRPr="00211A36">
        <w:t xml:space="preserve">apjomā ir </w:t>
      </w:r>
      <w:r w:rsidRPr="00211A36">
        <w:t>pieejami elektroniski.</w:t>
      </w:r>
    </w:p>
    <w:p w:rsidR="00794D82" w:rsidRDefault="00794D82" w:rsidP="006D3AB5"/>
    <w:p w:rsidR="006D3AB5" w:rsidRPr="00DB426E" w:rsidRDefault="006D3AB5" w:rsidP="006D3AB5">
      <w:r w:rsidRPr="00DB426E">
        <w:t>Ņemot vērā to, ka vidējo uzņēmumu segmentā zinātnisko pētījumu izdevumi nepārsniedz 0.5% no apgrozījuma, VSAOI un IIN atvieglojuma likmes var palielināt.</w:t>
      </w:r>
    </w:p>
    <w:p w:rsidR="006D3AB5" w:rsidRPr="00DB426E" w:rsidRDefault="006D3AB5" w:rsidP="006D3AB5">
      <w:r w:rsidRPr="00DB426E">
        <w:t>Pieturoties pie pieļaujamā nodokļu maksājumu samazinājuma 50% robežās, tiek lēsts maksimālais nodokļu likmju samazinājuma koeficients 50% apmērā (</w:t>
      </w:r>
      <w:r w:rsidR="001D5ABA">
        <w:fldChar w:fldCharType="begin"/>
      </w:r>
      <w:r w:rsidR="001D5ABA">
        <w:instrText xml:space="preserve"> REF _Ref358803439 \h </w:instrText>
      </w:r>
      <w:r w:rsidR="001D5ABA">
        <w:fldChar w:fldCharType="separate"/>
      </w:r>
      <w:r w:rsidR="001D5ABA" w:rsidRPr="00DB426E">
        <w:t xml:space="preserve">Tabula </w:t>
      </w:r>
      <w:r w:rsidR="001D5ABA">
        <w:rPr>
          <w:noProof/>
        </w:rPr>
        <w:t>6</w:t>
      </w:r>
      <w:r w:rsidR="001D5ABA">
        <w:noBreakHyphen/>
      </w:r>
      <w:r w:rsidR="001D5ABA">
        <w:rPr>
          <w:noProof/>
        </w:rPr>
        <w:t>14</w:t>
      </w:r>
      <w:r w:rsidR="001D5ABA">
        <w:fldChar w:fldCharType="end"/>
      </w:r>
      <w:r w:rsidRPr="00DB426E">
        <w:t>).</w:t>
      </w:r>
    </w:p>
    <w:p w:rsidR="001D5ABA" w:rsidRDefault="001D5ABA" w:rsidP="006D3AB5">
      <w:pPr>
        <w:pStyle w:val="Caption"/>
        <w:jc w:val="left"/>
      </w:pPr>
      <w:bookmarkStart w:id="166" w:name="_Ref354658647"/>
    </w:p>
    <w:p w:rsidR="006D3AB5" w:rsidRPr="00DB426E" w:rsidRDefault="006D3AB5" w:rsidP="006D3AB5">
      <w:pPr>
        <w:pStyle w:val="Caption"/>
        <w:jc w:val="left"/>
      </w:pPr>
      <w:bookmarkStart w:id="167" w:name="_Ref358803439"/>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14</w:t>
      </w:r>
      <w:r w:rsidR="009B0188">
        <w:rPr>
          <w:noProof/>
        </w:rPr>
        <w:fldChar w:fldCharType="end"/>
      </w:r>
      <w:bookmarkEnd w:id="166"/>
      <w:bookmarkEnd w:id="167"/>
      <w:r w:rsidRPr="00DB426E">
        <w:t>.Nodokļu maksājumu izmaiņas atkarībā no VSAOI un IIN likmju samazinājuma (VIDĒJIE uzņēmumi)</w:t>
      </w:r>
    </w:p>
    <w:tbl>
      <w:tblPr>
        <w:tblW w:w="8755" w:type="dxa"/>
        <w:tblLayout w:type="fixed"/>
        <w:tblLook w:val="04A0" w:firstRow="1" w:lastRow="0" w:firstColumn="1" w:lastColumn="0" w:noHBand="0" w:noVBand="1"/>
      </w:tblPr>
      <w:tblGrid>
        <w:gridCol w:w="1951"/>
        <w:gridCol w:w="851"/>
        <w:gridCol w:w="850"/>
        <w:gridCol w:w="851"/>
        <w:gridCol w:w="850"/>
        <w:gridCol w:w="851"/>
        <w:gridCol w:w="850"/>
        <w:gridCol w:w="851"/>
        <w:gridCol w:w="850"/>
      </w:tblGrid>
      <w:tr w:rsidR="006D3AB5" w:rsidRPr="00DB426E" w:rsidTr="006D3AB5">
        <w:trPr>
          <w:trHeight w:val="300"/>
        </w:trPr>
        <w:tc>
          <w:tcPr>
            <w:tcW w:w="1951" w:type="dxa"/>
            <w:vMerge w:val="restart"/>
            <w:tcBorders>
              <w:top w:val="single" w:sz="4" w:space="0" w:color="auto"/>
              <w:left w:val="single" w:sz="4" w:space="0" w:color="auto"/>
              <w:right w:val="single" w:sz="4" w:space="0" w:color="auto"/>
            </w:tcBorders>
            <w:shd w:val="clear" w:color="000000" w:fill="D9D9D9"/>
            <w:noWrap/>
            <w:vAlign w:val="center"/>
            <w:hideMark/>
          </w:tcPr>
          <w:p w:rsidR="006D3AB5" w:rsidRPr="00DB426E" w:rsidRDefault="006D3AB5" w:rsidP="009B5CBF">
            <w:pPr>
              <w:spacing w:after="0"/>
              <w:jc w:val="center"/>
              <w:rPr>
                <w:b/>
                <w:lang w:eastAsia="lv-LV"/>
              </w:rPr>
            </w:pPr>
            <w:bookmarkStart w:id="168" w:name="_Toc355007949"/>
            <w:bookmarkStart w:id="169" w:name="_Toc355008112"/>
            <w:r w:rsidRPr="00DB426E">
              <w:rPr>
                <w:b/>
                <w:lang w:eastAsia="lv-LV"/>
              </w:rPr>
              <w:t>Nodokļu</w:t>
            </w:r>
            <w:bookmarkStart w:id="170" w:name="_Toc355007950"/>
            <w:bookmarkStart w:id="171" w:name="_Toc355008113"/>
            <w:bookmarkEnd w:id="168"/>
            <w:bookmarkEnd w:id="169"/>
            <w:r w:rsidRPr="00DB426E">
              <w:rPr>
                <w:b/>
                <w:lang w:eastAsia="lv-LV"/>
              </w:rPr>
              <w:t xml:space="preserve"> samazinājums(-), palielinājums(+)</w:t>
            </w:r>
            <w:bookmarkEnd w:id="170"/>
            <w:bookmarkEnd w:id="171"/>
          </w:p>
        </w:tc>
        <w:tc>
          <w:tcPr>
            <w:tcW w:w="6804" w:type="dxa"/>
            <w:gridSpan w:val="8"/>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72" w:name="_Toc355007951"/>
            <w:bookmarkStart w:id="173" w:name="_Toc355008114"/>
            <w:r w:rsidRPr="00DB426E">
              <w:rPr>
                <w:b/>
                <w:lang w:eastAsia="lv-LV"/>
              </w:rPr>
              <w:t>VSAOI, IIN likmju atvieglojumi</w:t>
            </w:r>
            <w:bookmarkEnd w:id="172"/>
            <w:bookmarkEnd w:id="173"/>
          </w:p>
        </w:tc>
      </w:tr>
      <w:tr w:rsidR="006D3AB5" w:rsidRPr="00DB426E" w:rsidTr="006D3AB5">
        <w:trPr>
          <w:trHeight w:val="661"/>
        </w:trPr>
        <w:tc>
          <w:tcPr>
            <w:tcW w:w="1951" w:type="dxa"/>
            <w:vMerge/>
            <w:tcBorders>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p>
        </w:tc>
        <w:tc>
          <w:tcPr>
            <w:tcW w:w="851" w:type="dxa"/>
            <w:tcBorders>
              <w:top w:val="nil"/>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74" w:name="_Toc355007952"/>
            <w:bookmarkStart w:id="175" w:name="_Toc355008115"/>
            <w:r w:rsidRPr="00DB426E">
              <w:rPr>
                <w:b/>
                <w:lang w:eastAsia="lv-LV"/>
              </w:rPr>
              <w:t>20%</w:t>
            </w:r>
            <w:bookmarkEnd w:id="174"/>
            <w:bookmarkEnd w:id="175"/>
          </w:p>
        </w:tc>
        <w:tc>
          <w:tcPr>
            <w:tcW w:w="850"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76" w:name="_Toc355007953"/>
            <w:bookmarkStart w:id="177" w:name="_Toc355008116"/>
            <w:r w:rsidRPr="00DB426E">
              <w:rPr>
                <w:b/>
                <w:lang w:eastAsia="lv-LV"/>
              </w:rPr>
              <w:t>25%</w:t>
            </w:r>
            <w:bookmarkEnd w:id="176"/>
            <w:bookmarkEnd w:id="177"/>
          </w:p>
        </w:tc>
        <w:tc>
          <w:tcPr>
            <w:tcW w:w="851"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78" w:name="_Toc355007954"/>
            <w:bookmarkStart w:id="179" w:name="_Toc355008117"/>
            <w:r w:rsidRPr="00DB426E">
              <w:rPr>
                <w:b/>
                <w:lang w:eastAsia="lv-LV"/>
              </w:rPr>
              <w:t>30%</w:t>
            </w:r>
            <w:bookmarkEnd w:id="178"/>
            <w:bookmarkEnd w:id="179"/>
          </w:p>
        </w:tc>
        <w:tc>
          <w:tcPr>
            <w:tcW w:w="850"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80" w:name="_Toc355007955"/>
            <w:bookmarkStart w:id="181" w:name="_Toc355008118"/>
            <w:r w:rsidRPr="00DB426E">
              <w:rPr>
                <w:b/>
                <w:lang w:eastAsia="lv-LV"/>
              </w:rPr>
              <w:t>35%</w:t>
            </w:r>
            <w:bookmarkEnd w:id="180"/>
            <w:bookmarkEnd w:id="181"/>
          </w:p>
        </w:tc>
        <w:tc>
          <w:tcPr>
            <w:tcW w:w="851"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82" w:name="_Toc355007956"/>
            <w:bookmarkStart w:id="183" w:name="_Toc355008119"/>
            <w:r w:rsidRPr="00DB426E">
              <w:rPr>
                <w:b/>
                <w:lang w:eastAsia="lv-LV"/>
              </w:rPr>
              <w:t>40%</w:t>
            </w:r>
            <w:bookmarkEnd w:id="182"/>
            <w:bookmarkEnd w:id="183"/>
          </w:p>
        </w:tc>
        <w:tc>
          <w:tcPr>
            <w:tcW w:w="850"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84" w:name="_Toc355007957"/>
            <w:bookmarkStart w:id="185" w:name="_Toc355008120"/>
            <w:r w:rsidRPr="00DB426E">
              <w:rPr>
                <w:b/>
                <w:lang w:eastAsia="lv-LV"/>
              </w:rPr>
              <w:t>45%</w:t>
            </w:r>
            <w:bookmarkEnd w:id="184"/>
            <w:bookmarkEnd w:id="185"/>
          </w:p>
        </w:tc>
        <w:tc>
          <w:tcPr>
            <w:tcW w:w="851"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86" w:name="_Toc355007958"/>
            <w:bookmarkStart w:id="187" w:name="_Toc355008121"/>
            <w:r w:rsidRPr="00DB426E">
              <w:rPr>
                <w:b/>
                <w:lang w:eastAsia="lv-LV"/>
              </w:rPr>
              <w:t>50%</w:t>
            </w:r>
            <w:bookmarkEnd w:id="186"/>
            <w:bookmarkEnd w:id="187"/>
          </w:p>
        </w:tc>
        <w:tc>
          <w:tcPr>
            <w:tcW w:w="850"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0"/>
              <w:jc w:val="center"/>
              <w:rPr>
                <w:b/>
                <w:lang w:eastAsia="lv-LV"/>
              </w:rPr>
            </w:pPr>
            <w:bookmarkStart w:id="188" w:name="_Toc355007959"/>
            <w:bookmarkStart w:id="189" w:name="_Toc355008122"/>
            <w:r w:rsidRPr="00DB426E">
              <w:rPr>
                <w:b/>
                <w:lang w:eastAsia="lv-LV"/>
              </w:rPr>
              <w:t>55%</w:t>
            </w:r>
            <w:bookmarkEnd w:id="188"/>
            <w:bookmarkEnd w:id="189"/>
          </w:p>
        </w:tc>
      </w:tr>
      <w:tr w:rsidR="006D3AB5" w:rsidRPr="00DB426E" w:rsidTr="006D3AB5">
        <w:trPr>
          <w:trHeight w:val="315"/>
        </w:trPr>
        <w:tc>
          <w:tcPr>
            <w:tcW w:w="1951" w:type="dxa"/>
            <w:tcBorders>
              <w:top w:val="nil"/>
              <w:left w:val="single" w:sz="4" w:space="0" w:color="auto"/>
              <w:right w:val="nil"/>
            </w:tcBorders>
            <w:shd w:val="clear" w:color="auto" w:fill="auto"/>
            <w:noWrap/>
            <w:vAlign w:val="bottom"/>
            <w:hideMark/>
          </w:tcPr>
          <w:p w:rsidR="006D3AB5" w:rsidRPr="00DB426E" w:rsidRDefault="006D3AB5" w:rsidP="009B5CBF">
            <w:pPr>
              <w:spacing w:after="0"/>
              <w:rPr>
                <w:rFonts w:eastAsia="Times New Roman"/>
                <w:bCs/>
                <w:lang w:eastAsia="lv-LV"/>
              </w:rPr>
            </w:pPr>
            <w:bookmarkStart w:id="190" w:name="_Toc355007960"/>
            <w:bookmarkStart w:id="191" w:name="_Toc355008123"/>
            <w:r w:rsidRPr="00DB426E">
              <w:rPr>
                <w:rFonts w:eastAsia="Times New Roman"/>
                <w:bCs/>
                <w:lang w:eastAsia="lv-LV"/>
              </w:rPr>
              <w:t>VSAOI+IIN</w:t>
            </w:r>
            <w:bookmarkEnd w:id="190"/>
            <w:bookmarkEnd w:id="191"/>
            <w:r w:rsidRPr="00DB426E">
              <w:rPr>
                <w:rFonts w:eastAsia="Times New Roman"/>
                <w:bCs/>
                <w:lang w:eastAsia="lv-LV"/>
              </w:rPr>
              <w:t xml:space="preserve"> </w:t>
            </w:r>
          </w:p>
        </w:tc>
        <w:tc>
          <w:tcPr>
            <w:tcW w:w="851" w:type="dxa"/>
            <w:tcBorders>
              <w:top w:val="nil"/>
              <w:left w:val="single" w:sz="4" w:space="0" w:color="auto"/>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192" w:name="_Toc355007961"/>
            <w:bookmarkStart w:id="193" w:name="_Toc355008124"/>
            <w:r w:rsidRPr="00DB426E">
              <w:rPr>
                <w:rFonts w:eastAsia="Times New Roman"/>
                <w:lang w:eastAsia="lv-LV"/>
              </w:rPr>
              <w:t>-19.3%</w:t>
            </w:r>
            <w:bookmarkEnd w:id="192"/>
            <w:bookmarkEnd w:id="193"/>
          </w:p>
        </w:tc>
        <w:tc>
          <w:tcPr>
            <w:tcW w:w="850" w:type="dxa"/>
            <w:tcBorders>
              <w:top w:val="nil"/>
              <w:left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194" w:name="_Toc355007962"/>
            <w:bookmarkStart w:id="195" w:name="_Toc355008125"/>
            <w:r w:rsidRPr="00DB426E">
              <w:rPr>
                <w:rFonts w:eastAsia="Times New Roman"/>
                <w:lang w:eastAsia="lv-LV"/>
              </w:rPr>
              <w:t>-24.1%</w:t>
            </w:r>
            <w:bookmarkEnd w:id="194"/>
            <w:bookmarkEnd w:id="195"/>
          </w:p>
        </w:tc>
        <w:tc>
          <w:tcPr>
            <w:tcW w:w="851" w:type="dxa"/>
            <w:tcBorders>
              <w:top w:val="nil"/>
              <w:left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196" w:name="_Toc355007963"/>
            <w:bookmarkStart w:id="197" w:name="_Toc355008126"/>
            <w:r w:rsidRPr="00DB426E">
              <w:rPr>
                <w:rFonts w:eastAsia="Times New Roman"/>
                <w:lang w:eastAsia="lv-LV"/>
              </w:rPr>
              <w:t>-29.0%</w:t>
            </w:r>
            <w:bookmarkEnd w:id="196"/>
            <w:bookmarkEnd w:id="197"/>
          </w:p>
        </w:tc>
        <w:tc>
          <w:tcPr>
            <w:tcW w:w="850" w:type="dxa"/>
            <w:tcBorders>
              <w:top w:val="nil"/>
              <w:left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198" w:name="_Toc355007964"/>
            <w:bookmarkStart w:id="199" w:name="_Toc355008127"/>
            <w:r w:rsidRPr="00DB426E">
              <w:rPr>
                <w:rFonts w:eastAsia="Times New Roman"/>
                <w:lang w:eastAsia="lv-LV"/>
              </w:rPr>
              <w:t>-33.9%</w:t>
            </w:r>
            <w:bookmarkEnd w:id="198"/>
            <w:bookmarkEnd w:id="199"/>
          </w:p>
        </w:tc>
        <w:tc>
          <w:tcPr>
            <w:tcW w:w="851" w:type="dxa"/>
            <w:tcBorders>
              <w:top w:val="nil"/>
              <w:left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200" w:name="_Toc355007965"/>
            <w:bookmarkStart w:id="201" w:name="_Toc355008128"/>
            <w:r w:rsidRPr="00DB426E">
              <w:rPr>
                <w:rFonts w:eastAsia="Times New Roman"/>
                <w:lang w:eastAsia="lv-LV"/>
              </w:rPr>
              <w:t>-38.9%</w:t>
            </w:r>
            <w:bookmarkEnd w:id="200"/>
            <w:bookmarkEnd w:id="201"/>
          </w:p>
        </w:tc>
        <w:tc>
          <w:tcPr>
            <w:tcW w:w="850" w:type="dxa"/>
            <w:tcBorders>
              <w:top w:val="nil"/>
              <w:left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202" w:name="_Toc355007966"/>
            <w:bookmarkStart w:id="203" w:name="_Toc355008129"/>
            <w:r w:rsidRPr="00DB426E">
              <w:rPr>
                <w:rFonts w:eastAsia="Times New Roman"/>
                <w:lang w:eastAsia="lv-LV"/>
              </w:rPr>
              <w:t>-43.8%</w:t>
            </w:r>
            <w:bookmarkEnd w:id="202"/>
            <w:bookmarkEnd w:id="203"/>
          </w:p>
        </w:tc>
        <w:tc>
          <w:tcPr>
            <w:tcW w:w="851" w:type="dxa"/>
            <w:tcBorders>
              <w:top w:val="nil"/>
              <w:left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204" w:name="_Toc355007967"/>
            <w:bookmarkStart w:id="205" w:name="_Toc355008130"/>
            <w:r w:rsidRPr="00DB426E">
              <w:rPr>
                <w:rFonts w:eastAsia="Times New Roman"/>
                <w:lang w:eastAsia="lv-LV"/>
              </w:rPr>
              <w:t>-48.8%</w:t>
            </w:r>
            <w:bookmarkEnd w:id="204"/>
            <w:bookmarkEnd w:id="205"/>
          </w:p>
        </w:tc>
        <w:tc>
          <w:tcPr>
            <w:tcW w:w="850" w:type="dxa"/>
            <w:tcBorders>
              <w:top w:val="nil"/>
              <w:left w:val="nil"/>
              <w:right w:val="single" w:sz="4" w:space="0" w:color="auto"/>
            </w:tcBorders>
            <w:shd w:val="clear" w:color="auto" w:fill="auto"/>
            <w:noWrap/>
            <w:vAlign w:val="bottom"/>
            <w:hideMark/>
          </w:tcPr>
          <w:p w:rsidR="006D3AB5" w:rsidRPr="00DB426E" w:rsidRDefault="006D3AB5" w:rsidP="009B5CBF">
            <w:pPr>
              <w:spacing w:after="0"/>
              <w:rPr>
                <w:rFonts w:eastAsia="Times New Roman"/>
                <w:lang w:eastAsia="lv-LV"/>
              </w:rPr>
            </w:pPr>
            <w:bookmarkStart w:id="206" w:name="_Toc355007968"/>
            <w:bookmarkStart w:id="207" w:name="_Toc355008131"/>
            <w:r w:rsidRPr="00DB426E">
              <w:rPr>
                <w:rFonts w:eastAsia="Times New Roman"/>
                <w:lang w:eastAsia="lv-LV"/>
              </w:rPr>
              <w:t>-53.8%</w:t>
            </w:r>
            <w:bookmarkEnd w:id="206"/>
            <w:bookmarkEnd w:id="207"/>
          </w:p>
        </w:tc>
      </w:tr>
      <w:tr w:rsidR="006D3AB5" w:rsidRPr="00DB426E" w:rsidTr="006D3AB5">
        <w:trPr>
          <w:trHeight w:val="300"/>
        </w:trPr>
        <w:tc>
          <w:tcPr>
            <w:tcW w:w="1951" w:type="dxa"/>
            <w:tcBorders>
              <w:top w:val="nil"/>
              <w:left w:val="single" w:sz="4" w:space="0" w:color="auto"/>
              <w:bottom w:val="single" w:sz="4" w:space="0" w:color="auto"/>
              <w:right w:val="nil"/>
            </w:tcBorders>
            <w:shd w:val="clear" w:color="auto" w:fill="auto"/>
            <w:noWrap/>
            <w:vAlign w:val="bottom"/>
            <w:hideMark/>
          </w:tcPr>
          <w:p w:rsidR="006D3AB5" w:rsidRPr="00DB426E" w:rsidRDefault="006D3AB5" w:rsidP="009B5CBF">
            <w:pPr>
              <w:spacing w:after="0"/>
              <w:rPr>
                <w:rFonts w:eastAsia="Times New Roman"/>
                <w:bCs/>
                <w:lang w:eastAsia="lv-LV"/>
              </w:rPr>
            </w:pPr>
            <w:bookmarkStart w:id="208" w:name="_Toc355007969"/>
            <w:bookmarkStart w:id="209" w:name="_Toc355008132"/>
            <w:r w:rsidRPr="00DB426E">
              <w:rPr>
                <w:rFonts w:eastAsia="Times New Roman"/>
                <w:bCs/>
                <w:lang w:eastAsia="lv-LV"/>
              </w:rPr>
              <w:t>UIN</w:t>
            </w:r>
            <w:bookmarkEnd w:id="208"/>
            <w:bookmarkEnd w:id="209"/>
            <w:r w:rsidRPr="00DB426E">
              <w:rPr>
                <w:rFonts w:eastAsia="Times New Roman"/>
                <w:bCs/>
                <w:lang w:eastAsia="lv-LV"/>
              </w:rPr>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10" w:name="_Toc355007970"/>
            <w:bookmarkStart w:id="211" w:name="_Toc355008133"/>
            <w:r w:rsidRPr="00DB426E">
              <w:t>0.14%</w:t>
            </w:r>
            <w:bookmarkEnd w:id="210"/>
            <w:bookmarkEnd w:id="211"/>
          </w:p>
        </w:tc>
        <w:tc>
          <w:tcPr>
            <w:tcW w:w="850"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12" w:name="_Toc355007971"/>
            <w:bookmarkStart w:id="213" w:name="_Toc355008134"/>
            <w:r w:rsidRPr="00DB426E">
              <w:t>0.17%</w:t>
            </w:r>
            <w:bookmarkEnd w:id="212"/>
            <w:bookmarkEnd w:id="213"/>
          </w:p>
        </w:tc>
        <w:tc>
          <w:tcPr>
            <w:tcW w:w="851"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14" w:name="_Toc355007972"/>
            <w:bookmarkStart w:id="215" w:name="_Toc355008135"/>
            <w:r w:rsidRPr="00DB426E">
              <w:t>0.21%</w:t>
            </w:r>
            <w:bookmarkEnd w:id="214"/>
            <w:bookmarkEnd w:id="215"/>
          </w:p>
        </w:tc>
        <w:tc>
          <w:tcPr>
            <w:tcW w:w="850"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16" w:name="_Toc355007973"/>
            <w:bookmarkStart w:id="217" w:name="_Toc355008136"/>
            <w:r w:rsidRPr="00DB426E">
              <w:t>0.24%</w:t>
            </w:r>
            <w:bookmarkEnd w:id="216"/>
            <w:bookmarkEnd w:id="217"/>
          </w:p>
        </w:tc>
        <w:tc>
          <w:tcPr>
            <w:tcW w:w="851"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18" w:name="_Toc355007974"/>
            <w:bookmarkStart w:id="219" w:name="_Toc355008137"/>
            <w:r w:rsidRPr="00DB426E">
              <w:t>0.28%</w:t>
            </w:r>
            <w:bookmarkEnd w:id="218"/>
            <w:bookmarkEnd w:id="219"/>
          </w:p>
        </w:tc>
        <w:tc>
          <w:tcPr>
            <w:tcW w:w="850"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20" w:name="_Toc355007975"/>
            <w:bookmarkStart w:id="221" w:name="_Toc355008138"/>
            <w:r w:rsidRPr="00DB426E">
              <w:t>0.31%</w:t>
            </w:r>
            <w:bookmarkEnd w:id="220"/>
            <w:bookmarkEnd w:id="221"/>
          </w:p>
        </w:tc>
        <w:tc>
          <w:tcPr>
            <w:tcW w:w="851"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22" w:name="_Toc355007976"/>
            <w:bookmarkStart w:id="223" w:name="_Toc355008139"/>
            <w:r w:rsidRPr="00DB426E">
              <w:t>0.35%</w:t>
            </w:r>
            <w:bookmarkEnd w:id="222"/>
            <w:bookmarkEnd w:id="223"/>
          </w:p>
        </w:tc>
        <w:tc>
          <w:tcPr>
            <w:tcW w:w="850"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9B5CBF">
            <w:pPr>
              <w:spacing w:after="0"/>
            </w:pPr>
            <w:bookmarkStart w:id="224" w:name="_Toc355007977"/>
            <w:bookmarkStart w:id="225" w:name="_Toc355008140"/>
            <w:r w:rsidRPr="00DB426E">
              <w:t>0.38%</w:t>
            </w:r>
            <w:bookmarkEnd w:id="224"/>
            <w:bookmarkEnd w:id="225"/>
          </w:p>
        </w:tc>
      </w:tr>
    </w:tbl>
    <w:p w:rsidR="006D3AB5" w:rsidRDefault="006D3AB5" w:rsidP="006D3AB5"/>
    <w:p w:rsidR="001D5ABA" w:rsidRDefault="001D5ABA" w:rsidP="006D3AB5"/>
    <w:p w:rsidR="001D5ABA" w:rsidRDefault="001D5ABA" w:rsidP="006D3AB5"/>
    <w:p w:rsidR="001D5ABA" w:rsidRPr="00DB426E" w:rsidRDefault="001D5ABA" w:rsidP="001D5ABA">
      <w:pPr>
        <w:pStyle w:val="Heading3"/>
      </w:pPr>
      <w:bookmarkStart w:id="226" w:name="_Toc358978709"/>
      <w:r>
        <w:t>6.4.3. Mazie uzņēmumi</w:t>
      </w:r>
      <w:bookmarkEnd w:id="226"/>
    </w:p>
    <w:p w:rsidR="00B00167" w:rsidRPr="00607C68" w:rsidRDefault="00B00167" w:rsidP="00B00167">
      <w:pPr>
        <w:spacing w:before="120" w:after="120"/>
      </w:pPr>
      <w:r w:rsidRPr="00607C68">
        <w:t>Tipveida uzņēmuma bāzes finanšu rādītāji:</w:t>
      </w:r>
    </w:p>
    <w:p w:rsidR="00B00167" w:rsidRPr="00F52AC9" w:rsidRDefault="00B00167" w:rsidP="00B00167">
      <w:pPr>
        <w:pStyle w:val="ListParagraph"/>
        <w:spacing w:before="120" w:after="120"/>
        <w:rPr>
          <w:lang w:val="lv-LV"/>
        </w:rPr>
      </w:pPr>
      <w:r w:rsidRPr="00607C68">
        <w:rPr>
          <w:lang w:val="lv-LV"/>
        </w:rPr>
        <w:t xml:space="preserve">NA = 3.1-3.8 milj. </w:t>
      </w:r>
      <w:r w:rsidRPr="00F52AC9">
        <w:rPr>
          <w:lang w:val="lv-LV"/>
        </w:rPr>
        <w:t xml:space="preserve">Ls, </w:t>
      </w:r>
    </w:p>
    <w:p w:rsidR="00B00167" w:rsidRPr="00F52AC9" w:rsidRDefault="00B00167" w:rsidP="00B00167">
      <w:pPr>
        <w:pStyle w:val="ListParagraph"/>
        <w:spacing w:before="120" w:after="120"/>
        <w:rPr>
          <w:lang w:val="lv-LV"/>
        </w:rPr>
      </w:pPr>
      <w:r w:rsidRPr="00F52AC9">
        <w:rPr>
          <w:lang w:val="lv-LV"/>
        </w:rPr>
        <w:t>Summārās izmaksas (ražošanas, pārdošanas, administratīvās) –91% no NA,</w:t>
      </w:r>
    </w:p>
    <w:p w:rsidR="00B00167" w:rsidRPr="00F52AC9" w:rsidRDefault="00B00167" w:rsidP="00B00167">
      <w:pPr>
        <w:pStyle w:val="ListParagraph"/>
        <w:spacing w:before="120" w:after="120"/>
        <w:rPr>
          <w:lang w:val="lv-LV"/>
        </w:rPr>
      </w:pPr>
      <w:r w:rsidRPr="00F52AC9">
        <w:rPr>
          <w:lang w:val="lv-LV"/>
        </w:rPr>
        <w:t>ZP izdevumi – 0.28% no NA.</w:t>
      </w:r>
    </w:p>
    <w:p w:rsidR="00B00167" w:rsidRDefault="00B00167" w:rsidP="00B00167">
      <w:r w:rsidRPr="00F52AC9">
        <w:t>Aprēķinos pieņemts, ka attīstības programmas realizācijai ik gadu tiek piešķirti 72-87 tūkst. latu, kas nodrošina apgrozījuma pieaugumu 5% gadā.</w:t>
      </w:r>
    </w:p>
    <w:p w:rsidR="006D3AB5" w:rsidRDefault="00BF2674" w:rsidP="00BF2674">
      <w:pPr>
        <w:pStyle w:val="Caption"/>
        <w:jc w:val="left"/>
      </w:pPr>
      <w:bookmarkStart w:id="227" w:name="_Ref358807569"/>
      <w:r>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w:instrText>
      </w:r>
      <w:r w:rsidR="009B0188">
        <w:instrText xml:space="preserve"> ARABIC \s 1 </w:instrText>
      </w:r>
      <w:r w:rsidR="009B0188">
        <w:fldChar w:fldCharType="separate"/>
      </w:r>
      <w:r w:rsidR="00BE6FC8">
        <w:rPr>
          <w:noProof/>
        </w:rPr>
        <w:t>15</w:t>
      </w:r>
      <w:r w:rsidR="009B0188">
        <w:rPr>
          <w:noProof/>
        </w:rPr>
        <w:fldChar w:fldCharType="end"/>
      </w:r>
      <w:bookmarkEnd w:id="227"/>
      <w:r>
        <w:t>.</w:t>
      </w:r>
      <w:r w:rsidRPr="00BF2674">
        <w:t xml:space="preserve"> </w:t>
      </w:r>
      <w:r w:rsidRPr="00DB426E">
        <w:t xml:space="preserve">Finanšu aprēķini. </w:t>
      </w:r>
      <w:r>
        <w:t>2</w:t>
      </w:r>
      <w:r w:rsidRPr="00DB426E">
        <w:t>.variants (</w:t>
      </w:r>
      <w:r>
        <w:t>MAZIE</w:t>
      </w:r>
      <w:r w:rsidRPr="00DB426E">
        <w:t xml:space="preserve"> uzņēmumi)</w:t>
      </w:r>
    </w:p>
    <w:p w:rsidR="00BF2674" w:rsidRDefault="00BF2674" w:rsidP="006D3AB5">
      <w:r w:rsidRPr="00BF2674">
        <w:rPr>
          <w:noProof/>
          <w:lang w:eastAsia="lv-LV"/>
        </w:rPr>
        <w:drawing>
          <wp:inline distT="0" distB="0" distL="0" distR="0" wp14:anchorId="674EF5A9" wp14:editId="5B3339D9">
            <wp:extent cx="5781543" cy="3139440"/>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91095" cy="3144627"/>
                    </a:xfrm>
                    <a:prstGeom prst="rect">
                      <a:avLst/>
                    </a:prstGeom>
                    <a:noFill/>
                    <a:ln>
                      <a:noFill/>
                    </a:ln>
                  </pic:spPr>
                </pic:pic>
              </a:graphicData>
            </a:graphic>
          </wp:inline>
        </w:drawing>
      </w:r>
    </w:p>
    <w:p w:rsidR="00BF2674" w:rsidRDefault="00F72A62" w:rsidP="006D3AB5">
      <w:r w:rsidRPr="00F72A62">
        <w:rPr>
          <w:noProof/>
          <w:lang w:eastAsia="lv-LV"/>
        </w:rPr>
        <w:drawing>
          <wp:inline distT="0" distB="0" distL="0" distR="0" wp14:anchorId="573F116C" wp14:editId="298C430A">
            <wp:extent cx="5709920" cy="2773680"/>
            <wp:effectExtent l="0" t="0" r="508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6179" cy="2776720"/>
                    </a:xfrm>
                    <a:prstGeom prst="rect">
                      <a:avLst/>
                    </a:prstGeom>
                    <a:noFill/>
                    <a:ln>
                      <a:noFill/>
                    </a:ln>
                  </pic:spPr>
                </pic:pic>
              </a:graphicData>
            </a:graphic>
          </wp:inline>
        </w:drawing>
      </w:r>
    </w:p>
    <w:p w:rsidR="00BF2674" w:rsidRDefault="00BF2674" w:rsidP="006D3AB5">
      <w:r w:rsidRPr="00BF2674">
        <w:rPr>
          <w:noProof/>
          <w:lang w:eastAsia="lv-LV"/>
        </w:rPr>
        <w:drawing>
          <wp:inline distT="0" distB="0" distL="0" distR="0" wp14:anchorId="04F49234" wp14:editId="359997E1">
            <wp:extent cx="5714623" cy="3952240"/>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2801" cy="3950980"/>
                    </a:xfrm>
                    <a:prstGeom prst="rect">
                      <a:avLst/>
                    </a:prstGeom>
                    <a:noFill/>
                    <a:ln>
                      <a:noFill/>
                    </a:ln>
                  </pic:spPr>
                </pic:pic>
              </a:graphicData>
            </a:graphic>
          </wp:inline>
        </w:drawing>
      </w:r>
    </w:p>
    <w:p w:rsidR="00211A36" w:rsidRPr="00DB426E" w:rsidRDefault="00211A36" w:rsidP="00211A36">
      <w:pPr>
        <w:spacing w:after="0"/>
      </w:pPr>
      <w:r w:rsidRPr="00211A36">
        <w:t>Aprēķini pilnā apjomā ir pieejami elektroniski.</w:t>
      </w:r>
    </w:p>
    <w:p w:rsidR="00F72A62" w:rsidRDefault="00F72A62" w:rsidP="0083766B">
      <w:pPr>
        <w:spacing w:before="120" w:after="0"/>
      </w:pPr>
      <w:r w:rsidRPr="00DB426E">
        <w:t xml:space="preserve">Ja darba algas īpatsvars ir 80%, un VSAOI un IIN likmes tiek samazinātas par 25%, ZP izdevumu samazinājums ir </w:t>
      </w:r>
      <w:r>
        <w:t>300-400</w:t>
      </w:r>
      <w:r w:rsidRPr="00DB426E">
        <w:t xml:space="preserve"> latu, salīdzinot ar inerces variantu (</w:t>
      </w:r>
      <w:r>
        <w:fldChar w:fldCharType="begin"/>
      </w:r>
      <w:r>
        <w:instrText xml:space="preserve"> REF _Ref358807569 \h </w:instrText>
      </w:r>
      <w:r>
        <w:fldChar w:fldCharType="separate"/>
      </w:r>
      <w:r>
        <w:t xml:space="preserve">Tabula </w:t>
      </w:r>
      <w:r>
        <w:rPr>
          <w:noProof/>
        </w:rPr>
        <w:t>6</w:t>
      </w:r>
      <w:r>
        <w:noBreakHyphen/>
      </w:r>
      <w:r>
        <w:rPr>
          <w:noProof/>
        </w:rPr>
        <w:t>15</w:t>
      </w:r>
      <w:r>
        <w:fldChar w:fldCharType="end"/>
      </w:r>
      <w:r w:rsidRPr="00DB426E">
        <w:t xml:space="preserve">). Arī budžeta ieņēmumu (VSAOI, IIN, UIN) samazinājums ir nenozīmīgs – </w:t>
      </w:r>
      <w:r>
        <w:t>710-870</w:t>
      </w:r>
      <w:r w:rsidRPr="00DB426E">
        <w:t xml:space="preserve"> latu. Pieaugot zinātnisko pētījumu izmaksām, atvieglojumu ietekme ir daudz jūtamāka. </w:t>
      </w:r>
    </w:p>
    <w:p w:rsidR="00BF2674" w:rsidRDefault="00F72A62" w:rsidP="00F72A62">
      <w:pPr>
        <w:pStyle w:val="Caption"/>
      </w:pPr>
      <w:r>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9</w:t>
      </w:r>
      <w:r w:rsidR="009B0188">
        <w:rPr>
          <w:noProof/>
        </w:rPr>
        <w:fldChar w:fldCharType="end"/>
      </w:r>
      <w:r>
        <w:t>.Nodokļu izmaiņas atkarībā no ZP izdevumu lieluma (MAZIE uzņēmumi)</w:t>
      </w:r>
    </w:p>
    <w:p w:rsidR="00BF2674" w:rsidRDefault="00F72A62" w:rsidP="00BF2674">
      <w:pPr>
        <w:jc w:val="center"/>
      </w:pPr>
      <w:r>
        <w:rPr>
          <w:noProof/>
          <w:lang w:eastAsia="lv-LV"/>
        </w:rPr>
        <w:drawing>
          <wp:inline distT="0" distB="0" distL="0" distR="0" wp14:anchorId="6064550C" wp14:editId="041FA40D">
            <wp:extent cx="4653280" cy="2560320"/>
            <wp:effectExtent l="0" t="0" r="13970" b="1143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F2674" w:rsidRDefault="00BF2674" w:rsidP="006D3AB5"/>
    <w:p w:rsidR="006D3AB5" w:rsidRPr="00DB426E" w:rsidRDefault="006D3AB5" w:rsidP="00475128">
      <w:pPr>
        <w:pStyle w:val="Heading2"/>
        <w:numPr>
          <w:ilvl w:val="1"/>
          <w:numId w:val="4"/>
        </w:numPr>
        <w:suppressAutoHyphens w:val="0"/>
        <w:spacing w:before="240" w:after="60"/>
        <w:jc w:val="both"/>
      </w:pPr>
      <w:bookmarkStart w:id="228" w:name="_Toc355007978"/>
      <w:bookmarkStart w:id="229" w:name="_Toc355008141"/>
      <w:bookmarkStart w:id="230" w:name="_Toc356472868"/>
      <w:bookmarkStart w:id="231" w:name="_Toc358978710"/>
      <w:r w:rsidRPr="00DB426E">
        <w:t>Uzņēmuma ienākuma nodokļa (UIN) un VSAOI un iedzīvotāju ienākuma nodokļa (IIN) atvieglojumi (3.variants)</w:t>
      </w:r>
      <w:bookmarkEnd w:id="228"/>
      <w:bookmarkEnd w:id="229"/>
      <w:bookmarkEnd w:id="230"/>
      <w:bookmarkEnd w:id="231"/>
    </w:p>
    <w:p w:rsidR="006D3AB5" w:rsidRPr="00DB426E" w:rsidRDefault="006D3AB5" w:rsidP="006D3AB5">
      <w:r w:rsidRPr="00DB426E">
        <w:t xml:space="preserve">Nodokļu atvieglojumu kombinācija ļauj stimulēt gan jaunu tehnoloģisko risinājumu un produktu, kas nav izstrādāti pašā uzņēmumā, </w:t>
      </w:r>
      <w:r w:rsidRPr="00DB426E">
        <w:rPr>
          <w:u w:val="single"/>
        </w:rPr>
        <w:t>iegādi</w:t>
      </w:r>
      <w:r w:rsidRPr="00DB426E">
        <w:t>, gan arī zinātnisko centru izveidi tieši uzņēmumā.</w:t>
      </w:r>
    </w:p>
    <w:p w:rsidR="006D3AB5" w:rsidRPr="00DB426E" w:rsidRDefault="006D3AB5" w:rsidP="00475128">
      <w:pPr>
        <w:pStyle w:val="Heading3"/>
        <w:numPr>
          <w:ilvl w:val="2"/>
          <w:numId w:val="4"/>
        </w:numPr>
      </w:pPr>
      <w:bookmarkStart w:id="232" w:name="_Toc356472869"/>
      <w:bookmarkStart w:id="233" w:name="_Toc358978711"/>
      <w:r w:rsidRPr="00DB426E">
        <w:t>Lielie uzņēmumi</w:t>
      </w:r>
      <w:bookmarkEnd w:id="232"/>
      <w:bookmarkEnd w:id="233"/>
    </w:p>
    <w:p w:rsidR="006D3AB5" w:rsidRPr="00DB426E" w:rsidRDefault="006D3AB5" w:rsidP="006D3AB5">
      <w:r w:rsidRPr="00DB426E">
        <w:t>Vidējo (tipveida) lielo uzņēmumu raksturo šādi rādītāji:</w:t>
      </w:r>
    </w:p>
    <w:p w:rsidR="006D3AB5" w:rsidRPr="00DB426E" w:rsidRDefault="006D3AB5" w:rsidP="009B5CBF">
      <w:pPr>
        <w:pStyle w:val="ListParagraph"/>
        <w:rPr>
          <w:lang w:val="lv-LV"/>
        </w:rPr>
      </w:pPr>
      <w:r w:rsidRPr="00DB426E">
        <w:rPr>
          <w:lang w:val="lv-LV"/>
        </w:rPr>
        <w:t xml:space="preserve">NA= 62-69 milj. Ls, </w:t>
      </w:r>
    </w:p>
    <w:p w:rsidR="006D3AB5" w:rsidRPr="00DB426E" w:rsidRDefault="006D3AB5" w:rsidP="009B5CBF">
      <w:pPr>
        <w:pStyle w:val="ListParagraph"/>
        <w:rPr>
          <w:lang w:val="lv-LV"/>
        </w:rPr>
      </w:pPr>
      <w:r w:rsidRPr="00DB426E">
        <w:rPr>
          <w:lang w:val="lv-LV"/>
        </w:rPr>
        <w:t>Summārās izmaksas (ražošanas, pārdošanas, administratīvās) – 78% no NA,</w:t>
      </w:r>
    </w:p>
    <w:p w:rsidR="006D3AB5" w:rsidRPr="00DB426E" w:rsidRDefault="006D3AB5" w:rsidP="009B5CBF">
      <w:pPr>
        <w:pStyle w:val="ListParagraph"/>
        <w:rPr>
          <w:lang w:val="lv-LV"/>
        </w:rPr>
      </w:pPr>
      <w:r w:rsidRPr="00DB426E">
        <w:rPr>
          <w:lang w:val="lv-LV"/>
        </w:rPr>
        <w:t>ZP izdevumi - 4.5% no NA.</w:t>
      </w:r>
    </w:p>
    <w:p w:rsidR="006D3AB5" w:rsidRPr="00DB426E" w:rsidRDefault="006D3AB5" w:rsidP="006D3AB5">
      <w:r w:rsidRPr="00DB426E">
        <w:t xml:space="preserve">Ja zinātnisko pētījumu izmaksas ir </w:t>
      </w:r>
      <w:r w:rsidRPr="00DB426E">
        <w:rPr>
          <w:b/>
        </w:rPr>
        <w:t>2.8-3.0 milj. latu</w:t>
      </w:r>
      <w:r w:rsidRPr="00DB426E">
        <w:t xml:space="preserve"> apmērā, kompleksas atlaides nodrošina uzņēmumam nodokļu maksājumu ekonomiju </w:t>
      </w:r>
      <w:r w:rsidRPr="00DB426E">
        <w:rPr>
          <w:b/>
        </w:rPr>
        <w:t>700-700 tūkst. latu</w:t>
      </w:r>
      <w:r w:rsidRPr="00DB426E">
        <w:t xml:space="preserve"> apmērā. 84% līdzekļu ekonomijas veidojas no uzņēmumu ienākumu nodokļa samazinājuma, un 16% - no sociālās apdrošināšanas fonda iemaksu samazinājumu (VSAOI darba devēja daļas).  Uzņēmumam rodas iespēja palielināt zinātniskajos pētījumos iesaistītā personāla darba algas fondu par </w:t>
      </w:r>
      <w:r w:rsidRPr="00DB426E">
        <w:rPr>
          <w:b/>
        </w:rPr>
        <w:t>140-150 tūkst. latu</w:t>
      </w:r>
      <w:r w:rsidRPr="00DB426E">
        <w:t xml:space="preserve"> (neto darba alga). Kopējais nodokļu maksājumu samazinājums budžetā tiek lēsts aptuveni </w:t>
      </w:r>
      <w:r w:rsidRPr="00DB426E">
        <w:rPr>
          <w:b/>
        </w:rPr>
        <w:t>840-920 tūkst. latu</w:t>
      </w:r>
      <w:r w:rsidRPr="00DB426E">
        <w:t xml:space="preserve"> vai vidēji par 30%, salīdzinot ar inerces variantu. </w:t>
      </w:r>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16</w:t>
      </w:r>
      <w:r w:rsidR="009B0188">
        <w:rPr>
          <w:noProof/>
        </w:rPr>
        <w:fldChar w:fldCharType="end"/>
      </w:r>
      <w:r w:rsidRPr="00DB426E">
        <w:t>. Finanšu aprēķini. 3.variants (Lielie uzņēmumi)</w:t>
      </w:r>
    </w:p>
    <w:p w:rsidR="006D3AB5" w:rsidRPr="00DB426E" w:rsidRDefault="006C3F27" w:rsidP="006D3AB5">
      <w:r>
        <w:rPr>
          <w:noProof/>
          <w:lang w:eastAsia="lv-LV"/>
        </w:rPr>
        <w:drawing>
          <wp:inline distT="0" distB="0" distL="0" distR="0" wp14:anchorId="4CE52F69" wp14:editId="0F589AD3">
            <wp:extent cx="5732617" cy="2407920"/>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2" cstate="print"/>
                    <a:srcRect/>
                    <a:stretch>
                      <a:fillRect/>
                    </a:stretch>
                  </pic:blipFill>
                  <pic:spPr bwMode="auto">
                    <a:xfrm>
                      <a:off x="0" y="0"/>
                      <a:ext cx="5732617" cy="240792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553855A9" wp14:editId="6D3B1965">
            <wp:extent cx="5512724" cy="233680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cstate="print"/>
                    <a:srcRect/>
                    <a:stretch>
                      <a:fillRect/>
                    </a:stretch>
                  </pic:blipFill>
                  <pic:spPr bwMode="auto">
                    <a:xfrm>
                      <a:off x="0" y="0"/>
                      <a:ext cx="5512724" cy="233680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0F4A3234" wp14:editId="2C74A7C5">
            <wp:extent cx="5567623" cy="38404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4" cstate="print"/>
                    <a:srcRect/>
                    <a:stretch>
                      <a:fillRect/>
                    </a:stretch>
                  </pic:blipFill>
                  <pic:spPr bwMode="auto">
                    <a:xfrm>
                      <a:off x="0" y="0"/>
                      <a:ext cx="5567623" cy="3840480"/>
                    </a:xfrm>
                    <a:prstGeom prst="rect">
                      <a:avLst/>
                    </a:prstGeom>
                    <a:noFill/>
                    <a:ln w="9525">
                      <a:noFill/>
                      <a:miter lim="800000"/>
                      <a:headEnd/>
                      <a:tailEnd/>
                    </a:ln>
                  </pic:spPr>
                </pic:pic>
              </a:graphicData>
            </a:graphic>
          </wp:inline>
        </w:drawing>
      </w:r>
    </w:p>
    <w:p w:rsidR="00211A36" w:rsidRPr="00DB426E" w:rsidRDefault="00211A36" w:rsidP="00211A36">
      <w:pPr>
        <w:spacing w:after="0"/>
      </w:pPr>
      <w:r w:rsidRPr="00211A36">
        <w:t>Aprēķini pilnā apjomā ir pieejami elektroniski.</w:t>
      </w:r>
    </w:p>
    <w:p w:rsidR="006D3AB5" w:rsidRPr="00DB426E" w:rsidRDefault="006D3AB5" w:rsidP="0083766B">
      <w:pPr>
        <w:spacing w:before="120" w:after="0"/>
      </w:pPr>
      <w:r w:rsidRPr="00DB426E">
        <w:t>Proporcionāli zinātniski pētniecisko izdevumu palielinājumam samazinās nodokļu maksājumi. VSAOI, IIN pastāvīgi samazinās par 24%. Īpatsvars, par kuru samazinās UIN, pieaug, jo rodas divkāršs efekts, aprēķinot apliekamo ienākumu (2.5 reizes palielinās zinātniski pētnieciskie izdevumi un 1.5 reizes palielinās jauno attiecīgajā gadā iegādāto pamatlīdzekļu izmaksas). Pastāvot nosacījumam, ka pieļaujamais UIN samazinājums ir ne vairāk kā par 50%, zinātnisko pētījumu izmaksām jābūt 6% robežās no apgrozījuma.</w:t>
      </w:r>
    </w:p>
    <w:p w:rsidR="009B5CBF" w:rsidRPr="00DB426E" w:rsidRDefault="009B5CBF" w:rsidP="006D3AB5"/>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w:instrText>
      </w:r>
      <w:r w:rsidR="009B0188">
        <w:instrText xml:space="preserve">1 </w:instrText>
      </w:r>
      <w:r w:rsidR="009B0188">
        <w:fldChar w:fldCharType="separate"/>
      </w:r>
      <w:r w:rsidR="00BE6FC8">
        <w:rPr>
          <w:noProof/>
        </w:rPr>
        <w:t>17</w:t>
      </w:r>
      <w:r w:rsidR="009B0188">
        <w:rPr>
          <w:noProof/>
        </w:rPr>
        <w:fldChar w:fldCharType="end"/>
      </w:r>
      <w:r w:rsidRPr="00DB426E">
        <w:t>. Nodokļu izmaiņas atkarībā no ZP izdevumu lieluma (LIELIE uzņēmumi)</w:t>
      </w:r>
    </w:p>
    <w:tbl>
      <w:tblPr>
        <w:tblW w:w="8369" w:type="dxa"/>
        <w:tblInd w:w="103" w:type="dxa"/>
        <w:tblLook w:val="04A0" w:firstRow="1" w:lastRow="0" w:firstColumn="1" w:lastColumn="0" w:noHBand="0" w:noVBand="1"/>
      </w:tblPr>
      <w:tblGrid>
        <w:gridCol w:w="2699"/>
        <w:gridCol w:w="1134"/>
        <w:gridCol w:w="1134"/>
        <w:gridCol w:w="1134"/>
        <w:gridCol w:w="1134"/>
        <w:gridCol w:w="1134"/>
      </w:tblGrid>
      <w:tr w:rsidR="006D3AB5" w:rsidRPr="00DB426E" w:rsidTr="006D3AB5">
        <w:trPr>
          <w:trHeight w:val="300"/>
        </w:trPr>
        <w:tc>
          <w:tcPr>
            <w:tcW w:w="2699" w:type="dxa"/>
            <w:vMerge w:val="restart"/>
            <w:tcBorders>
              <w:top w:val="single" w:sz="4" w:space="0" w:color="auto"/>
              <w:left w:val="single" w:sz="4" w:space="0" w:color="auto"/>
              <w:right w:val="nil"/>
            </w:tcBorders>
            <w:shd w:val="clear" w:color="000000" w:fill="D9D9D9"/>
            <w:noWrap/>
            <w:vAlign w:val="bottom"/>
            <w:hideMark/>
          </w:tcPr>
          <w:p w:rsidR="006D3AB5" w:rsidRPr="00DB426E" w:rsidRDefault="006D3AB5" w:rsidP="00097DBA">
            <w:pPr>
              <w:spacing w:after="60"/>
              <w:rPr>
                <w:rFonts w:eastAsia="Times New Roman"/>
                <w:b/>
                <w:bCs/>
                <w:color w:val="000000"/>
                <w:lang w:eastAsia="lv-LV"/>
              </w:rPr>
            </w:pPr>
            <w:r w:rsidRPr="00DB426E">
              <w:rPr>
                <w:rFonts w:eastAsia="Times New Roman"/>
                <w:b/>
                <w:bCs/>
                <w:color w:val="000000"/>
                <w:lang w:eastAsia="lv-LV"/>
              </w:rPr>
              <w:t>Nodokļu samazinājums (-), palielinājums(+)</w:t>
            </w:r>
            <w:r w:rsidRPr="00DB426E">
              <w:rPr>
                <w:rFonts w:eastAsia="Times New Roman"/>
                <w:color w:val="000000"/>
                <w:lang w:eastAsia="lv-LV"/>
              </w:rPr>
              <w:t> </w:t>
            </w:r>
          </w:p>
        </w:tc>
        <w:tc>
          <w:tcPr>
            <w:tcW w:w="5670" w:type="dxa"/>
            <w:gridSpan w:val="5"/>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6D3AB5" w:rsidRPr="00DB426E" w:rsidRDefault="006D3AB5" w:rsidP="00097DBA">
            <w:pPr>
              <w:spacing w:after="6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2699" w:type="dxa"/>
            <w:vMerge/>
            <w:tcBorders>
              <w:left w:val="single" w:sz="4" w:space="0" w:color="auto"/>
              <w:bottom w:val="double" w:sz="6" w:space="0" w:color="auto"/>
              <w:right w:val="single" w:sz="4" w:space="0" w:color="auto"/>
            </w:tcBorders>
            <w:shd w:val="clear" w:color="000000" w:fill="D9D9D9"/>
            <w:noWrap/>
            <w:vAlign w:val="bottom"/>
            <w:hideMark/>
          </w:tcPr>
          <w:p w:rsidR="006D3AB5" w:rsidRPr="00DB426E" w:rsidRDefault="006D3AB5" w:rsidP="00097DBA">
            <w:pPr>
              <w:spacing w:after="60"/>
              <w:rPr>
                <w:rFonts w:eastAsia="Times New Roman"/>
                <w:color w:val="000000"/>
                <w:lang w:eastAsia="lv-LV"/>
              </w:rPr>
            </w:pP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097DBA">
            <w:pPr>
              <w:spacing w:after="60"/>
              <w:jc w:val="right"/>
              <w:rPr>
                <w:rFonts w:eastAsia="Times New Roman"/>
                <w:lang w:eastAsia="lv-LV"/>
              </w:rPr>
            </w:pPr>
            <w:r w:rsidRPr="00DB426E">
              <w:rPr>
                <w:rFonts w:eastAsia="Times New Roman"/>
                <w:lang w:eastAsia="lv-LV"/>
              </w:rPr>
              <w:t>2.0%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097DBA">
            <w:pPr>
              <w:spacing w:after="60"/>
              <w:jc w:val="right"/>
              <w:rPr>
                <w:rFonts w:eastAsia="Times New Roman"/>
                <w:lang w:eastAsia="lv-LV"/>
              </w:rPr>
            </w:pPr>
            <w:r w:rsidRPr="00DB426E">
              <w:rPr>
                <w:rFonts w:eastAsia="Times New Roman"/>
                <w:lang w:eastAsia="lv-LV"/>
              </w:rPr>
              <w:t>4.0%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097DBA">
            <w:pPr>
              <w:spacing w:after="60"/>
              <w:jc w:val="right"/>
              <w:rPr>
                <w:rFonts w:eastAsia="Times New Roman"/>
                <w:lang w:eastAsia="lv-LV"/>
              </w:rPr>
            </w:pPr>
            <w:r w:rsidRPr="00DB426E">
              <w:rPr>
                <w:rFonts w:eastAsia="Times New Roman"/>
                <w:lang w:eastAsia="lv-LV"/>
              </w:rPr>
              <w:t>6.0%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097DBA">
            <w:pPr>
              <w:spacing w:after="60"/>
              <w:jc w:val="right"/>
              <w:rPr>
                <w:rFonts w:eastAsia="Times New Roman"/>
                <w:lang w:eastAsia="lv-LV"/>
              </w:rPr>
            </w:pPr>
            <w:r w:rsidRPr="00DB426E">
              <w:rPr>
                <w:rFonts w:eastAsia="Times New Roman"/>
                <w:lang w:eastAsia="lv-LV"/>
              </w:rPr>
              <w:t>8.0%</w:t>
            </w:r>
          </w:p>
        </w:tc>
        <w:tc>
          <w:tcPr>
            <w:tcW w:w="1134" w:type="dxa"/>
            <w:tcBorders>
              <w:top w:val="nil"/>
              <w:left w:val="nil"/>
              <w:bottom w:val="double" w:sz="6" w:space="0" w:color="auto"/>
              <w:right w:val="single" w:sz="4" w:space="0" w:color="auto"/>
            </w:tcBorders>
            <w:shd w:val="clear" w:color="000000" w:fill="D9D9D9"/>
            <w:noWrap/>
            <w:vAlign w:val="bottom"/>
            <w:hideMark/>
          </w:tcPr>
          <w:p w:rsidR="006D3AB5" w:rsidRPr="00DB426E" w:rsidRDefault="006D3AB5" w:rsidP="00097DBA">
            <w:pPr>
              <w:spacing w:after="60"/>
              <w:jc w:val="right"/>
              <w:rPr>
                <w:rFonts w:eastAsia="Times New Roman"/>
                <w:lang w:eastAsia="lv-LV"/>
              </w:rPr>
            </w:pPr>
            <w:r w:rsidRPr="00DB426E">
              <w:rPr>
                <w:rFonts w:eastAsia="Times New Roman"/>
                <w:lang w:eastAsia="lv-LV"/>
              </w:rPr>
              <w:t>10.0%</w:t>
            </w:r>
          </w:p>
        </w:tc>
      </w:tr>
      <w:tr w:rsidR="006D3AB5" w:rsidRPr="00DB426E" w:rsidTr="006D3AB5">
        <w:trPr>
          <w:trHeight w:val="315"/>
        </w:trPr>
        <w:tc>
          <w:tcPr>
            <w:tcW w:w="2699"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097DBA">
            <w:pPr>
              <w:spacing w:after="60"/>
              <w:rPr>
                <w:rFonts w:eastAsia="Times New Roman"/>
                <w:b/>
                <w:bCs/>
                <w:color w:val="000000"/>
                <w:lang w:eastAsia="lv-LV"/>
              </w:rPr>
            </w:pPr>
            <w:r w:rsidRPr="00DB426E">
              <w:rPr>
                <w:rFonts w:eastAsia="Times New Roman"/>
                <w:b/>
                <w:bCs/>
                <w:color w:val="000000"/>
                <w:lang w:eastAsia="lv-LV"/>
              </w:rPr>
              <w:t xml:space="preserve">VSAOI+IIN </w:t>
            </w:r>
          </w:p>
        </w:tc>
        <w:tc>
          <w:tcPr>
            <w:tcW w:w="1134" w:type="dxa"/>
            <w:tcBorders>
              <w:top w:val="single" w:sz="4" w:space="0" w:color="auto"/>
              <w:left w:val="nil"/>
              <w:bottom w:val="nil"/>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-24.1%</w:t>
            </w:r>
          </w:p>
        </w:tc>
        <w:tc>
          <w:tcPr>
            <w:tcW w:w="1134" w:type="dxa"/>
            <w:tcBorders>
              <w:top w:val="single" w:sz="4" w:space="0" w:color="auto"/>
              <w:left w:val="nil"/>
              <w:bottom w:val="nil"/>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-24.1%</w:t>
            </w:r>
          </w:p>
        </w:tc>
        <w:tc>
          <w:tcPr>
            <w:tcW w:w="1134" w:type="dxa"/>
            <w:tcBorders>
              <w:top w:val="single" w:sz="4" w:space="0" w:color="auto"/>
              <w:left w:val="nil"/>
              <w:bottom w:val="nil"/>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-24.1%</w:t>
            </w:r>
          </w:p>
        </w:tc>
        <w:tc>
          <w:tcPr>
            <w:tcW w:w="1134" w:type="dxa"/>
            <w:tcBorders>
              <w:top w:val="single" w:sz="4" w:space="0" w:color="auto"/>
              <w:left w:val="nil"/>
              <w:bottom w:val="nil"/>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-24.1%</w:t>
            </w:r>
          </w:p>
        </w:tc>
        <w:tc>
          <w:tcPr>
            <w:tcW w:w="1134" w:type="dxa"/>
            <w:tcBorders>
              <w:top w:val="single" w:sz="4" w:space="0" w:color="auto"/>
              <w:left w:val="nil"/>
              <w:bottom w:val="nil"/>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-24.1%</w:t>
            </w:r>
          </w:p>
        </w:tc>
      </w:tr>
      <w:tr w:rsidR="006D3AB5" w:rsidRPr="00DB426E" w:rsidTr="006D3AB5">
        <w:trPr>
          <w:trHeight w:val="300"/>
        </w:trPr>
        <w:tc>
          <w:tcPr>
            <w:tcW w:w="2699" w:type="dxa"/>
            <w:tcBorders>
              <w:top w:val="nil"/>
              <w:left w:val="single" w:sz="4" w:space="0" w:color="auto"/>
              <w:bottom w:val="single" w:sz="4" w:space="0" w:color="auto"/>
              <w:right w:val="single" w:sz="4" w:space="0" w:color="auto"/>
            </w:tcBorders>
            <w:shd w:val="clear" w:color="auto" w:fill="auto"/>
            <w:noWrap/>
            <w:vAlign w:val="bottom"/>
            <w:hideMark/>
          </w:tcPr>
          <w:p w:rsidR="006D3AB5" w:rsidRPr="00DB426E" w:rsidRDefault="006D3AB5" w:rsidP="00097DBA">
            <w:pPr>
              <w:spacing w:after="60"/>
              <w:rPr>
                <w:rFonts w:eastAsia="Times New Roman"/>
                <w:b/>
                <w:bCs/>
                <w:color w:val="000000"/>
                <w:lang w:eastAsia="lv-LV"/>
              </w:rPr>
            </w:pPr>
            <w:r w:rsidRPr="00DB426E">
              <w:rPr>
                <w:rFonts w:eastAsia="Times New Roman"/>
                <w:b/>
                <w:bCs/>
                <w:color w:val="000000"/>
                <w:lang w:eastAsia="lv-LV"/>
              </w:rPr>
              <w:t xml:space="preserve">UIN </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-12.6%</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-27.9%</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-46.8%</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-70.8%</w:t>
            </w:r>
          </w:p>
        </w:tc>
        <w:tc>
          <w:tcPr>
            <w:tcW w:w="1134" w:type="dxa"/>
            <w:tcBorders>
              <w:top w:val="nil"/>
              <w:left w:val="nil"/>
              <w:bottom w:val="single" w:sz="4" w:space="0" w:color="auto"/>
              <w:right w:val="single" w:sz="4" w:space="0" w:color="auto"/>
            </w:tcBorders>
            <w:shd w:val="clear" w:color="auto" w:fill="auto"/>
            <w:noWrap/>
            <w:vAlign w:val="bottom"/>
            <w:hideMark/>
          </w:tcPr>
          <w:p w:rsidR="006D3AB5" w:rsidRPr="00DB426E" w:rsidRDefault="006D3AB5" w:rsidP="00097DBA">
            <w:pPr>
              <w:spacing w:after="60"/>
              <w:jc w:val="right"/>
              <w:rPr>
                <w:rFonts w:eastAsia="Times New Roman"/>
                <w:color w:val="000000"/>
                <w:lang w:eastAsia="lv-LV"/>
              </w:rPr>
            </w:pPr>
            <w:r w:rsidRPr="00DB426E">
              <w:rPr>
                <w:rFonts w:eastAsia="Times New Roman"/>
                <w:color w:val="000000"/>
                <w:lang w:eastAsia="lv-LV"/>
              </w:rPr>
              <w:t>-100.0%</w:t>
            </w:r>
          </w:p>
        </w:tc>
      </w:tr>
    </w:tbl>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10</w:t>
      </w:r>
      <w:r w:rsidR="009B0188">
        <w:rPr>
          <w:noProof/>
        </w:rPr>
        <w:fldChar w:fldCharType="end"/>
      </w:r>
      <w:r w:rsidRPr="00DB426E">
        <w:t>. Nodokļu izmaiņas atkarībā no ZP izdevumu lieluma (LIELIE uzņēmumi)</w:t>
      </w:r>
    </w:p>
    <w:tbl>
      <w:tblPr>
        <w:tblW w:w="9357" w:type="dxa"/>
        <w:tblInd w:w="-318" w:type="dxa"/>
        <w:tblLook w:val="04A0" w:firstRow="1" w:lastRow="0" w:firstColumn="1" w:lastColumn="0" w:noHBand="0" w:noVBand="1"/>
      </w:tblPr>
      <w:tblGrid>
        <w:gridCol w:w="4920"/>
        <w:gridCol w:w="4904"/>
      </w:tblGrid>
      <w:tr w:rsidR="006D3AB5" w:rsidRPr="00DB426E" w:rsidTr="006D3AB5">
        <w:tc>
          <w:tcPr>
            <w:tcW w:w="4266" w:type="dxa"/>
            <w:shd w:val="clear" w:color="auto" w:fill="auto"/>
          </w:tcPr>
          <w:p w:rsidR="006D3AB5" w:rsidRPr="00DB426E" w:rsidRDefault="006C3F27" w:rsidP="006D3AB5">
            <w:r>
              <w:rPr>
                <w:noProof/>
                <w:lang w:eastAsia="lv-LV"/>
              </w:rPr>
              <w:drawing>
                <wp:anchor distT="0" distB="0" distL="114300" distR="114300" simplePos="0" relativeHeight="7" behindDoc="0" locked="0" layoutInCell="1" allowOverlap="1" wp14:anchorId="1254F0DC" wp14:editId="5FA8D58D">
                  <wp:simplePos x="0" y="0"/>
                  <wp:positionH relativeFrom="character">
                    <wp:posOffset>0</wp:posOffset>
                  </wp:positionH>
                  <wp:positionV relativeFrom="line">
                    <wp:posOffset>0</wp:posOffset>
                  </wp:positionV>
                  <wp:extent cx="2987040" cy="1795780"/>
                  <wp:effectExtent l="19050" t="0" r="3810" b="0"/>
                  <wp:wrapNone/>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srcRect/>
                          <a:stretch>
                            <a:fillRect/>
                          </a:stretch>
                        </pic:blipFill>
                        <pic:spPr bwMode="auto">
                          <a:xfrm>
                            <a:off x="0" y="0"/>
                            <a:ext cx="2987040" cy="1795780"/>
                          </a:xfrm>
                          <a:prstGeom prst="rect">
                            <a:avLst/>
                          </a:prstGeom>
                          <a:noFill/>
                        </pic:spPr>
                      </pic:pic>
                    </a:graphicData>
                  </a:graphic>
                </wp:anchor>
              </w:drawing>
            </w:r>
            <w:r w:rsidR="00655410">
              <w:rPr>
                <w:noProof/>
                <w:lang w:eastAsia="lv-LV"/>
              </w:rPr>
              <mc:AlternateContent>
                <mc:Choice Requires="wps">
                  <w:drawing>
                    <wp:inline distT="0" distB="0" distL="0" distR="0" wp14:anchorId="6B1573D0" wp14:editId="3108DA7D">
                      <wp:extent cx="2987040" cy="1798320"/>
                      <wp:effectExtent l="0" t="0" r="0" b="0"/>
                      <wp:docPr id="6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87040" cy="179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235.2pt;height:14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" filled="f" stroked="f">
                      <o:lock v:ext="edit" aspectratio="t"/>
                      <w10:anchorlock/>
                    </v:rect>
                  </w:pict>
                </mc:Fallback>
              </mc:AlternateContent>
            </w:r>
          </w:p>
        </w:tc>
        <w:tc>
          <w:tcPr>
            <w:tcW w:w="5091" w:type="dxa"/>
            <w:shd w:val="clear" w:color="auto" w:fill="auto"/>
          </w:tcPr>
          <w:p w:rsidR="006D3AB5" w:rsidRPr="00DB426E" w:rsidRDefault="006C3F27" w:rsidP="006D3AB5">
            <w:r>
              <w:rPr>
                <w:noProof/>
                <w:lang w:eastAsia="lv-LV"/>
              </w:rPr>
              <w:drawing>
                <wp:anchor distT="0" distB="0" distL="114300" distR="114300" simplePos="0" relativeHeight="6" behindDoc="0" locked="0" layoutInCell="1" allowOverlap="1" wp14:anchorId="3BB2C4DA" wp14:editId="5436B80F">
                  <wp:simplePos x="0" y="0"/>
                  <wp:positionH relativeFrom="character">
                    <wp:posOffset>0</wp:posOffset>
                  </wp:positionH>
                  <wp:positionV relativeFrom="line">
                    <wp:posOffset>0</wp:posOffset>
                  </wp:positionV>
                  <wp:extent cx="2976880" cy="1789430"/>
                  <wp:effectExtent l="19050" t="0" r="0" b="0"/>
                  <wp:wrapNone/>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srcRect/>
                          <a:stretch>
                            <a:fillRect/>
                          </a:stretch>
                        </pic:blipFill>
                        <pic:spPr bwMode="auto">
                          <a:xfrm>
                            <a:off x="0" y="0"/>
                            <a:ext cx="2976880" cy="1789430"/>
                          </a:xfrm>
                          <a:prstGeom prst="rect">
                            <a:avLst/>
                          </a:prstGeom>
                          <a:noFill/>
                        </pic:spPr>
                      </pic:pic>
                    </a:graphicData>
                  </a:graphic>
                </wp:anchor>
              </w:drawing>
            </w:r>
            <w:r w:rsidR="00655410">
              <w:rPr>
                <w:noProof/>
                <w:lang w:eastAsia="lv-LV"/>
              </w:rPr>
              <mc:AlternateContent>
                <mc:Choice Requires="wps">
                  <w:drawing>
                    <wp:inline distT="0" distB="0" distL="0" distR="0" wp14:anchorId="5240019F" wp14:editId="7C8B195C">
                      <wp:extent cx="2976880" cy="1788160"/>
                      <wp:effectExtent l="0" t="0" r="0" b="0"/>
                      <wp:docPr id="63"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76880" cy="178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style="width:234.4pt;height:1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" filled="f" stroked="f">
                      <o:lock v:ext="edit" aspectratio="t"/>
                      <w10:anchorlock/>
                    </v:rect>
                  </w:pict>
                </mc:Fallback>
              </mc:AlternateContent>
            </w:r>
          </w:p>
        </w:tc>
      </w:tr>
    </w:tbl>
    <w:p w:rsidR="006D3AB5" w:rsidRPr="00DB426E" w:rsidRDefault="006D3AB5" w:rsidP="00475128">
      <w:pPr>
        <w:pStyle w:val="Heading3"/>
        <w:numPr>
          <w:ilvl w:val="2"/>
          <w:numId w:val="4"/>
        </w:numPr>
      </w:pPr>
      <w:bookmarkStart w:id="234" w:name="_Toc356472870"/>
      <w:bookmarkStart w:id="235" w:name="_Toc358978712"/>
      <w:r w:rsidRPr="00DB426E">
        <w:t>Vidējie uzņēmumi</w:t>
      </w:r>
      <w:bookmarkEnd w:id="234"/>
      <w:bookmarkEnd w:id="235"/>
    </w:p>
    <w:p w:rsidR="006D3AB5" w:rsidRPr="00DB426E" w:rsidRDefault="006D3AB5" w:rsidP="006D3AB5">
      <w:r w:rsidRPr="00DB426E">
        <w:t xml:space="preserve">Tipveida vidējā segmenta uzņēmuma rādītāji: </w:t>
      </w:r>
    </w:p>
    <w:p w:rsidR="006D3AB5" w:rsidRPr="00DB426E" w:rsidRDefault="006D3AB5" w:rsidP="009B5CBF">
      <w:pPr>
        <w:pStyle w:val="ListParagraph"/>
        <w:rPr>
          <w:lang w:val="lv-LV"/>
        </w:rPr>
      </w:pPr>
      <w:r w:rsidRPr="00DB426E">
        <w:rPr>
          <w:lang w:val="lv-LV"/>
        </w:rPr>
        <w:t xml:space="preserve">NA= 22-27 milj. Ls, </w:t>
      </w:r>
    </w:p>
    <w:p w:rsidR="006D3AB5" w:rsidRPr="00DB426E" w:rsidRDefault="006D3AB5" w:rsidP="009B5CBF">
      <w:pPr>
        <w:pStyle w:val="ListParagraph"/>
        <w:rPr>
          <w:lang w:val="lv-LV"/>
        </w:rPr>
      </w:pPr>
      <w:r w:rsidRPr="00DB426E">
        <w:rPr>
          <w:lang w:val="lv-LV"/>
        </w:rPr>
        <w:t>Summārās izmaksas (ražošanas, pārdošanas, administratīvās) – 93% no NA,</w:t>
      </w:r>
    </w:p>
    <w:p w:rsidR="006D3AB5" w:rsidRPr="00DB426E" w:rsidRDefault="006D3AB5" w:rsidP="009B5CBF">
      <w:pPr>
        <w:pStyle w:val="ListParagraph"/>
        <w:rPr>
          <w:lang w:val="lv-LV"/>
        </w:rPr>
      </w:pPr>
      <w:r w:rsidRPr="00DB426E">
        <w:rPr>
          <w:lang w:val="lv-LV"/>
        </w:rPr>
        <w:t>ZP izdevumi - 0.3% no NA.</w:t>
      </w:r>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18</w:t>
      </w:r>
      <w:r w:rsidR="009B0188">
        <w:rPr>
          <w:noProof/>
        </w:rPr>
        <w:fldChar w:fldCharType="end"/>
      </w:r>
      <w:r w:rsidRPr="00DB426E">
        <w:t xml:space="preserve">. Finanšu aprēķini. 3.variants (VIDĒJIE uzņēmumi) </w:t>
      </w:r>
    </w:p>
    <w:p w:rsidR="006D3AB5" w:rsidRPr="00DB426E" w:rsidRDefault="006C3F27" w:rsidP="006D3AB5">
      <w:r>
        <w:rPr>
          <w:noProof/>
          <w:lang w:eastAsia="lv-LV"/>
        </w:rPr>
        <w:drawing>
          <wp:inline distT="0" distB="0" distL="0" distR="0" wp14:anchorId="7F58CE23" wp14:editId="0CE90E54">
            <wp:extent cx="5273040" cy="2611120"/>
            <wp:effectExtent l="1905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cstate="print"/>
                    <a:srcRect/>
                    <a:stretch>
                      <a:fillRect/>
                    </a:stretch>
                  </pic:blipFill>
                  <pic:spPr bwMode="auto">
                    <a:xfrm>
                      <a:off x="0" y="0"/>
                      <a:ext cx="5273040" cy="2611120"/>
                    </a:xfrm>
                    <a:prstGeom prst="rect">
                      <a:avLst/>
                    </a:prstGeom>
                    <a:noFill/>
                    <a:ln w="9525">
                      <a:noFill/>
                      <a:miter lim="800000"/>
                      <a:headEnd/>
                      <a:tailEnd/>
                    </a:ln>
                  </pic:spPr>
                </pic:pic>
              </a:graphicData>
            </a:graphic>
          </wp:inline>
        </w:drawing>
      </w:r>
    </w:p>
    <w:p w:rsidR="006D3AB5" w:rsidRPr="00DB426E" w:rsidRDefault="006C3F27" w:rsidP="006D3AB5">
      <w:r>
        <w:rPr>
          <w:noProof/>
          <w:lang w:eastAsia="lv-LV"/>
        </w:rPr>
        <w:drawing>
          <wp:inline distT="0" distB="0" distL="0" distR="0" wp14:anchorId="63D7587F" wp14:editId="576AF1E0">
            <wp:extent cx="5273040" cy="3566160"/>
            <wp:effectExtent l="1905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 cstate="print"/>
                    <a:srcRect/>
                    <a:stretch>
                      <a:fillRect/>
                    </a:stretch>
                  </pic:blipFill>
                  <pic:spPr bwMode="auto">
                    <a:xfrm>
                      <a:off x="0" y="0"/>
                      <a:ext cx="5273040" cy="3566160"/>
                    </a:xfrm>
                    <a:prstGeom prst="rect">
                      <a:avLst/>
                    </a:prstGeom>
                    <a:noFill/>
                    <a:ln w="9525">
                      <a:noFill/>
                      <a:miter lim="800000"/>
                      <a:headEnd/>
                      <a:tailEnd/>
                    </a:ln>
                  </pic:spPr>
                </pic:pic>
              </a:graphicData>
            </a:graphic>
          </wp:inline>
        </w:drawing>
      </w:r>
    </w:p>
    <w:p w:rsidR="00211A36" w:rsidRPr="00DB426E" w:rsidRDefault="00211A36" w:rsidP="00211A36">
      <w:pPr>
        <w:spacing w:after="0"/>
      </w:pPr>
      <w:r w:rsidRPr="00211A36">
        <w:t>Aprēķini pilnā apjomā ir pieejami elektroniski.</w:t>
      </w:r>
    </w:p>
    <w:p w:rsidR="006D3AB5" w:rsidRPr="00DB426E" w:rsidRDefault="006D3AB5" w:rsidP="0083766B">
      <w:pPr>
        <w:spacing w:before="120" w:after="0"/>
      </w:pPr>
      <w:r w:rsidRPr="00DB426E">
        <w:t>Vispārējā nodokļu maksājumu samazinājuma tendence un proporcijas atkarībā no izmaksu zinātniski pētniecisko izmaksu pieauguma saglabājas arī vidējo uzņēmumu segmentā. VSAOI, IIN pastāvīgi samazinās par 24%. UIN samazinājuma īpatsvars pieaug. Pastāvot nosacījumam, ka pieļaujamais UIN samazinājums ir ne vairāk kā par 50%, zinātnisko pētījumu izmaksām jābūt 1.5% robežās no apgrozījuma.</w:t>
      </w:r>
    </w:p>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11</w:t>
      </w:r>
      <w:r w:rsidR="009B0188">
        <w:rPr>
          <w:noProof/>
        </w:rPr>
        <w:fldChar w:fldCharType="end"/>
      </w:r>
      <w:r w:rsidRPr="00DB426E">
        <w:t>. Nodokļu izmaiņas atkarībā no ZP izdevumu lieluma (VIDĒJIE uzņēmumi)</w:t>
      </w:r>
    </w:p>
    <w:p w:rsidR="006D3AB5" w:rsidRDefault="006C3F27" w:rsidP="006D3AB5">
      <w:pPr>
        <w:jc w:val="center"/>
      </w:pPr>
      <w:r>
        <w:rPr>
          <w:noProof/>
          <w:lang w:eastAsia="lv-LV"/>
        </w:rPr>
        <w:drawing>
          <wp:inline distT="0" distB="0" distL="0" distR="0" wp14:anchorId="3CCE143D" wp14:editId="48EB3749">
            <wp:extent cx="4135120" cy="2550160"/>
            <wp:effectExtent l="0" t="0" r="17780" b="21590"/>
            <wp:docPr id="56" name="Picture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7828FD" w:rsidRDefault="007828FD" w:rsidP="006D3AB5">
      <w:pPr>
        <w:jc w:val="center"/>
      </w:pPr>
    </w:p>
    <w:p w:rsidR="007828FD" w:rsidRPr="00DB426E" w:rsidRDefault="007828FD" w:rsidP="007828FD">
      <w:pPr>
        <w:pStyle w:val="Heading3"/>
      </w:pPr>
      <w:bookmarkStart w:id="236" w:name="_Toc358978713"/>
      <w:r>
        <w:t>6.5.3. Mazie uzņēmumi</w:t>
      </w:r>
      <w:bookmarkEnd w:id="236"/>
    </w:p>
    <w:p w:rsidR="007828FD" w:rsidRPr="00607C68" w:rsidRDefault="007828FD" w:rsidP="007828FD">
      <w:pPr>
        <w:spacing w:before="120" w:after="120"/>
      </w:pPr>
      <w:r w:rsidRPr="00607C68">
        <w:t>Tipveida uzņēmuma bāzes finanšu rādītāji:</w:t>
      </w:r>
    </w:p>
    <w:p w:rsidR="007828FD" w:rsidRPr="00607C68" w:rsidRDefault="007828FD" w:rsidP="007828FD">
      <w:pPr>
        <w:pStyle w:val="ListParagraph"/>
        <w:spacing w:before="120" w:after="120"/>
        <w:rPr>
          <w:lang w:val="lv-LV"/>
        </w:rPr>
      </w:pPr>
      <w:r w:rsidRPr="00607C68">
        <w:rPr>
          <w:lang w:val="lv-LV"/>
        </w:rPr>
        <w:t xml:space="preserve">NA = 3.1-3.8 milj. Ls, </w:t>
      </w:r>
    </w:p>
    <w:p w:rsidR="007828FD" w:rsidRPr="00607C68" w:rsidRDefault="007828FD" w:rsidP="007828FD">
      <w:pPr>
        <w:pStyle w:val="ListParagraph"/>
        <w:spacing w:before="120" w:after="120"/>
        <w:rPr>
          <w:lang w:val="lv-LV"/>
        </w:rPr>
      </w:pPr>
      <w:r w:rsidRPr="00607C68">
        <w:rPr>
          <w:lang w:val="lv-LV"/>
        </w:rPr>
        <w:t>Summārās izmaksas (ražošanas, pārdošanas, administratīvās) –91% no NA,</w:t>
      </w:r>
    </w:p>
    <w:p w:rsidR="007828FD" w:rsidRPr="00607C68" w:rsidRDefault="007828FD" w:rsidP="007828FD">
      <w:pPr>
        <w:pStyle w:val="ListParagraph"/>
        <w:spacing w:before="120" w:after="120"/>
        <w:rPr>
          <w:lang w:val="lv-LV"/>
        </w:rPr>
      </w:pPr>
      <w:r w:rsidRPr="00607C68">
        <w:rPr>
          <w:lang w:val="lv-LV"/>
        </w:rPr>
        <w:t>ZP izdevumi – 0.28% no NA.</w:t>
      </w:r>
    </w:p>
    <w:p w:rsidR="007828FD" w:rsidRPr="00DB426E" w:rsidRDefault="007828FD" w:rsidP="007828FD">
      <w:pPr>
        <w:pStyle w:val="Caption"/>
        <w:jc w:val="left"/>
      </w:pPr>
      <w:r>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19</w:t>
      </w:r>
      <w:r w:rsidR="009B0188">
        <w:rPr>
          <w:noProof/>
        </w:rPr>
        <w:fldChar w:fldCharType="end"/>
      </w:r>
      <w:r>
        <w:t xml:space="preserve">. </w:t>
      </w:r>
      <w:r w:rsidRPr="00DB426E">
        <w:t>Finanšu aprēķini. 3.variants (</w:t>
      </w:r>
      <w:r>
        <w:t>MAZIE</w:t>
      </w:r>
      <w:r w:rsidRPr="00DB426E">
        <w:t xml:space="preserve"> uzņēmumi) </w:t>
      </w:r>
    </w:p>
    <w:p w:rsidR="007828FD" w:rsidRDefault="007828FD" w:rsidP="007828FD">
      <w:pPr>
        <w:pStyle w:val="Caption"/>
        <w:jc w:val="left"/>
      </w:pPr>
      <w:r w:rsidRPr="007828FD">
        <w:rPr>
          <w:noProof/>
          <w:lang w:eastAsia="lv-LV"/>
        </w:rPr>
        <w:drawing>
          <wp:inline distT="0" distB="0" distL="0" distR="0" wp14:anchorId="02B4BE2B" wp14:editId="6AF03882">
            <wp:extent cx="5837671" cy="31089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50901" cy="3116006"/>
                    </a:xfrm>
                    <a:prstGeom prst="rect">
                      <a:avLst/>
                    </a:prstGeom>
                    <a:noFill/>
                    <a:ln>
                      <a:noFill/>
                    </a:ln>
                  </pic:spPr>
                </pic:pic>
              </a:graphicData>
            </a:graphic>
          </wp:inline>
        </w:drawing>
      </w:r>
    </w:p>
    <w:p w:rsidR="007828FD" w:rsidRDefault="007828FD" w:rsidP="007828FD">
      <w:r w:rsidRPr="007828FD">
        <w:rPr>
          <w:noProof/>
          <w:lang w:eastAsia="lv-LV"/>
        </w:rPr>
        <w:drawing>
          <wp:inline distT="0" distB="0" distL="0" distR="0" wp14:anchorId="1CB4B89C" wp14:editId="5C1AF9EF">
            <wp:extent cx="5863733" cy="2590800"/>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73052" cy="2594918"/>
                    </a:xfrm>
                    <a:prstGeom prst="rect">
                      <a:avLst/>
                    </a:prstGeom>
                    <a:noFill/>
                    <a:ln>
                      <a:noFill/>
                    </a:ln>
                  </pic:spPr>
                </pic:pic>
              </a:graphicData>
            </a:graphic>
          </wp:inline>
        </w:drawing>
      </w:r>
    </w:p>
    <w:p w:rsidR="00794D82" w:rsidRPr="007828FD" w:rsidRDefault="00225B28" w:rsidP="007828FD">
      <w:r w:rsidRPr="00225B28">
        <w:rPr>
          <w:noProof/>
          <w:lang w:eastAsia="lv-LV"/>
        </w:rPr>
        <w:drawing>
          <wp:inline distT="0" distB="0" distL="0" distR="0" wp14:anchorId="11F327AF" wp14:editId="38462098">
            <wp:extent cx="5974080" cy="4124960"/>
            <wp:effectExtent l="0" t="0" r="7620" b="889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2175" cy="4123645"/>
                    </a:xfrm>
                    <a:prstGeom prst="rect">
                      <a:avLst/>
                    </a:prstGeom>
                    <a:noFill/>
                    <a:ln>
                      <a:noFill/>
                    </a:ln>
                  </pic:spPr>
                </pic:pic>
              </a:graphicData>
            </a:graphic>
          </wp:inline>
        </w:drawing>
      </w:r>
    </w:p>
    <w:p w:rsidR="00211A36" w:rsidRPr="00F52AC9" w:rsidRDefault="00211A36" w:rsidP="00211A36">
      <w:pPr>
        <w:spacing w:after="0"/>
      </w:pPr>
      <w:r w:rsidRPr="00F52AC9">
        <w:t>Aprēķini pilnā apjomā ir pieejami elektroniski.</w:t>
      </w:r>
    </w:p>
    <w:p w:rsidR="006D3AB5" w:rsidRPr="00C364F9" w:rsidRDefault="00F52AC9" w:rsidP="0083766B">
      <w:pPr>
        <w:spacing w:before="120" w:after="0"/>
      </w:pPr>
      <w:r w:rsidRPr="00F52AC9">
        <w:t xml:space="preserve">Atbilstoši statistikas datiem par 2010.gadu mazie uzņēmumu zinātniskos pētījumos vidēji iegulda aptuveni 8.4 tūkst. latu gadā, kas, vidējam apgrozījumam esot 3-4 milj. latu, veido mazāk nekā 0.3% no NV. Pastāvot šādiem pieņēmumiem, summārais nodokļu samazinājums nepārsniedz 5.75 tūkst. latu </w:t>
      </w:r>
      <w:r w:rsidR="00A33811" w:rsidRPr="00F52AC9">
        <w:t xml:space="preserve"> (</w:t>
      </w:r>
      <w:r w:rsidR="00A33811" w:rsidRPr="00F52AC9">
        <w:rPr>
          <w:lang w:val="ru-RU"/>
        </w:rPr>
        <w:fldChar w:fldCharType="begin"/>
      </w:r>
      <w:r w:rsidR="00A33811" w:rsidRPr="00F52AC9">
        <w:instrText xml:space="preserve"> REF _Ref358812904 \h </w:instrText>
      </w:r>
      <w:r w:rsidRPr="00F52AC9">
        <w:instrText xml:space="preserve"> \* MERGEFORMAT </w:instrText>
      </w:r>
      <w:r w:rsidR="00A33811" w:rsidRPr="00F52AC9">
        <w:rPr>
          <w:lang w:val="ru-RU"/>
        </w:rPr>
      </w:r>
      <w:r w:rsidR="00A33811" w:rsidRPr="00F52AC9">
        <w:rPr>
          <w:lang w:val="ru-RU"/>
        </w:rPr>
        <w:fldChar w:fldCharType="separate"/>
      </w:r>
      <w:r w:rsidR="00A33811" w:rsidRPr="00F52AC9">
        <w:t xml:space="preserve">Tabula </w:t>
      </w:r>
      <w:r w:rsidR="00A33811" w:rsidRPr="00F52AC9">
        <w:rPr>
          <w:noProof/>
        </w:rPr>
        <w:t>6</w:t>
      </w:r>
      <w:r w:rsidR="00A33811" w:rsidRPr="00F52AC9">
        <w:noBreakHyphen/>
      </w:r>
      <w:r w:rsidR="00A33811" w:rsidRPr="00F52AC9">
        <w:rPr>
          <w:noProof/>
        </w:rPr>
        <w:t>20</w:t>
      </w:r>
      <w:r w:rsidR="00A33811" w:rsidRPr="00F52AC9">
        <w:rPr>
          <w:lang w:val="ru-RU"/>
        </w:rPr>
        <w:fldChar w:fldCharType="end"/>
      </w:r>
      <w:r w:rsidR="00A33811" w:rsidRPr="00F52AC9">
        <w:t>).</w:t>
      </w:r>
    </w:p>
    <w:p w:rsidR="00D519B2" w:rsidRPr="00DB426E" w:rsidRDefault="00D519B2" w:rsidP="00D519B2">
      <w:pPr>
        <w:pStyle w:val="Caption"/>
        <w:jc w:val="left"/>
      </w:pPr>
      <w:bookmarkStart w:id="237" w:name="_Ref358812904"/>
      <w:r>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20</w:t>
      </w:r>
      <w:r w:rsidR="009B0188">
        <w:rPr>
          <w:noProof/>
        </w:rPr>
        <w:fldChar w:fldCharType="end"/>
      </w:r>
      <w:bookmarkEnd w:id="237"/>
      <w:r w:rsidRPr="000320F6">
        <w:t xml:space="preserve">. </w:t>
      </w:r>
      <w:r w:rsidRPr="00DB426E">
        <w:t xml:space="preserve">Nodokļu </w:t>
      </w:r>
      <w:r>
        <w:t>maksājumu samazinājums</w:t>
      </w:r>
      <w:r w:rsidRPr="00DB426E">
        <w:t xml:space="preserve"> atkarībā no ZP izdevumu lieluma (</w:t>
      </w:r>
      <w:r>
        <w:t>MAZIE</w:t>
      </w:r>
      <w:r w:rsidRPr="00DB426E">
        <w:t xml:space="preserve"> uzņēmumi)</w:t>
      </w:r>
    </w:p>
    <w:tbl>
      <w:tblPr>
        <w:tblW w:w="8890" w:type="dxa"/>
        <w:tblInd w:w="103" w:type="dxa"/>
        <w:tblLook w:val="04A0" w:firstRow="1" w:lastRow="0" w:firstColumn="1" w:lastColumn="0" w:noHBand="0" w:noVBand="1"/>
      </w:tblPr>
      <w:tblGrid>
        <w:gridCol w:w="1990"/>
        <w:gridCol w:w="1380"/>
        <w:gridCol w:w="1380"/>
        <w:gridCol w:w="1380"/>
        <w:gridCol w:w="1380"/>
        <w:gridCol w:w="1380"/>
      </w:tblGrid>
      <w:tr w:rsidR="00225B28" w:rsidRPr="00225B28" w:rsidTr="00D519B2">
        <w:trPr>
          <w:trHeight w:val="300"/>
        </w:trPr>
        <w:tc>
          <w:tcPr>
            <w:tcW w:w="1990" w:type="dxa"/>
            <w:tcBorders>
              <w:top w:val="single" w:sz="4" w:space="0" w:color="auto"/>
              <w:left w:val="single" w:sz="4" w:space="0" w:color="auto"/>
              <w:bottom w:val="nil"/>
              <w:right w:val="single" w:sz="4" w:space="0" w:color="auto"/>
            </w:tcBorders>
            <w:shd w:val="clear" w:color="000000" w:fill="D9D9D9"/>
            <w:noWrap/>
            <w:vAlign w:val="bottom"/>
            <w:hideMark/>
          </w:tcPr>
          <w:p w:rsidR="00225B28" w:rsidRPr="00225B28" w:rsidRDefault="00225B28" w:rsidP="00225B28">
            <w:pPr>
              <w:spacing w:after="0" w:line="240" w:lineRule="auto"/>
              <w:jc w:val="left"/>
              <w:rPr>
                <w:rFonts w:eastAsia="Times New Roman"/>
                <w:b/>
                <w:bCs/>
                <w:color w:val="000000"/>
                <w:lang w:eastAsia="lv-LV"/>
              </w:rPr>
            </w:pPr>
            <w:r w:rsidRPr="00225B28">
              <w:rPr>
                <w:rFonts w:eastAsia="Times New Roman"/>
                <w:b/>
                <w:bCs/>
                <w:color w:val="000000"/>
                <w:lang w:eastAsia="lv-LV"/>
              </w:rPr>
              <w:t> </w:t>
            </w:r>
          </w:p>
        </w:tc>
        <w:tc>
          <w:tcPr>
            <w:tcW w:w="6900" w:type="dxa"/>
            <w:gridSpan w:val="5"/>
            <w:tcBorders>
              <w:top w:val="single" w:sz="4" w:space="0" w:color="auto"/>
              <w:left w:val="nil"/>
              <w:bottom w:val="single" w:sz="4" w:space="0" w:color="auto"/>
              <w:right w:val="single" w:sz="4" w:space="0" w:color="auto"/>
            </w:tcBorders>
            <w:shd w:val="clear" w:color="000000" w:fill="D9D9D9"/>
            <w:noWrap/>
            <w:vAlign w:val="bottom"/>
            <w:hideMark/>
          </w:tcPr>
          <w:p w:rsidR="00225B28" w:rsidRPr="00225B28" w:rsidRDefault="00225B28" w:rsidP="00225B28">
            <w:pPr>
              <w:spacing w:after="0" w:line="240" w:lineRule="auto"/>
              <w:jc w:val="center"/>
              <w:rPr>
                <w:rFonts w:eastAsia="Times New Roman"/>
                <w:b/>
                <w:bCs/>
                <w:lang w:eastAsia="lv-LV"/>
              </w:rPr>
            </w:pPr>
            <w:r w:rsidRPr="00225B28">
              <w:rPr>
                <w:rFonts w:eastAsia="Times New Roman"/>
                <w:b/>
                <w:bCs/>
                <w:lang w:eastAsia="lv-LV"/>
              </w:rPr>
              <w:t>ZP izdevumi (% no NA)</w:t>
            </w:r>
          </w:p>
        </w:tc>
      </w:tr>
      <w:tr w:rsidR="00225B28" w:rsidRPr="00225B28" w:rsidTr="00D519B2">
        <w:trPr>
          <w:trHeight w:val="300"/>
        </w:trPr>
        <w:tc>
          <w:tcPr>
            <w:tcW w:w="1990" w:type="dxa"/>
            <w:tcBorders>
              <w:top w:val="nil"/>
              <w:left w:val="single" w:sz="4" w:space="0" w:color="auto"/>
              <w:bottom w:val="single" w:sz="4" w:space="0" w:color="auto"/>
              <w:right w:val="single" w:sz="4" w:space="0" w:color="auto"/>
            </w:tcBorders>
            <w:shd w:val="clear" w:color="000000" w:fill="D9D9D9"/>
            <w:noWrap/>
            <w:vAlign w:val="bottom"/>
            <w:hideMark/>
          </w:tcPr>
          <w:p w:rsidR="00225B28" w:rsidRPr="00225B28" w:rsidRDefault="00225B28" w:rsidP="00225B28">
            <w:pPr>
              <w:spacing w:after="0" w:line="240" w:lineRule="auto"/>
              <w:jc w:val="left"/>
              <w:rPr>
                <w:rFonts w:eastAsia="Times New Roman"/>
                <w:color w:val="000000"/>
                <w:lang w:eastAsia="lv-LV"/>
              </w:rPr>
            </w:pPr>
            <w:r w:rsidRPr="00225B28">
              <w:rPr>
                <w:rFonts w:eastAsia="Times New Roman"/>
                <w:color w:val="000000"/>
                <w:lang w:eastAsia="lv-LV"/>
              </w:rPr>
              <w:t> </w:t>
            </w:r>
          </w:p>
        </w:tc>
        <w:tc>
          <w:tcPr>
            <w:tcW w:w="1380" w:type="dxa"/>
            <w:tcBorders>
              <w:top w:val="nil"/>
              <w:left w:val="nil"/>
              <w:bottom w:val="single" w:sz="4" w:space="0" w:color="auto"/>
              <w:right w:val="single" w:sz="4" w:space="0" w:color="auto"/>
            </w:tcBorders>
            <w:shd w:val="clear" w:color="000000" w:fill="D9D9D9"/>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0.5%</w:t>
            </w:r>
          </w:p>
        </w:tc>
        <w:tc>
          <w:tcPr>
            <w:tcW w:w="1380" w:type="dxa"/>
            <w:tcBorders>
              <w:top w:val="nil"/>
              <w:left w:val="nil"/>
              <w:bottom w:val="single" w:sz="4" w:space="0" w:color="auto"/>
              <w:right w:val="single" w:sz="4" w:space="0" w:color="auto"/>
            </w:tcBorders>
            <w:shd w:val="clear" w:color="000000" w:fill="D9D9D9"/>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1.0%</w:t>
            </w:r>
          </w:p>
        </w:tc>
        <w:tc>
          <w:tcPr>
            <w:tcW w:w="1380" w:type="dxa"/>
            <w:tcBorders>
              <w:top w:val="nil"/>
              <w:left w:val="nil"/>
              <w:bottom w:val="single" w:sz="4" w:space="0" w:color="auto"/>
              <w:right w:val="single" w:sz="4" w:space="0" w:color="auto"/>
            </w:tcBorders>
            <w:shd w:val="clear" w:color="000000" w:fill="D9D9D9"/>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1.5%</w:t>
            </w:r>
          </w:p>
        </w:tc>
        <w:tc>
          <w:tcPr>
            <w:tcW w:w="1380" w:type="dxa"/>
            <w:tcBorders>
              <w:top w:val="nil"/>
              <w:left w:val="nil"/>
              <w:bottom w:val="single" w:sz="4" w:space="0" w:color="auto"/>
              <w:right w:val="single" w:sz="4" w:space="0" w:color="auto"/>
            </w:tcBorders>
            <w:shd w:val="clear" w:color="000000" w:fill="D9D9D9"/>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2.0%</w:t>
            </w:r>
          </w:p>
        </w:tc>
        <w:tc>
          <w:tcPr>
            <w:tcW w:w="1380" w:type="dxa"/>
            <w:tcBorders>
              <w:top w:val="nil"/>
              <w:left w:val="nil"/>
              <w:bottom w:val="single" w:sz="4" w:space="0" w:color="auto"/>
              <w:right w:val="single" w:sz="4" w:space="0" w:color="auto"/>
            </w:tcBorders>
            <w:shd w:val="clear" w:color="000000" w:fill="D9D9D9"/>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2.5%</w:t>
            </w:r>
          </w:p>
        </w:tc>
      </w:tr>
      <w:tr w:rsidR="00225B28" w:rsidRPr="00225B28" w:rsidTr="00D519B2">
        <w:trPr>
          <w:trHeight w:val="300"/>
        </w:trPr>
        <w:tc>
          <w:tcPr>
            <w:tcW w:w="8890"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225B28" w:rsidRPr="00225B28" w:rsidRDefault="00225B28" w:rsidP="00225B28">
            <w:pPr>
              <w:spacing w:after="0" w:line="240" w:lineRule="auto"/>
              <w:jc w:val="center"/>
              <w:rPr>
                <w:rFonts w:eastAsia="Times New Roman"/>
                <w:b/>
                <w:bCs/>
                <w:i/>
                <w:iCs/>
                <w:color w:val="000000"/>
                <w:lang w:eastAsia="lv-LV"/>
              </w:rPr>
            </w:pPr>
            <w:r w:rsidRPr="00225B28">
              <w:rPr>
                <w:rFonts w:eastAsia="Times New Roman"/>
                <w:b/>
                <w:bCs/>
                <w:i/>
                <w:iCs/>
                <w:color w:val="000000"/>
                <w:lang w:eastAsia="lv-LV"/>
              </w:rPr>
              <w:t>Nodokļu samazinājums absolūtos skaitļos (tūkst.</w:t>
            </w:r>
            <w:r w:rsidR="00D519B2" w:rsidRPr="000320F6">
              <w:rPr>
                <w:rFonts w:eastAsia="Times New Roman"/>
                <w:b/>
                <w:bCs/>
                <w:i/>
                <w:iCs/>
                <w:color w:val="000000"/>
                <w:lang w:val="en-US" w:eastAsia="lv-LV"/>
              </w:rPr>
              <w:t xml:space="preserve"> </w:t>
            </w:r>
            <w:r w:rsidRPr="00225B28">
              <w:rPr>
                <w:rFonts w:eastAsia="Times New Roman"/>
                <w:b/>
                <w:bCs/>
                <w:i/>
                <w:iCs/>
                <w:color w:val="000000"/>
                <w:lang w:eastAsia="lv-LV"/>
              </w:rPr>
              <w:t>LVL)</w:t>
            </w:r>
          </w:p>
        </w:tc>
      </w:tr>
      <w:tr w:rsidR="00225B28" w:rsidRPr="00225B28" w:rsidTr="00D519B2">
        <w:trPr>
          <w:trHeight w:val="300"/>
        </w:trPr>
        <w:tc>
          <w:tcPr>
            <w:tcW w:w="1990" w:type="dxa"/>
            <w:tcBorders>
              <w:top w:val="nil"/>
              <w:left w:val="single" w:sz="4" w:space="0" w:color="auto"/>
              <w:bottom w:val="nil"/>
              <w:right w:val="single" w:sz="4" w:space="0" w:color="auto"/>
            </w:tcBorders>
            <w:shd w:val="clear" w:color="auto" w:fill="auto"/>
            <w:noWrap/>
            <w:vAlign w:val="bottom"/>
            <w:hideMark/>
          </w:tcPr>
          <w:p w:rsidR="00225B28" w:rsidRPr="00225B28" w:rsidRDefault="00225B28" w:rsidP="00225B28">
            <w:pPr>
              <w:spacing w:after="0" w:line="240" w:lineRule="auto"/>
              <w:jc w:val="left"/>
              <w:rPr>
                <w:rFonts w:eastAsia="Times New Roman"/>
                <w:color w:val="000000"/>
                <w:lang w:eastAsia="lv-LV"/>
              </w:rPr>
            </w:pPr>
            <w:r w:rsidRPr="00225B28">
              <w:rPr>
                <w:rFonts w:eastAsia="Times New Roman"/>
                <w:color w:val="000000"/>
                <w:lang w:eastAsia="lv-LV"/>
              </w:rPr>
              <w:t xml:space="preserve">VSAOI+IIN </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-1.36</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-2.73</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-4.09</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-5.46</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lang w:eastAsia="lv-LV"/>
              </w:rPr>
            </w:pPr>
            <w:r w:rsidRPr="00225B28">
              <w:rPr>
                <w:rFonts w:eastAsia="Times New Roman"/>
                <w:lang w:eastAsia="lv-LV"/>
              </w:rPr>
              <w:t>-6.82</w:t>
            </w:r>
          </w:p>
        </w:tc>
      </w:tr>
      <w:tr w:rsidR="00225B28" w:rsidRPr="00225B28" w:rsidTr="00D519B2">
        <w:trPr>
          <w:trHeight w:val="300"/>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left"/>
              <w:rPr>
                <w:rFonts w:eastAsia="Times New Roman"/>
                <w:color w:val="000000"/>
                <w:lang w:eastAsia="lv-LV"/>
              </w:rPr>
            </w:pPr>
            <w:r w:rsidRPr="00225B28">
              <w:rPr>
                <w:rFonts w:eastAsia="Times New Roman"/>
                <w:color w:val="000000"/>
                <w:lang w:eastAsia="lv-LV"/>
              </w:rPr>
              <w:t xml:space="preserve">UIN </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-4.39</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-8.78</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-13.17</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-17.56</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-21.95</w:t>
            </w:r>
          </w:p>
        </w:tc>
      </w:tr>
      <w:tr w:rsidR="00225B28" w:rsidRPr="00225B28" w:rsidTr="00D519B2">
        <w:trPr>
          <w:trHeight w:val="300"/>
        </w:trPr>
        <w:tc>
          <w:tcPr>
            <w:tcW w:w="8890"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225B28" w:rsidRPr="00225B28" w:rsidRDefault="00225B28" w:rsidP="00225B28">
            <w:pPr>
              <w:spacing w:after="0" w:line="240" w:lineRule="auto"/>
              <w:jc w:val="center"/>
              <w:rPr>
                <w:rFonts w:eastAsia="Times New Roman"/>
                <w:b/>
                <w:bCs/>
                <w:i/>
                <w:iCs/>
                <w:color w:val="000000"/>
                <w:lang w:eastAsia="lv-LV"/>
              </w:rPr>
            </w:pPr>
            <w:r w:rsidRPr="00225B28">
              <w:rPr>
                <w:rFonts w:eastAsia="Times New Roman"/>
                <w:b/>
                <w:bCs/>
                <w:i/>
                <w:iCs/>
                <w:color w:val="000000"/>
                <w:lang w:eastAsia="lv-LV"/>
              </w:rPr>
              <w:t>Nodokļu samazinājums procentos no inerces varianta</w:t>
            </w:r>
          </w:p>
        </w:tc>
      </w:tr>
      <w:tr w:rsidR="00225B28" w:rsidRPr="00225B28" w:rsidTr="00D519B2">
        <w:trPr>
          <w:trHeight w:val="300"/>
        </w:trPr>
        <w:tc>
          <w:tcPr>
            <w:tcW w:w="1990" w:type="dxa"/>
            <w:tcBorders>
              <w:top w:val="nil"/>
              <w:left w:val="single" w:sz="4" w:space="0" w:color="auto"/>
              <w:bottom w:val="nil"/>
              <w:right w:val="single" w:sz="4" w:space="0" w:color="auto"/>
            </w:tcBorders>
            <w:shd w:val="clear" w:color="auto" w:fill="auto"/>
            <w:noWrap/>
            <w:vAlign w:val="bottom"/>
            <w:hideMark/>
          </w:tcPr>
          <w:p w:rsidR="00225B28" w:rsidRPr="00225B28" w:rsidRDefault="00225B28" w:rsidP="00225B28">
            <w:pPr>
              <w:spacing w:after="0" w:line="240" w:lineRule="auto"/>
              <w:jc w:val="left"/>
              <w:rPr>
                <w:rFonts w:eastAsia="Times New Roman"/>
                <w:color w:val="000000"/>
                <w:lang w:eastAsia="lv-LV"/>
              </w:rPr>
            </w:pPr>
            <w:r w:rsidRPr="00225B28">
              <w:rPr>
                <w:rFonts w:eastAsia="Times New Roman"/>
                <w:color w:val="000000"/>
                <w:lang w:eastAsia="lv-LV"/>
              </w:rPr>
              <w:t xml:space="preserve">VSAOI+IIN </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-24.1%</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-24.1%</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-24.1%</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-24.1%</w:t>
            </w:r>
          </w:p>
        </w:tc>
        <w:tc>
          <w:tcPr>
            <w:tcW w:w="1380" w:type="dxa"/>
            <w:tcBorders>
              <w:top w:val="nil"/>
              <w:left w:val="nil"/>
              <w:bottom w:val="nil"/>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-24.1%</w:t>
            </w:r>
          </w:p>
        </w:tc>
      </w:tr>
      <w:tr w:rsidR="00225B28" w:rsidRPr="00225B28" w:rsidTr="00D519B2">
        <w:trPr>
          <w:trHeight w:val="300"/>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left"/>
              <w:rPr>
                <w:rFonts w:eastAsia="Times New Roman"/>
                <w:color w:val="000000"/>
                <w:lang w:eastAsia="lv-LV"/>
              </w:rPr>
            </w:pPr>
            <w:r w:rsidRPr="00225B28">
              <w:rPr>
                <w:rFonts w:eastAsia="Times New Roman"/>
                <w:color w:val="000000"/>
                <w:lang w:eastAsia="lv-LV"/>
              </w:rPr>
              <w:t xml:space="preserve">UIN </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-11.2%</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-25.0%</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-42.3%</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-64.7%</w:t>
            </w:r>
          </w:p>
        </w:tc>
        <w:tc>
          <w:tcPr>
            <w:tcW w:w="1380" w:type="dxa"/>
            <w:tcBorders>
              <w:top w:val="nil"/>
              <w:left w:val="nil"/>
              <w:bottom w:val="single" w:sz="4" w:space="0" w:color="auto"/>
              <w:right w:val="single" w:sz="4" w:space="0" w:color="auto"/>
            </w:tcBorders>
            <w:shd w:val="clear" w:color="auto" w:fill="auto"/>
            <w:noWrap/>
            <w:vAlign w:val="bottom"/>
            <w:hideMark/>
          </w:tcPr>
          <w:p w:rsidR="00225B28" w:rsidRPr="00225B28" w:rsidRDefault="00225B28" w:rsidP="00225B28">
            <w:pPr>
              <w:spacing w:after="0" w:line="240" w:lineRule="auto"/>
              <w:jc w:val="center"/>
              <w:rPr>
                <w:rFonts w:eastAsia="Times New Roman"/>
                <w:color w:val="000000"/>
                <w:lang w:eastAsia="lv-LV"/>
              </w:rPr>
            </w:pPr>
            <w:r w:rsidRPr="00225B28">
              <w:rPr>
                <w:rFonts w:eastAsia="Times New Roman"/>
                <w:color w:val="000000"/>
                <w:lang w:eastAsia="lv-LV"/>
              </w:rPr>
              <w:t>-95.0%</w:t>
            </w:r>
          </w:p>
        </w:tc>
      </w:tr>
    </w:tbl>
    <w:p w:rsidR="00225B28" w:rsidRDefault="00225B28" w:rsidP="006D3AB5">
      <w:pPr>
        <w:rPr>
          <w:lang w:val="ru-RU"/>
        </w:rPr>
      </w:pPr>
    </w:p>
    <w:p w:rsidR="00A33811" w:rsidRPr="00225B28" w:rsidRDefault="00A33811" w:rsidP="006D3AB5">
      <w:pPr>
        <w:rPr>
          <w:lang w:val="ru-RU"/>
        </w:rPr>
      </w:pPr>
    </w:p>
    <w:p w:rsidR="006D3AB5" w:rsidRPr="00DB426E" w:rsidRDefault="006D3AB5" w:rsidP="00475128">
      <w:pPr>
        <w:pStyle w:val="Heading2"/>
        <w:numPr>
          <w:ilvl w:val="1"/>
          <w:numId w:val="4"/>
        </w:numPr>
        <w:suppressAutoHyphens w:val="0"/>
        <w:spacing w:before="240" w:after="60"/>
        <w:jc w:val="both"/>
      </w:pPr>
      <w:bookmarkStart w:id="238" w:name="_Toc355007979"/>
      <w:bookmarkStart w:id="239" w:name="_Toc355008142"/>
      <w:bookmarkStart w:id="240" w:name="_Toc356472871"/>
      <w:bookmarkStart w:id="241" w:name="_Toc358978714"/>
      <w:r w:rsidRPr="00DB426E">
        <w:t>Nodokļu atvieglojumu alternatīvie varianti un to ietekme uz budžetu</w:t>
      </w:r>
      <w:bookmarkEnd w:id="238"/>
      <w:bookmarkEnd w:id="239"/>
      <w:bookmarkEnd w:id="240"/>
      <w:bookmarkEnd w:id="241"/>
    </w:p>
    <w:p w:rsidR="006D3AB5" w:rsidRPr="00DB426E" w:rsidRDefault="006D3AB5" w:rsidP="006D3AB5">
      <w:r w:rsidRPr="00DB426E">
        <w:t>Lai palielinātu uzņēmuma rīcībā paliekošos līdzekļus un stimulētu to mērķtiecīgu izmantošanu zinātniskiem pētījumiem (kā daļu no inovāciju procesa), virknē valstu tiek pielietots nodokļu atvieglojumu mehānisms. T.i., mākslīgi tiek samazināts ar nodokli apliekamais uzņēmuma ienākums, kas samazina aprēķināto UIN.</w:t>
      </w:r>
    </w:p>
    <w:p w:rsidR="006D3AB5" w:rsidRPr="00DB426E" w:rsidRDefault="006D3AB5" w:rsidP="006D3AB5">
      <w:r w:rsidRPr="00DB426E">
        <w:t xml:space="preserve">Latvijas likumdošanā šāda pieeja darbojas attiecībā uz amortizācijas atskaitījumiem, kuri palielinās 1.5 reizes jaunam ražošanas aprīkojumam, kas iegādāts taksācijas gadā. T.i., otro inovāciju posmu (zinātnisko izstrāžu ieviešana ražošanā) pastāvošā likumdošana jau stimulē. </w:t>
      </w:r>
    </w:p>
    <w:p w:rsidR="006D3AB5" w:rsidRPr="00DB426E" w:rsidRDefault="006D3AB5" w:rsidP="006D3AB5">
      <w:r w:rsidRPr="00DB426E">
        <w:t xml:space="preserve">Tā kā zinātniski pētnieciskie izdevumi pamatā atspoguļojas kārtējās izmaksās, tiek izskatīts variants, kā tās vairākkārtīgi palielināt, aprēķinot apliekamo ienākumu. </w:t>
      </w:r>
    </w:p>
    <w:p w:rsidR="006D3AB5" w:rsidRPr="00F52AC9" w:rsidRDefault="006D3AB5" w:rsidP="006D3AB5">
      <w:r w:rsidRPr="00DB426E">
        <w:t xml:space="preserve">Saskaņā </w:t>
      </w:r>
      <w:r w:rsidR="000320F6">
        <w:t xml:space="preserve">ar </w:t>
      </w:r>
      <w:r w:rsidRPr="00DB426E">
        <w:t xml:space="preserve">veikto analīzi </w:t>
      </w:r>
      <w:r w:rsidRPr="00F52AC9">
        <w:t xml:space="preserve">šāds UIN nodokļa aprēķina princips ļauj samazināt maksājumus </w:t>
      </w:r>
      <w:r w:rsidRPr="00F52AC9">
        <w:rPr>
          <w:u w:val="single"/>
        </w:rPr>
        <w:t>lielajiem</w:t>
      </w:r>
      <w:r w:rsidRPr="00F52AC9">
        <w:t xml:space="preserve"> uzņēmumiem (ja zinātnisko pētījumu izmaksu palielināšanas koeficients Кр=250%) par 11-28%, </w:t>
      </w:r>
      <w:r w:rsidRPr="00F52AC9">
        <w:rPr>
          <w:u w:val="single"/>
        </w:rPr>
        <w:t>vidējiem</w:t>
      </w:r>
      <w:r w:rsidRPr="00F52AC9">
        <w:t xml:space="preserve"> uzņēmumiem (Кр=300%) – par 13-35%</w:t>
      </w:r>
      <w:r w:rsidR="000320F6" w:rsidRPr="00F52AC9">
        <w:t xml:space="preserve">, </w:t>
      </w:r>
      <w:r w:rsidR="000320F6" w:rsidRPr="00F52AC9">
        <w:rPr>
          <w:u w:val="single"/>
        </w:rPr>
        <w:t>maziem</w:t>
      </w:r>
      <w:r w:rsidR="000320F6" w:rsidRPr="00F52AC9">
        <w:t xml:space="preserve"> </w:t>
      </w:r>
      <w:r w:rsidR="006B1BEE" w:rsidRPr="00F52AC9">
        <w:t xml:space="preserve">uzņēmumiem </w:t>
      </w:r>
      <w:r w:rsidR="000320F6" w:rsidRPr="00F52AC9">
        <w:t xml:space="preserve">(Кр=300%) – par </w:t>
      </w:r>
      <w:r w:rsidR="006B1BEE" w:rsidRPr="00F52AC9">
        <w:t>1</w:t>
      </w:r>
      <w:r w:rsidR="00995F63" w:rsidRPr="00995F63">
        <w:t>1</w:t>
      </w:r>
      <w:r w:rsidR="006B1BEE" w:rsidRPr="00F52AC9">
        <w:t>-45</w:t>
      </w:r>
      <w:r w:rsidR="000320F6" w:rsidRPr="00F52AC9">
        <w:t>%</w:t>
      </w:r>
      <w:r w:rsidR="002928F9" w:rsidRPr="00F52AC9">
        <w:t xml:space="preserve"> (</w:t>
      </w:r>
      <w:r w:rsidR="002928F9" w:rsidRPr="00F52AC9">
        <w:fldChar w:fldCharType="begin"/>
      </w:r>
      <w:r w:rsidR="002928F9" w:rsidRPr="00F52AC9">
        <w:instrText xml:space="preserve"> REF _Ref354734387 \h </w:instrText>
      </w:r>
      <w:r w:rsidR="00F52AC9">
        <w:instrText xml:space="preserve"> \* MERGEFORMAT </w:instrText>
      </w:r>
      <w:r w:rsidR="002928F9" w:rsidRPr="00F52AC9">
        <w:fldChar w:fldCharType="separate"/>
      </w:r>
      <w:r w:rsidR="002928F9" w:rsidRPr="00F52AC9">
        <w:t xml:space="preserve">Tabula </w:t>
      </w:r>
      <w:r w:rsidR="002928F9" w:rsidRPr="00F52AC9">
        <w:rPr>
          <w:noProof/>
        </w:rPr>
        <w:t>6</w:t>
      </w:r>
      <w:r w:rsidR="002928F9" w:rsidRPr="00F52AC9">
        <w:noBreakHyphen/>
      </w:r>
      <w:r w:rsidR="002928F9" w:rsidRPr="00F52AC9">
        <w:rPr>
          <w:noProof/>
        </w:rPr>
        <w:t>21</w:t>
      </w:r>
      <w:r w:rsidR="002928F9" w:rsidRPr="00F52AC9">
        <w:fldChar w:fldCharType="end"/>
      </w:r>
      <w:r w:rsidR="002928F9" w:rsidRPr="00F52AC9">
        <w:t>,</w:t>
      </w:r>
      <w:r w:rsidR="002928F9" w:rsidRPr="00F52AC9">
        <w:fldChar w:fldCharType="begin"/>
      </w:r>
      <w:r w:rsidR="002928F9" w:rsidRPr="00F52AC9">
        <w:instrText xml:space="preserve"> REF _Ref358883762 \h </w:instrText>
      </w:r>
      <w:r w:rsidR="00F52AC9" w:rsidRPr="00F52AC9">
        <w:instrText xml:space="preserve"> \* MERGEFORMAT </w:instrText>
      </w:r>
      <w:r w:rsidR="002928F9" w:rsidRPr="00F52AC9">
        <w:fldChar w:fldCharType="separate"/>
      </w:r>
      <w:r w:rsidR="002928F9" w:rsidRPr="00F52AC9">
        <w:t xml:space="preserve">Tabula </w:t>
      </w:r>
      <w:r w:rsidR="002928F9" w:rsidRPr="00F52AC9">
        <w:rPr>
          <w:noProof/>
        </w:rPr>
        <w:t>6</w:t>
      </w:r>
      <w:r w:rsidR="002928F9" w:rsidRPr="00F52AC9">
        <w:noBreakHyphen/>
      </w:r>
      <w:r w:rsidR="002928F9" w:rsidRPr="00F52AC9">
        <w:rPr>
          <w:noProof/>
        </w:rPr>
        <w:t>22</w:t>
      </w:r>
      <w:r w:rsidR="002928F9" w:rsidRPr="00F52AC9">
        <w:fldChar w:fldCharType="end"/>
      </w:r>
      <w:r w:rsidR="002928F9" w:rsidRPr="00F52AC9">
        <w:t>,</w:t>
      </w:r>
      <w:r w:rsidR="002928F9" w:rsidRPr="00F52AC9">
        <w:fldChar w:fldCharType="begin"/>
      </w:r>
      <w:r w:rsidR="002928F9" w:rsidRPr="00F52AC9">
        <w:instrText xml:space="preserve"> REF _Ref358883764 \h </w:instrText>
      </w:r>
      <w:r w:rsidR="00F52AC9" w:rsidRPr="00F52AC9">
        <w:instrText xml:space="preserve"> \* MERGEFORMAT </w:instrText>
      </w:r>
      <w:r w:rsidR="002928F9" w:rsidRPr="00F52AC9">
        <w:fldChar w:fldCharType="separate"/>
      </w:r>
      <w:r w:rsidR="002928F9" w:rsidRPr="00F52AC9">
        <w:t xml:space="preserve">Tabula </w:t>
      </w:r>
      <w:r w:rsidR="002928F9" w:rsidRPr="00F52AC9">
        <w:rPr>
          <w:noProof/>
        </w:rPr>
        <w:t>6</w:t>
      </w:r>
      <w:r w:rsidR="002928F9" w:rsidRPr="00F52AC9">
        <w:noBreakHyphen/>
      </w:r>
      <w:r w:rsidR="002928F9" w:rsidRPr="00F52AC9">
        <w:rPr>
          <w:noProof/>
        </w:rPr>
        <w:t>23</w:t>
      </w:r>
      <w:r w:rsidR="002928F9" w:rsidRPr="00F52AC9">
        <w:fldChar w:fldCharType="end"/>
      </w:r>
      <w:r w:rsidR="002928F9" w:rsidRPr="00F52AC9">
        <w:t>)</w:t>
      </w:r>
      <w:r w:rsidR="000320F6" w:rsidRPr="00F52AC9">
        <w:t>.</w:t>
      </w:r>
    </w:p>
    <w:p w:rsidR="008B7055" w:rsidRPr="00F52AC9" w:rsidRDefault="008B7055" w:rsidP="008B7055">
      <w:pPr>
        <w:rPr>
          <w:rFonts w:eastAsia="Times New Roman"/>
          <w:lang w:eastAsia="lv-LV"/>
        </w:rPr>
      </w:pPr>
      <w:r w:rsidRPr="00F52AC9">
        <w:t>Kopējais nodokļu maksājumu samazinājums 2.variantā (</w:t>
      </w:r>
      <w:r w:rsidRPr="00F52AC9">
        <w:rPr>
          <w:rFonts w:eastAsia="Times New Roman"/>
          <w:lang w:eastAsia="lv-LV"/>
        </w:rPr>
        <w:t xml:space="preserve">VSAOI,INN likmju atvieglojums 25%) nav tik būtisks </w:t>
      </w:r>
      <w:r w:rsidR="00F52AC9" w:rsidRPr="00F52AC9">
        <w:rPr>
          <w:rFonts w:eastAsia="Times New Roman"/>
          <w:lang w:eastAsia="lv-LV"/>
        </w:rPr>
        <w:t xml:space="preserve">- </w:t>
      </w:r>
      <w:r w:rsidRPr="00F52AC9">
        <w:rPr>
          <w:rFonts w:eastAsia="Times New Roman"/>
          <w:lang w:eastAsia="lv-LV"/>
        </w:rPr>
        <w:t>līdz 13% visiem uzņēmumu segmentiem (lielie, vidējie, mazie) apskatītajā zinātnisko pētījumu izmaksu pieauguma diapazonā.</w:t>
      </w:r>
    </w:p>
    <w:p w:rsidR="008B7055" w:rsidRPr="00DB426E" w:rsidRDefault="008B7055" w:rsidP="008B7055">
      <w:r w:rsidRPr="00DB426E">
        <w:rPr>
          <w:rFonts w:eastAsia="Times New Roman"/>
          <w:lang w:eastAsia="lv-LV"/>
        </w:rPr>
        <w:t xml:space="preserve">Ievērojami jūtamāks rezultāts, īpaši </w:t>
      </w:r>
      <w:r w:rsidR="002928F9">
        <w:rPr>
          <w:rFonts w:eastAsia="Times New Roman"/>
          <w:lang w:eastAsia="lv-LV"/>
        </w:rPr>
        <w:t xml:space="preserve">mazo un </w:t>
      </w:r>
      <w:r w:rsidRPr="00DB426E">
        <w:rPr>
          <w:rFonts w:eastAsia="Times New Roman"/>
          <w:lang w:eastAsia="lv-LV"/>
        </w:rPr>
        <w:t xml:space="preserve">vidējo uzņēmumu segmentā, </w:t>
      </w:r>
      <w:r w:rsidR="002928F9">
        <w:rPr>
          <w:rFonts w:eastAsia="Times New Roman"/>
          <w:lang w:eastAsia="lv-LV"/>
        </w:rPr>
        <w:t>ja</w:t>
      </w:r>
      <w:r w:rsidRPr="00DB426E">
        <w:rPr>
          <w:rFonts w:eastAsia="Times New Roman"/>
          <w:lang w:eastAsia="lv-LV"/>
        </w:rPr>
        <w:t xml:space="preserve"> kompleksi izmantot atvieglojumus (gan uzņēmuma ienākuma nodokļa, gan zinātnisko darbinieku darba samaksas).</w:t>
      </w:r>
    </w:p>
    <w:p w:rsidR="006D3AB5" w:rsidRPr="00DB426E" w:rsidRDefault="006D3AB5" w:rsidP="006D3AB5">
      <w:pPr>
        <w:pStyle w:val="Caption"/>
        <w:jc w:val="left"/>
      </w:pPr>
      <w:bookmarkStart w:id="242" w:name="_Ref354734387"/>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21</w:t>
      </w:r>
      <w:r w:rsidR="009B0188">
        <w:rPr>
          <w:noProof/>
        </w:rPr>
        <w:fldChar w:fldCharType="end"/>
      </w:r>
      <w:bookmarkEnd w:id="242"/>
      <w:r w:rsidRPr="00DB426E">
        <w:t>. Summāro nodokļu samazinājums salīdzinājumā ar inerces variantu atkarībā no nodokļu atvieglojumu veida (LIELIE uzņēmumi)</w:t>
      </w:r>
    </w:p>
    <w:tbl>
      <w:tblPr>
        <w:tblW w:w="8369" w:type="dxa"/>
        <w:tblInd w:w="103" w:type="dxa"/>
        <w:tblLook w:val="04A0" w:firstRow="1" w:lastRow="0" w:firstColumn="1" w:lastColumn="0" w:noHBand="0" w:noVBand="1"/>
      </w:tblPr>
      <w:tblGrid>
        <w:gridCol w:w="4116"/>
        <w:gridCol w:w="851"/>
        <w:gridCol w:w="850"/>
        <w:gridCol w:w="851"/>
        <w:gridCol w:w="850"/>
        <w:gridCol w:w="851"/>
      </w:tblGrid>
      <w:tr w:rsidR="006D3AB5" w:rsidRPr="00DB426E" w:rsidTr="006D3AB5">
        <w:trPr>
          <w:trHeight w:val="300"/>
        </w:trPr>
        <w:tc>
          <w:tcPr>
            <w:tcW w:w="4116"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rsidR="006D3AB5" w:rsidRPr="00DB426E" w:rsidRDefault="006D3AB5" w:rsidP="009B5CBF">
            <w:pPr>
              <w:spacing w:after="60"/>
              <w:jc w:val="center"/>
              <w:rPr>
                <w:rFonts w:eastAsia="Times New Roman"/>
                <w:b/>
                <w:bCs/>
                <w:lang w:eastAsia="lv-LV"/>
              </w:rPr>
            </w:pPr>
            <w:r w:rsidRPr="00DB426E">
              <w:rPr>
                <w:rFonts w:eastAsia="Times New Roman"/>
                <w:b/>
                <w:bCs/>
                <w:lang w:eastAsia="lv-LV"/>
              </w:rPr>
              <w:t>Nodokļu maksājumi, tūkst. LVL</w:t>
            </w:r>
          </w:p>
        </w:tc>
        <w:tc>
          <w:tcPr>
            <w:tcW w:w="4253" w:type="dxa"/>
            <w:gridSpan w:val="5"/>
            <w:tcBorders>
              <w:top w:val="single" w:sz="4" w:space="0" w:color="auto"/>
              <w:left w:val="nil"/>
              <w:bottom w:val="nil"/>
              <w:right w:val="single" w:sz="4" w:space="0" w:color="000000"/>
            </w:tcBorders>
            <w:shd w:val="clear" w:color="000000" w:fill="D9D9D9"/>
            <w:noWrap/>
            <w:vAlign w:val="bottom"/>
            <w:hideMark/>
          </w:tcPr>
          <w:p w:rsidR="006D3AB5" w:rsidRPr="00DB426E" w:rsidRDefault="006D3AB5" w:rsidP="009B5CBF">
            <w:pPr>
              <w:spacing w:after="6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4116" w:type="dxa"/>
            <w:vMerge/>
            <w:tcBorders>
              <w:top w:val="single" w:sz="4" w:space="0" w:color="auto"/>
              <w:left w:val="single" w:sz="4" w:space="0" w:color="auto"/>
              <w:bottom w:val="double" w:sz="6" w:space="0" w:color="000000"/>
              <w:right w:val="single" w:sz="4" w:space="0" w:color="auto"/>
            </w:tcBorders>
            <w:vAlign w:val="center"/>
            <w:hideMark/>
          </w:tcPr>
          <w:p w:rsidR="006D3AB5" w:rsidRPr="00DB426E" w:rsidRDefault="006D3AB5" w:rsidP="009B5CBF">
            <w:pPr>
              <w:spacing w:after="60"/>
              <w:rPr>
                <w:rFonts w:eastAsia="Times New Roman"/>
                <w:b/>
                <w:bCs/>
                <w:lang w:eastAsia="lv-LV"/>
              </w:rPr>
            </w:pPr>
          </w:p>
        </w:tc>
        <w:tc>
          <w:tcPr>
            <w:tcW w:w="851" w:type="dxa"/>
            <w:tcBorders>
              <w:top w:val="single" w:sz="4" w:space="0" w:color="auto"/>
              <w:left w:val="nil"/>
              <w:bottom w:val="double" w:sz="6" w:space="0" w:color="auto"/>
              <w:right w:val="nil"/>
            </w:tcBorders>
            <w:shd w:val="clear" w:color="000000" w:fill="F2F2F2"/>
            <w:noWrap/>
            <w:vAlign w:val="bottom"/>
            <w:hideMark/>
          </w:tcPr>
          <w:p w:rsidR="006D3AB5" w:rsidRPr="00DB426E" w:rsidRDefault="006D3AB5" w:rsidP="009B5CBF">
            <w:pPr>
              <w:spacing w:after="60"/>
              <w:jc w:val="right"/>
              <w:rPr>
                <w:rFonts w:eastAsia="Times New Roman"/>
                <w:b/>
                <w:bCs/>
                <w:lang w:eastAsia="lv-LV"/>
              </w:rPr>
            </w:pPr>
            <w:r w:rsidRPr="00DB426E">
              <w:rPr>
                <w:rFonts w:eastAsia="Times New Roman"/>
                <w:b/>
                <w:bCs/>
                <w:lang w:eastAsia="lv-LV"/>
              </w:rPr>
              <w:t>2.0%</w:t>
            </w:r>
          </w:p>
        </w:tc>
        <w:tc>
          <w:tcPr>
            <w:tcW w:w="850" w:type="dxa"/>
            <w:tcBorders>
              <w:top w:val="single" w:sz="4" w:space="0" w:color="auto"/>
              <w:left w:val="nil"/>
              <w:bottom w:val="double" w:sz="6" w:space="0" w:color="auto"/>
              <w:right w:val="nil"/>
            </w:tcBorders>
            <w:shd w:val="clear" w:color="000000" w:fill="F2F2F2"/>
            <w:noWrap/>
            <w:vAlign w:val="bottom"/>
            <w:hideMark/>
          </w:tcPr>
          <w:p w:rsidR="006D3AB5" w:rsidRPr="00DB426E" w:rsidRDefault="006D3AB5" w:rsidP="009B5CBF">
            <w:pPr>
              <w:spacing w:after="60"/>
              <w:jc w:val="right"/>
              <w:rPr>
                <w:rFonts w:eastAsia="Times New Roman"/>
                <w:b/>
                <w:bCs/>
                <w:lang w:eastAsia="lv-LV"/>
              </w:rPr>
            </w:pPr>
            <w:r w:rsidRPr="00DB426E">
              <w:rPr>
                <w:rFonts w:eastAsia="Times New Roman"/>
                <w:b/>
                <w:bCs/>
                <w:lang w:eastAsia="lv-LV"/>
              </w:rPr>
              <w:t>3.0%</w:t>
            </w:r>
          </w:p>
        </w:tc>
        <w:tc>
          <w:tcPr>
            <w:tcW w:w="851" w:type="dxa"/>
            <w:tcBorders>
              <w:top w:val="single" w:sz="4" w:space="0" w:color="auto"/>
              <w:left w:val="nil"/>
              <w:bottom w:val="double" w:sz="6" w:space="0" w:color="auto"/>
              <w:right w:val="nil"/>
            </w:tcBorders>
            <w:shd w:val="clear" w:color="000000" w:fill="F2F2F2"/>
            <w:noWrap/>
            <w:vAlign w:val="bottom"/>
            <w:hideMark/>
          </w:tcPr>
          <w:p w:rsidR="006D3AB5" w:rsidRPr="00DB426E" w:rsidRDefault="006D3AB5" w:rsidP="009B5CBF">
            <w:pPr>
              <w:spacing w:after="60"/>
              <w:jc w:val="right"/>
              <w:rPr>
                <w:rFonts w:eastAsia="Times New Roman"/>
                <w:b/>
                <w:bCs/>
                <w:lang w:eastAsia="lv-LV"/>
              </w:rPr>
            </w:pPr>
            <w:r w:rsidRPr="00DB426E">
              <w:rPr>
                <w:rFonts w:eastAsia="Times New Roman"/>
                <w:b/>
                <w:bCs/>
                <w:lang w:eastAsia="lv-LV"/>
              </w:rPr>
              <w:t>4.0%</w:t>
            </w:r>
          </w:p>
        </w:tc>
        <w:tc>
          <w:tcPr>
            <w:tcW w:w="850" w:type="dxa"/>
            <w:tcBorders>
              <w:top w:val="single" w:sz="4" w:space="0" w:color="auto"/>
              <w:left w:val="nil"/>
              <w:bottom w:val="double" w:sz="6" w:space="0" w:color="auto"/>
              <w:right w:val="nil"/>
            </w:tcBorders>
            <w:shd w:val="clear" w:color="000000" w:fill="F2F2F2"/>
            <w:noWrap/>
            <w:vAlign w:val="bottom"/>
            <w:hideMark/>
          </w:tcPr>
          <w:p w:rsidR="006D3AB5" w:rsidRPr="00DB426E" w:rsidRDefault="006D3AB5" w:rsidP="009B5CBF">
            <w:pPr>
              <w:spacing w:after="60"/>
              <w:jc w:val="right"/>
              <w:rPr>
                <w:rFonts w:eastAsia="Times New Roman"/>
                <w:b/>
                <w:bCs/>
                <w:lang w:eastAsia="lv-LV"/>
              </w:rPr>
            </w:pPr>
            <w:r w:rsidRPr="00DB426E">
              <w:rPr>
                <w:rFonts w:eastAsia="Times New Roman"/>
                <w:b/>
                <w:bCs/>
                <w:lang w:eastAsia="lv-LV"/>
              </w:rPr>
              <w:t>5.0%</w:t>
            </w:r>
          </w:p>
        </w:tc>
        <w:tc>
          <w:tcPr>
            <w:tcW w:w="851" w:type="dxa"/>
            <w:tcBorders>
              <w:top w:val="single" w:sz="4" w:space="0" w:color="auto"/>
              <w:left w:val="nil"/>
              <w:bottom w:val="double" w:sz="6" w:space="0" w:color="auto"/>
              <w:right w:val="single" w:sz="4" w:space="0" w:color="auto"/>
            </w:tcBorders>
            <w:shd w:val="clear" w:color="000000" w:fill="F2F2F2"/>
            <w:noWrap/>
            <w:vAlign w:val="bottom"/>
            <w:hideMark/>
          </w:tcPr>
          <w:p w:rsidR="006D3AB5" w:rsidRPr="00DB426E" w:rsidRDefault="006D3AB5" w:rsidP="009B5CBF">
            <w:pPr>
              <w:spacing w:after="60"/>
              <w:jc w:val="right"/>
              <w:rPr>
                <w:rFonts w:eastAsia="Times New Roman"/>
                <w:b/>
                <w:bCs/>
                <w:lang w:eastAsia="lv-LV"/>
              </w:rPr>
            </w:pPr>
            <w:r w:rsidRPr="00DB426E">
              <w:rPr>
                <w:rFonts w:eastAsia="Times New Roman"/>
                <w:b/>
                <w:bCs/>
                <w:lang w:eastAsia="lv-LV"/>
              </w:rPr>
              <w:t>6.0%</w:t>
            </w:r>
          </w:p>
        </w:tc>
      </w:tr>
      <w:tr w:rsidR="006D3AB5" w:rsidRPr="00DB426E" w:rsidTr="006B1BEE">
        <w:trPr>
          <w:trHeight w:val="315"/>
        </w:trPr>
        <w:tc>
          <w:tcPr>
            <w:tcW w:w="4116" w:type="dxa"/>
            <w:tcBorders>
              <w:top w:val="nil"/>
              <w:left w:val="single" w:sz="4" w:space="0" w:color="auto"/>
              <w:bottom w:val="nil"/>
              <w:right w:val="single" w:sz="4" w:space="0" w:color="auto"/>
            </w:tcBorders>
            <w:shd w:val="clear" w:color="000000" w:fill="F2F2F2"/>
            <w:noWrap/>
            <w:vAlign w:val="center"/>
            <w:hideMark/>
          </w:tcPr>
          <w:p w:rsidR="006D3AB5" w:rsidRPr="00DB426E" w:rsidRDefault="006D3AB5" w:rsidP="006B1BEE">
            <w:pPr>
              <w:spacing w:after="60"/>
              <w:jc w:val="left"/>
              <w:rPr>
                <w:rFonts w:eastAsia="Times New Roman"/>
                <w:lang w:eastAsia="lv-LV"/>
              </w:rPr>
            </w:pPr>
            <w:r w:rsidRPr="00DB426E">
              <w:rPr>
                <w:rFonts w:eastAsia="Times New Roman"/>
                <w:lang w:eastAsia="lv-LV"/>
              </w:rPr>
              <w:t>1.variants. UIN atvieglojums (Kp=250%)</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2 247</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2 234</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2 222</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2 209</w:t>
            </w:r>
          </w:p>
        </w:tc>
        <w:tc>
          <w:tcPr>
            <w:tcW w:w="851" w:type="dxa"/>
            <w:tcBorders>
              <w:top w:val="nil"/>
              <w:left w:val="nil"/>
              <w:bottom w:val="nil"/>
              <w:right w:val="single" w:sz="4" w:space="0" w:color="auto"/>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2 197</w:t>
            </w:r>
          </w:p>
        </w:tc>
      </w:tr>
      <w:tr w:rsidR="006D3AB5" w:rsidRPr="00DB426E" w:rsidTr="006B1BEE">
        <w:trPr>
          <w:trHeight w:val="300"/>
        </w:trPr>
        <w:tc>
          <w:tcPr>
            <w:tcW w:w="4116" w:type="dxa"/>
            <w:tcBorders>
              <w:top w:val="nil"/>
              <w:left w:val="single" w:sz="4" w:space="0" w:color="auto"/>
              <w:bottom w:val="nil"/>
              <w:right w:val="single" w:sz="4" w:space="0" w:color="auto"/>
            </w:tcBorders>
            <w:shd w:val="clear" w:color="auto" w:fill="auto"/>
            <w:vAlign w:val="center"/>
            <w:hideMark/>
          </w:tcPr>
          <w:p w:rsidR="006D3AB5" w:rsidRPr="00DB426E" w:rsidRDefault="006D3AB5" w:rsidP="006B1BEE">
            <w:pPr>
              <w:spacing w:after="60"/>
              <w:jc w:val="left"/>
              <w:rPr>
                <w:rFonts w:eastAsia="Times New Roman"/>
                <w:lang w:eastAsia="lv-LV"/>
              </w:rPr>
            </w:pPr>
            <w:r w:rsidRPr="00DB426E">
              <w:rPr>
                <w:rFonts w:eastAsia="Times New Roman"/>
                <w:lang w:eastAsia="lv-LV"/>
              </w:rPr>
              <w:t>2.variants. VSAOI,INN atvieglojums (k=25%)</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2 425</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2 501</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2 578</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2 654</w:t>
            </w:r>
          </w:p>
        </w:tc>
        <w:tc>
          <w:tcPr>
            <w:tcW w:w="851" w:type="dxa"/>
            <w:tcBorders>
              <w:top w:val="nil"/>
              <w:left w:val="nil"/>
              <w:bottom w:val="nil"/>
              <w:right w:val="single" w:sz="4" w:space="0" w:color="auto"/>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2 731</w:t>
            </w:r>
          </w:p>
        </w:tc>
      </w:tr>
      <w:tr w:rsidR="006D3AB5" w:rsidRPr="00DB426E" w:rsidTr="006B1BEE">
        <w:trPr>
          <w:trHeight w:val="300"/>
        </w:trPr>
        <w:tc>
          <w:tcPr>
            <w:tcW w:w="4116" w:type="dxa"/>
            <w:tcBorders>
              <w:top w:val="nil"/>
              <w:left w:val="single" w:sz="4" w:space="0" w:color="auto"/>
              <w:bottom w:val="single" w:sz="4" w:space="0" w:color="auto"/>
              <w:right w:val="single" w:sz="4" w:space="0" w:color="auto"/>
            </w:tcBorders>
            <w:shd w:val="clear" w:color="auto" w:fill="auto"/>
            <w:noWrap/>
            <w:vAlign w:val="center"/>
            <w:hideMark/>
          </w:tcPr>
          <w:p w:rsidR="006D3AB5" w:rsidRPr="00DB426E" w:rsidRDefault="006D3AB5" w:rsidP="006B1BEE">
            <w:pPr>
              <w:spacing w:after="60"/>
              <w:jc w:val="left"/>
              <w:rPr>
                <w:rFonts w:eastAsia="Times New Roman"/>
                <w:lang w:eastAsia="lv-LV"/>
              </w:rPr>
            </w:pPr>
            <w:r w:rsidRPr="00DB426E">
              <w:rPr>
                <w:rFonts w:eastAsia="Times New Roman"/>
                <w:lang w:eastAsia="lv-LV"/>
              </w:rPr>
              <w:t>3.variants. UIN,VSAOI,IIN atvieglojums</w:t>
            </w:r>
          </w:p>
        </w:tc>
        <w:tc>
          <w:tcPr>
            <w:tcW w:w="851"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2 155</w:t>
            </w:r>
          </w:p>
        </w:tc>
        <w:tc>
          <w:tcPr>
            <w:tcW w:w="850"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2 097</w:t>
            </w:r>
          </w:p>
        </w:tc>
        <w:tc>
          <w:tcPr>
            <w:tcW w:w="851"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2 039</w:t>
            </w:r>
          </w:p>
        </w:tc>
        <w:tc>
          <w:tcPr>
            <w:tcW w:w="850"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1 981</w:t>
            </w:r>
          </w:p>
        </w:tc>
        <w:tc>
          <w:tcPr>
            <w:tcW w:w="851"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1 923</w:t>
            </w:r>
          </w:p>
        </w:tc>
      </w:tr>
      <w:tr w:rsidR="006D3AB5" w:rsidRPr="00DB426E" w:rsidTr="006B1BEE">
        <w:trPr>
          <w:trHeight w:val="300"/>
        </w:trPr>
        <w:tc>
          <w:tcPr>
            <w:tcW w:w="4116" w:type="dxa"/>
            <w:tcBorders>
              <w:top w:val="nil"/>
              <w:left w:val="single" w:sz="4" w:space="0" w:color="auto"/>
              <w:bottom w:val="single" w:sz="4" w:space="0" w:color="auto"/>
              <w:right w:val="single" w:sz="4" w:space="0" w:color="auto"/>
            </w:tcBorders>
            <w:shd w:val="clear" w:color="000000" w:fill="D9D9D9"/>
            <w:noWrap/>
            <w:vAlign w:val="center"/>
            <w:hideMark/>
          </w:tcPr>
          <w:p w:rsidR="006D3AB5" w:rsidRPr="00DB426E" w:rsidRDefault="006D3AB5" w:rsidP="006B1BEE">
            <w:pPr>
              <w:spacing w:after="60"/>
              <w:jc w:val="left"/>
              <w:rPr>
                <w:rFonts w:eastAsia="Times New Roman"/>
                <w:lang w:eastAsia="lv-LV"/>
              </w:rPr>
            </w:pPr>
            <w:r w:rsidRPr="00DB426E">
              <w:rPr>
                <w:rFonts w:eastAsia="Times New Roman"/>
                <w:lang w:eastAsia="lv-LV"/>
              </w:rPr>
              <w:t>Inerces variants</w:t>
            </w:r>
            <w:r w:rsidR="006B1BEE">
              <w:rPr>
                <w:rFonts w:eastAsia="Times New Roman"/>
                <w:lang w:eastAsia="lv-LV"/>
              </w:rPr>
              <w:t xml:space="preserve"> </w:t>
            </w:r>
            <w:r w:rsidR="006B1BEE" w:rsidRPr="006B1BEE">
              <w:rPr>
                <w:rFonts w:eastAsia="Times New Roman"/>
                <w:lang w:eastAsia="lv-LV"/>
              </w:rPr>
              <w:t>(UIN+VSAOI+IIN)</w:t>
            </w:r>
          </w:p>
        </w:tc>
        <w:tc>
          <w:tcPr>
            <w:tcW w:w="851" w:type="dxa"/>
            <w:tcBorders>
              <w:top w:val="nil"/>
              <w:left w:val="nil"/>
              <w:bottom w:val="single" w:sz="4" w:space="0" w:color="auto"/>
              <w:right w:val="nil"/>
            </w:tcBorders>
            <w:shd w:val="clear" w:color="000000" w:fill="D9D9D9"/>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2 527</w:t>
            </w:r>
          </w:p>
        </w:tc>
        <w:tc>
          <w:tcPr>
            <w:tcW w:w="850" w:type="dxa"/>
            <w:tcBorders>
              <w:top w:val="nil"/>
              <w:left w:val="nil"/>
              <w:bottom w:val="single" w:sz="4" w:space="0" w:color="auto"/>
              <w:right w:val="nil"/>
            </w:tcBorders>
            <w:shd w:val="clear" w:color="000000" w:fill="D9D9D9"/>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2 654</w:t>
            </w:r>
          </w:p>
        </w:tc>
        <w:tc>
          <w:tcPr>
            <w:tcW w:w="851" w:type="dxa"/>
            <w:tcBorders>
              <w:top w:val="nil"/>
              <w:left w:val="nil"/>
              <w:bottom w:val="single" w:sz="4" w:space="0" w:color="auto"/>
              <w:right w:val="nil"/>
            </w:tcBorders>
            <w:shd w:val="clear" w:color="000000" w:fill="D9D9D9"/>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2 782</w:t>
            </w:r>
          </w:p>
        </w:tc>
        <w:tc>
          <w:tcPr>
            <w:tcW w:w="850" w:type="dxa"/>
            <w:tcBorders>
              <w:top w:val="nil"/>
              <w:left w:val="nil"/>
              <w:bottom w:val="single" w:sz="4" w:space="0" w:color="auto"/>
              <w:right w:val="nil"/>
            </w:tcBorders>
            <w:shd w:val="clear" w:color="000000" w:fill="D9D9D9"/>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2 909</w:t>
            </w:r>
          </w:p>
        </w:tc>
        <w:tc>
          <w:tcPr>
            <w:tcW w:w="851" w:type="dxa"/>
            <w:tcBorders>
              <w:top w:val="nil"/>
              <w:left w:val="nil"/>
              <w:bottom w:val="single" w:sz="4" w:space="0" w:color="auto"/>
              <w:right w:val="single" w:sz="4" w:space="0" w:color="auto"/>
            </w:tcBorders>
            <w:shd w:val="clear" w:color="000000" w:fill="D9D9D9"/>
            <w:noWrap/>
            <w:vAlign w:val="center"/>
            <w:hideMark/>
          </w:tcPr>
          <w:p w:rsidR="006D3AB5" w:rsidRPr="00DB426E" w:rsidRDefault="006D3AB5" w:rsidP="006B1BEE">
            <w:pPr>
              <w:spacing w:after="60"/>
              <w:jc w:val="right"/>
              <w:rPr>
                <w:rFonts w:eastAsia="Times New Roman"/>
                <w:color w:val="000000"/>
                <w:lang w:eastAsia="lv-LV"/>
              </w:rPr>
            </w:pPr>
            <w:r w:rsidRPr="00DB426E">
              <w:rPr>
                <w:rFonts w:eastAsia="Times New Roman"/>
                <w:color w:val="000000"/>
                <w:lang w:eastAsia="lv-LV"/>
              </w:rPr>
              <w:t>3 037</w:t>
            </w:r>
          </w:p>
        </w:tc>
      </w:tr>
    </w:tbl>
    <w:p w:rsidR="006D3AB5" w:rsidRPr="00DB426E" w:rsidRDefault="006D3AB5" w:rsidP="006D3AB5"/>
    <w:tbl>
      <w:tblPr>
        <w:tblW w:w="8369" w:type="dxa"/>
        <w:tblInd w:w="103" w:type="dxa"/>
        <w:tblLook w:val="04A0" w:firstRow="1" w:lastRow="0" w:firstColumn="1" w:lastColumn="0" w:noHBand="0" w:noVBand="1"/>
      </w:tblPr>
      <w:tblGrid>
        <w:gridCol w:w="4116"/>
        <w:gridCol w:w="851"/>
        <w:gridCol w:w="850"/>
        <w:gridCol w:w="851"/>
        <w:gridCol w:w="850"/>
        <w:gridCol w:w="851"/>
      </w:tblGrid>
      <w:tr w:rsidR="006D3AB5" w:rsidRPr="00DB426E" w:rsidTr="006D3AB5">
        <w:trPr>
          <w:trHeight w:val="300"/>
        </w:trPr>
        <w:tc>
          <w:tcPr>
            <w:tcW w:w="4116"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rsidR="006D3AB5" w:rsidRPr="00DB426E" w:rsidRDefault="006D3AB5" w:rsidP="006B1BEE">
            <w:pPr>
              <w:spacing w:after="0"/>
              <w:jc w:val="center"/>
              <w:rPr>
                <w:b/>
                <w:lang w:eastAsia="lv-LV"/>
              </w:rPr>
            </w:pPr>
            <w:r w:rsidRPr="00DB426E">
              <w:rPr>
                <w:b/>
                <w:lang w:eastAsia="lv-LV"/>
              </w:rPr>
              <w:t xml:space="preserve">Nodokļu samazinājums </w:t>
            </w:r>
          </w:p>
          <w:p w:rsidR="006D3AB5" w:rsidRPr="00DB426E" w:rsidRDefault="006D3AB5" w:rsidP="006B1BEE">
            <w:pPr>
              <w:spacing w:after="0"/>
              <w:jc w:val="center"/>
              <w:rPr>
                <w:b/>
                <w:lang w:eastAsia="lv-LV"/>
              </w:rPr>
            </w:pPr>
            <w:r w:rsidRPr="00DB426E">
              <w:rPr>
                <w:b/>
                <w:lang w:eastAsia="lv-LV"/>
              </w:rPr>
              <w:t>procentos pret inerces variantu</w:t>
            </w:r>
          </w:p>
        </w:tc>
        <w:tc>
          <w:tcPr>
            <w:tcW w:w="4253" w:type="dxa"/>
            <w:gridSpan w:val="5"/>
            <w:tcBorders>
              <w:top w:val="single" w:sz="4" w:space="0" w:color="auto"/>
              <w:left w:val="nil"/>
              <w:bottom w:val="nil"/>
              <w:right w:val="single" w:sz="4" w:space="0" w:color="000000"/>
            </w:tcBorders>
            <w:shd w:val="clear" w:color="000000" w:fill="D9D9D9"/>
            <w:noWrap/>
            <w:vAlign w:val="bottom"/>
            <w:hideMark/>
          </w:tcPr>
          <w:p w:rsidR="006D3AB5" w:rsidRPr="00DB426E" w:rsidRDefault="006D3AB5" w:rsidP="009B5CBF">
            <w:pPr>
              <w:spacing w:after="60"/>
              <w:jc w:val="center"/>
              <w:rPr>
                <w:b/>
                <w:color w:val="000000"/>
                <w:lang w:eastAsia="lv-LV"/>
              </w:rPr>
            </w:pPr>
            <w:bookmarkStart w:id="243" w:name="_Toc355007981"/>
            <w:r w:rsidRPr="00DB426E">
              <w:rPr>
                <w:b/>
                <w:color w:val="000000"/>
                <w:lang w:eastAsia="lv-LV"/>
              </w:rPr>
              <w:t>ZP izdevumi (% no NA)</w:t>
            </w:r>
            <w:bookmarkEnd w:id="243"/>
          </w:p>
        </w:tc>
      </w:tr>
      <w:tr w:rsidR="006D3AB5" w:rsidRPr="00DB426E" w:rsidTr="006D3AB5">
        <w:trPr>
          <w:trHeight w:val="315"/>
        </w:trPr>
        <w:tc>
          <w:tcPr>
            <w:tcW w:w="4116" w:type="dxa"/>
            <w:vMerge/>
            <w:tcBorders>
              <w:top w:val="single" w:sz="4" w:space="0" w:color="auto"/>
              <w:left w:val="single" w:sz="4" w:space="0" w:color="auto"/>
              <w:bottom w:val="double" w:sz="6" w:space="0" w:color="000000"/>
              <w:right w:val="single" w:sz="4" w:space="0" w:color="auto"/>
            </w:tcBorders>
            <w:vAlign w:val="center"/>
            <w:hideMark/>
          </w:tcPr>
          <w:p w:rsidR="006D3AB5" w:rsidRPr="00DB426E" w:rsidRDefault="006D3AB5" w:rsidP="009B5CBF">
            <w:pPr>
              <w:spacing w:after="60"/>
              <w:jc w:val="center"/>
              <w:rPr>
                <w:b/>
                <w:lang w:eastAsia="lv-LV"/>
              </w:rPr>
            </w:pPr>
          </w:p>
        </w:tc>
        <w:tc>
          <w:tcPr>
            <w:tcW w:w="851" w:type="dxa"/>
            <w:tcBorders>
              <w:top w:val="single" w:sz="4" w:space="0" w:color="auto"/>
              <w:left w:val="nil"/>
              <w:bottom w:val="double" w:sz="6" w:space="0" w:color="auto"/>
              <w:right w:val="nil"/>
            </w:tcBorders>
            <w:shd w:val="clear" w:color="auto" w:fill="D9D9D9"/>
            <w:noWrap/>
            <w:vAlign w:val="bottom"/>
            <w:hideMark/>
          </w:tcPr>
          <w:p w:rsidR="006D3AB5" w:rsidRPr="00DB426E" w:rsidRDefault="006D3AB5" w:rsidP="009B5CBF">
            <w:pPr>
              <w:spacing w:after="60"/>
              <w:jc w:val="center"/>
              <w:rPr>
                <w:b/>
                <w:lang w:eastAsia="lv-LV"/>
              </w:rPr>
            </w:pPr>
            <w:bookmarkStart w:id="244" w:name="_Toc355007982"/>
            <w:r w:rsidRPr="00DB426E">
              <w:rPr>
                <w:b/>
                <w:lang w:eastAsia="lv-LV"/>
              </w:rPr>
              <w:t>2.0%</w:t>
            </w:r>
            <w:bookmarkEnd w:id="244"/>
          </w:p>
        </w:tc>
        <w:tc>
          <w:tcPr>
            <w:tcW w:w="850" w:type="dxa"/>
            <w:tcBorders>
              <w:top w:val="single" w:sz="4" w:space="0" w:color="auto"/>
              <w:left w:val="nil"/>
              <w:bottom w:val="double" w:sz="6" w:space="0" w:color="auto"/>
              <w:right w:val="nil"/>
            </w:tcBorders>
            <w:shd w:val="clear" w:color="auto" w:fill="D9D9D9"/>
            <w:noWrap/>
            <w:vAlign w:val="bottom"/>
            <w:hideMark/>
          </w:tcPr>
          <w:p w:rsidR="006D3AB5" w:rsidRPr="00DB426E" w:rsidRDefault="006D3AB5" w:rsidP="009B5CBF">
            <w:pPr>
              <w:spacing w:after="60"/>
              <w:jc w:val="center"/>
              <w:rPr>
                <w:b/>
                <w:lang w:eastAsia="lv-LV"/>
              </w:rPr>
            </w:pPr>
            <w:bookmarkStart w:id="245" w:name="_Toc355007983"/>
            <w:r w:rsidRPr="00DB426E">
              <w:rPr>
                <w:b/>
                <w:lang w:eastAsia="lv-LV"/>
              </w:rPr>
              <w:t>3.0%</w:t>
            </w:r>
            <w:bookmarkEnd w:id="245"/>
          </w:p>
        </w:tc>
        <w:tc>
          <w:tcPr>
            <w:tcW w:w="851" w:type="dxa"/>
            <w:tcBorders>
              <w:top w:val="single" w:sz="4" w:space="0" w:color="auto"/>
              <w:left w:val="nil"/>
              <w:bottom w:val="double" w:sz="6" w:space="0" w:color="auto"/>
              <w:right w:val="nil"/>
            </w:tcBorders>
            <w:shd w:val="clear" w:color="auto" w:fill="D9D9D9"/>
            <w:noWrap/>
            <w:vAlign w:val="bottom"/>
            <w:hideMark/>
          </w:tcPr>
          <w:p w:rsidR="006D3AB5" w:rsidRPr="00DB426E" w:rsidRDefault="006D3AB5" w:rsidP="009B5CBF">
            <w:pPr>
              <w:spacing w:after="60"/>
              <w:jc w:val="center"/>
              <w:rPr>
                <w:b/>
                <w:lang w:eastAsia="lv-LV"/>
              </w:rPr>
            </w:pPr>
            <w:bookmarkStart w:id="246" w:name="_Toc355007984"/>
            <w:r w:rsidRPr="00DB426E">
              <w:rPr>
                <w:b/>
                <w:lang w:eastAsia="lv-LV"/>
              </w:rPr>
              <w:t>4.0%</w:t>
            </w:r>
            <w:bookmarkEnd w:id="246"/>
          </w:p>
        </w:tc>
        <w:tc>
          <w:tcPr>
            <w:tcW w:w="850" w:type="dxa"/>
            <w:tcBorders>
              <w:top w:val="single" w:sz="4" w:space="0" w:color="auto"/>
              <w:left w:val="nil"/>
              <w:bottom w:val="double" w:sz="6" w:space="0" w:color="auto"/>
              <w:right w:val="nil"/>
            </w:tcBorders>
            <w:shd w:val="clear" w:color="auto" w:fill="D9D9D9"/>
            <w:noWrap/>
            <w:vAlign w:val="bottom"/>
            <w:hideMark/>
          </w:tcPr>
          <w:p w:rsidR="006D3AB5" w:rsidRPr="00DB426E" w:rsidRDefault="006D3AB5" w:rsidP="009B5CBF">
            <w:pPr>
              <w:spacing w:after="60"/>
              <w:jc w:val="center"/>
              <w:rPr>
                <w:b/>
                <w:lang w:eastAsia="lv-LV"/>
              </w:rPr>
            </w:pPr>
            <w:bookmarkStart w:id="247" w:name="_Toc355007985"/>
            <w:r w:rsidRPr="00DB426E">
              <w:rPr>
                <w:b/>
                <w:lang w:eastAsia="lv-LV"/>
              </w:rPr>
              <w:t>5.0%</w:t>
            </w:r>
            <w:bookmarkEnd w:id="247"/>
          </w:p>
        </w:tc>
        <w:tc>
          <w:tcPr>
            <w:tcW w:w="851" w:type="dxa"/>
            <w:tcBorders>
              <w:top w:val="single" w:sz="4" w:space="0" w:color="auto"/>
              <w:left w:val="nil"/>
              <w:bottom w:val="double" w:sz="6" w:space="0" w:color="auto"/>
              <w:right w:val="single" w:sz="4" w:space="0" w:color="auto"/>
            </w:tcBorders>
            <w:shd w:val="clear" w:color="auto" w:fill="D9D9D9"/>
            <w:noWrap/>
            <w:vAlign w:val="bottom"/>
            <w:hideMark/>
          </w:tcPr>
          <w:p w:rsidR="006D3AB5" w:rsidRPr="00DB426E" w:rsidRDefault="006D3AB5" w:rsidP="009B5CBF">
            <w:pPr>
              <w:spacing w:after="60"/>
              <w:jc w:val="center"/>
              <w:rPr>
                <w:b/>
                <w:lang w:eastAsia="lv-LV"/>
              </w:rPr>
            </w:pPr>
            <w:bookmarkStart w:id="248" w:name="_Toc355007986"/>
            <w:r w:rsidRPr="00DB426E">
              <w:rPr>
                <w:b/>
                <w:lang w:eastAsia="lv-LV"/>
              </w:rPr>
              <w:t>6.0%</w:t>
            </w:r>
            <w:bookmarkEnd w:id="248"/>
          </w:p>
        </w:tc>
      </w:tr>
      <w:tr w:rsidR="006D3AB5" w:rsidRPr="00DB426E" w:rsidTr="006B1BEE">
        <w:trPr>
          <w:trHeight w:val="315"/>
        </w:trPr>
        <w:tc>
          <w:tcPr>
            <w:tcW w:w="4116" w:type="dxa"/>
            <w:tcBorders>
              <w:top w:val="nil"/>
              <w:left w:val="single" w:sz="4" w:space="0" w:color="auto"/>
              <w:bottom w:val="nil"/>
              <w:right w:val="single" w:sz="4" w:space="0" w:color="auto"/>
            </w:tcBorders>
            <w:shd w:val="clear" w:color="000000" w:fill="F2F2F2"/>
            <w:noWrap/>
            <w:vAlign w:val="bottom"/>
            <w:hideMark/>
          </w:tcPr>
          <w:p w:rsidR="006D3AB5" w:rsidRPr="00DB426E" w:rsidRDefault="006D3AB5" w:rsidP="009B5CBF">
            <w:pPr>
              <w:spacing w:after="60"/>
              <w:rPr>
                <w:rFonts w:eastAsia="Times New Roman"/>
                <w:lang w:eastAsia="lv-LV"/>
              </w:rPr>
            </w:pPr>
            <w:bookmarkStart w:id="249" w:name="_Toc355007987"/>
            <w:bookmarkStart w:id="250" w:name="_Toc355008143"/>
            <w:r w:rsidRPr="00DB426E">
              <w:rPr>
                <w:rFonts w:eastAsia="Times New Roman"/>
                <w:lang w:eastAsia="lv-LV"/>
              </w:rPr>
              <w:t>1.variants. UIN atvieglojums (Kp=250%)</w:t>
            </w:r>
            <w:bookmarkEnd w:id="249"/>
            <w:bookmarkEnd w:id="250"/>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51" w:name="_Toc355007988"/>
            <w:bookmarkStart w:id="252" w:name="_Toc355008144"/>
            <w:r w:rsidRPr="00DB426E">
              <w:rPr>
                <w:rFonts w:eastAsia="Times New Roman"/>
                <w:color w:val="000000"/>
                <w:lang w:eastAsia="lv-LV"/>
              </w:rPr>
              <w:t>-11%</w:t>
            </w:r>
            <w:bookmarkEnd w:id="251"/>
            <w:bookmarkEnd w:id="252"/>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53" w:name="_Toc355007989"/>
            <w:bookmarkStart w:id="254" w:name="_Toc355008145"/>
            <w:r w:rsidRPr="00DB426E">
              <w:rPr>
                <w:rFonts w:eastAsia="Times New Roman"/>
                <w:color w:val="000000"/>
                <w:lang w:eastAsia="lv-LV"/>
              </w:rPr>
              <w:t>-16%</w:t>
            </w:r>
            <w:bookmarkEnd w:id="253"/>
            <w:bookmarkEnd w:id="254"/>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55" w:name="_Toc355007990"/>
            <w:bookmarkStart w:id="256" w:name="_Toc355008146"/>
            <w:r w:rsidRPr="00DB426E">
              <w:rPr>
                <w:rFonts w:eastAsia="Times New Roman"/>
                <w:color w:val="000000"/>
                <w:lang w:eastAsia="lv-LV"/>
              </w:rPr>
              <w:t>-20%</w:t>
            </w:r>
            <w:bookmarkEnd w:id="255"/>
            <w:bookmarkEnd w:id="256"/>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57" w:name="_Toc355007991"/>
            <w:bookmarkStart w:id="258" w:name="_Toc355008147"/>
            <w:r w:rsidRPr="00DB426E">
              <w:rPr>
                <w:rFonts w:eastAsia="Times New Roman"/>
                <w:color w:val="000000"/>
                <w:lang w:eastAsia="lv-LV"/>
              </w:rPr>
              <w:t>-24%</w:t>
            </w:r>
            <w:bookmarkEnd w:id="257"/>
            <w:bookmarkEnd w:id="258"/>
          </w:p>
        </w:tc>
        <w:tc>
          <w:tcPr>
            <w:tcW w:w="851" w:type="dxa"/>
            <w:tcBorders>
              <w:top w:val="nil"/>
              <w:left w:val="nil"/>
              <w:bottom w:val="nil"/>
              <w:right w:val="single" w:sz="4" w:space="0" w:color="auto"/>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59" w:name="_Toc355007992"/>
            <w:bookmarkStart w:id="260" w:name="_Toc355008148"/>
            <w:r w:rsidRPr="00DB426E">
              <w:rPr>
                <w:rFonts w:eastAsia="Times New Roman"/>
                <w:color w:val="000000"/>
                <w:lang w:eastAsia="lv-LV"/>
              </w:rPr>
              <w:t>-28%</w:t>
            </w:r>
            <w:bookmarkEnd w:id="259"/>
            <w:bookmarkEnd w:id="260"/>
          </w:p>
        </w:tc>
      </w:tr>
      <w:tr w:rsidR="006D3AB5" w:rsidRPr="00DB426E" w:rsidTr="006B1BEE">
        <w:trPr>
          <w:trHeight w:val="300"/>
        </w:trPr>
        <w:tc>
          <w:tcPr>
            <w:tcW w:w="4116"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60"/>
              <w:rPr>
                <w:rFonts w:eastAsia="Times New Roman"/>
                <w:lang w:eastAsia="lv-LV"/>
              </w:rPr>
            </w:pPr>
            <w:bookmarkStart w:id="261" w:name="_Toc355007993"/>
            <w:bookmarkStart w:id="262" w:name="_Toc355008149"/>
            <w:r w:rsidRPr="00DB426E">
              <w:rPr>
                <w:rFonts w:eastAsia="Times New Roman"/>
                <w:lang w:eastAsia="lv-LV"/>
              </w:rPr>
              <w:t>2.variants. VSAOI,INN atvieglojums (k=25%)</w:t>
            </w:r>
            <w:bookmarkEnd w:id="261"/>
            <w:bookmarkEnd w:id="262"/>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63" w:name="_Toc355007994"/>
            <w:bookmarkStart w:id="264" w:name="_Toc355008150"/>
            <w:r w:rsidRPr="00DB426E">
              <w:rPr>
                <w:rFonts w:eastAsia="Times New Roman"/>
                <w:color w:val="000000"/>
                <w:lang w:eastAsia="lv-LV"/>
              </w:rPr>
              <w:t>-4%</w:t>
            </w:r>
            <w:bookmarkEnd w:id="263"/>
            <w:bookmarkEnd w:id="264"/>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65" w:name="_Toc355007995"/>
            <w:bookmarkStart w:id="266" w:name="_Toc355008151"/>
            <w:r w:rsidRPr="00DB426E">
              <w:rPr>
                <w:rFonts w:eastAsia="Times New Roman"/>
                <w:color w:val="000000"/>
                <w:lang w:eastAsia="lv-LV"/>
              </w:rPr>
              <w:t>-6%</w:t>
            </w:r>
            <w:bookmarkEnd w:id="265"/>
            <w:bookmarkEnd w:id="266"/>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67" w:name="_Toc355007996"/>
            <w:bookmarkStart w:id="268" w:name="_Toc355008152"/>
            <w:r w:rsidRPr="00DB426E">
              <w:rPr>
                <w:rFonts w:eastAsia="Times New Roman"/>
                <w:color w:val="000000"/>
                <w:lang w:eastAsia="lv-LV"/>
              </w:rPr>
              <w:t>-7%</w:t>
            </w:r>
            <w:bookmarkEnd w:id="267"/>
            <w:bookmarkEnd w:id="268"/>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69" w:name="_Toc355007997"/>
            <w:bookmarkStart w:id="270" w:name="_Toc355008153"/>
            <w:r w:rsidRPr="00DB426E">
              <w:rPr>
                <w:rFonts w:eastAsia="Times New Roman"/>
                <w:color w:val="000000"/>
                <w:lang w:eastAsia="lv-LV"/>
              </w:rPr>
              <w:t>-9%</w:t>
            </w:r>
            <w:bookmarkEnd w:id="269"/>
            <w:bookmarkEnd w:id="270"/>
          </w:p>
        </w:tc>
        <w:tc>
          <w:tcPr>
            <w:tcW w:w="851" w:type="dxa"/>
            <w:tcBorders>
              <w:top w:val="nil"/>
              <w:left w:val="nil"/>
              <w:bottom w:val="nil"/>
              <w:right w:val="single" w:sz="4" w:space="0" w:color="auto"/>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71" w:name="_Toc355007998"/>
            <w:bookmarkStart w:id="272" w:name="_Toc355008154"/>
            <w:r w:rsidRPr="00DB426E">
              <w:rPr>
                <w:rFonts w:eastAsia="Times New Roman"/>
                <w:color w:val="000000"/>
                <w:lang w:eastAsia="lv-LV"/>
              </w:rPr>
              <w:t>-10%</w:t>
            </w:r>
            <w:bookmarkEnd w:id="271"/>
            <w:bookmarkEnd w:id="272"/>
          </w:p>
        </w:tc>
      </w:tr>
      <w:tr w:rsidR="006D3AB5" w:rsidRPr="00DB426E" w:rsidTr="006B1BEE">
        <w:trPr>
          <w:trHeight w:val="300"/>
        </w:trPr>
        <w:tc>
          <w:tcPr>
            <w:tcW w:w="4116" w:type="dxa"/>
            <w:tcBorders>
              <w:top w:val="nil"/>
              <w:left w:val="single" w:sz="4" w:space="0" w:color="auto"/>
              <w:bottom w:val="single" w:sz="4" w:space="0" w:color="auto"/>
              <w:right w:val="single" w:sz="4" w:space="0" w:color="auto"/>
            </w:tcBorders>
            <w:shd w:val="clear" w:color="auto" w:fill="auto"/>
            <w:noWrap/>
            <w:vAlign w:val="bottom"/>
            <w:hideMark/>
          </w:tcPr>
          <w:p w:rsidR="006D3AB5" w:rsidRPr="00DB426E" w:rsidRDefault="009B5CBF" w:rsidP="009B5CBF">
            <w:pPr>
              <w:spacing w:after="60"/>
              <w:rPr>
                <w:rFonts w:eastAsia="Times New Roman"/>
                <w:lang w:eastAsia="lv-LV"/>
              </w:rPr>
            </w:pPr>
            <w:bookmarkStart w:id="273" w:name="_Toc355007999"/>
            <w:bookmarkStart w:id="274" w:name="_Toc355008155"/>
            <w:r w:rsidRPr="00DB426E">
              <w:rPr>
                <w:rFonts w:eastAsia="Times New Roman"/>
                <w:lang w:eastAsia="lv-LV"/>
              </w:rPr>
              <w:t xml:space="preserve">3.variants. UIN,VSAOI,IIN </w:t>
            </w:r>
            <w:r w:rsidR="006D3AB5" w:rsidRPr="00DB426E">
              <w:rPr>
                <w:rFonts w:eastAsia="Times New Roman"/>
                <w:lang w:eastAsia="lv-LV"/>
              </w:rPr>
              <w:t>atvieglojums</w:t>
            </w:r>
            <w:bookmarkEnd w:id="273"/>
            <w:bookmarkEnd w:id="274"/>
          </w:p>
        </w:tc>
        <w:tc>
          <w:tcPr>
            <w:tcW w:w="851"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75" w:name="_Toc355008000"/>
            <w:bookmarkStart w:id="276" w:name="_Toc355008156"/>
            <w:r w:rsidRPr="00DB426E">
              <w:rPr>
                <w:rFonts w:eastAsia="Times New Roman"/>
                <w:color w:val="000000"/>
                <w:lang w:eastAsia="lv-LV"/>
              </w:rPr>
              <w:t>-15%</w:t>
            </w:r>
            <w:bookmarkEnd w:id="275"/>
            <w:bookmarkEnd w:id="276"/>
          </w:p>
        </w:tc>
        <w:tc>
          <w:tcPr>
            <w:tcW w:w="850"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77" w:name="_Toc355008001"/>
            <w:bookmarkStart w:id="278" w:name="_Toc355008157"/>
            <w:r w:rsidRPr="00DB426E">
              <w:rPr>
                <w:rFonts w:eastAsia="Times New Roman"/>
                <w:color w:val="000000"/>
                <w:lang w:eastAsia="lv-LV"/>
              </w:rPr>
              <w:t>-21%</w:t>
            </w:r>
            <w:bookmarkEnd w:id="277"/>
            <w:bookmarkEnd w:id="278"/>
          </w:p>
        </w:tc>
        <w:tc>
          <w:tcPr>
            <w:tcW w:w="851"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79" w:name="_Toc355008002"/>
            <w:bookmarkStart w:id="280" w:name="_Toc355008158"/>
            <w:r w:rsidRPr="00DB426E">
              <w:rPr>
                <w:rFonts w:eastAsia="Times New Roman"/>
                <w:color w:val="000000"/>
                <w:lang w:eastAsia="lv-LV"/>
              </w:rPr>
              <w:t>-27%</w:t>
            </w:r>
            <w:bookmarkEnd w:id="279"/>
            <w:bookmarkEnd w:id="280"/>
          </w:p>
        </w:tc>
        <w:tc>
          <w:tcPr>
            <w:tcW w:w="850"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81" w:name="_Toc355008003"/>
            <w:bookmarkStart w:id="282" w:name="_Toc355008159"/>
            <w:r w:rsidRPr="00DB426E">
              <w:rPr>
                <w:rFonts w:eastAsia="Times New Roman"/>
                <w:color w:val="000000"/>
                <w:lang w:eastAsia="lv-LV"/>
              </w:rPr>
              <w:t>-32%</w:t>
            </w:r>
            <w:bookmarkEnd w:id="281"/>
            <w:bookmarkEnd w:id="282"/>
          </w:p>
        </w:tc>
        <w:tc>
          <w:tcPr>
            <w:tcW w:w="851"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bookmarkStart w:id="283" w:name="_Toc355008004"/>
            <w:bookmarkStart w:id="284" w:name="_Toc355008160"/>
            <w:r w:rsidRPr="00DB426E">
              <w:rPr>
                <w:rFonts w:eastAsia="Times New Roman"/>
                <w:color w:val="000000"/>
                <w:lang w:eastAsia="lv-LV"/>
              </w:rPr>
              <w:t>-37%</w:t>
            </w:r>
            <w:bookmarkEnd w:id="283"/>
            <w:bookmarkEnd w:id="284"/>
          </w:p>
        </w:tc>
      </w:tr>
    </w:tbl>
    <w:p w:rsidR="009B5CBF" w:rsidRPr="00DB426E" w:rsidRDefault="009B5CBF" w:rsidP="006D3AB5">
      <w:pPr>
        <w:pStyle w:val="Caption"/>
      </w:pPr>
      <w:bookmarkStart w:id="285" w:name="_Ref354734441"/>
    </w:p>
    <w:p w:rsidR="006D3AB5" w:rsidRPr="00DB426E" w:rsidRDefault="006D3AB5" w:rsidP="0083766B">
      <w:pPr>
        <w:pStyle w:val="Caption"/>
        <w:jc w:val="left"/>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12</w:t>
      </w:r>
      <w:r w:rsidR="009B0188">
        <w:rPr>
          <w:noProof/>
        </w:rPr>
        <w:fldChar w:fldCharType="end"/>
      </w:r>
      <w:bookmarkEnd w:id="285"/>
      <w:r w:rsidRPr="00DB426E">
        <w:t>. Summāro nodokļu samazinājums nodokļu atvieglojumu alternatīvajiem variantiem (LIELIE uzņēmumi)</w:t>
      </w:r>
    </w:p>
    <w:p w:rsidR="006D3AB5" w:rsidRPr="00DB426E" w:rsidRDefault="006C3F27" w:rsidP="00467BE7">
      <w:pPr>
        <w:jc w:val="left"/>
        <w:rPr>
          <w:lang w:eastAsia="lv-LV"/>
        </w:rPr>
      </w:pPr>
      <w:r>
        <w:rPr>
          <w:noProof/>
          <w:lang w:eastAsia="lv-LV"/>
        </w:rPr>
        <w:drawing>
          <wp:inline distT="0" distB="0" distL="0" distR="0" wp14:anchorId="755D2DA6" wp14:editId="12AD2F9F">
            <wp:extent cx="5364480" cy="2397760"/>
            <wp:effectExtent l="0" t="0" r="26670" b="21590"/>
            <wp:docPr id="57" name="Picture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5D71AB" w:rsidRDefault="005D71AB" w:rsidP="006D3AB5">
      <w:pPr>
        <w:pStyle w:val="Caption"/>
        <w:jc w:val="left"/>
      </w:pPr>
      <w:bookmarkStart w:id="286" w:name="_Ref358883762"/>
    </w:p>
    <w:p w:rsidR="006D3AB5" w:rsidRPr="00DB426E" w:rsidRDefault="006D3AB5" w:rsidP="006D3AB5">
      <w:pPr>
        <w:pStyle w:val="Caption"/>
        <w:jc w:val="left"/>
      </w:pPr>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22</w:t>
      </w:r>
      <w:r w:rsidR="009B0188">
        <w:rPr>
          <w:noProof/>
        </w:rPr>
        <w:fldChar w:fldCharType="end"/>
      </w:r>
      <w:bookmarkEnd w:id="286"/>
      <w:r w:rsidRPr="00DB426E">
        <w:t>. Summāro nodokļu samazinājums salīdzinājumā ar inerces variantu atkarībā no nodokļu atvieglojumu veida (VIDĒJIE uzņēmumi)</w:t>
      </w:r>
    </w:p>
    <w:tbl>
      <w:tblPr>
        <w:tblW w:w="8510" w:type="dxa"/>
        <w:tblInd w:w="103" w:type="dxa"/>
        <w:tblLook w:val="04A0" w:firstRow="1" w:lastRow="0" w:firstColumn="1" w:lastColumn="0" w:noHBand="0" w:noVBand="1"/>
      </w:tblPr>
      <w:tblGrid>
        <w:gridCol w:w="4258"/>
        <w:gridCol w:w="850"/>
        <w:gridCol w:w="851"/>
        <w:gridCol w:w="850"/>
        <w:gridCol w:w="851"/>
        <w:gridCol w:w="850"/>
      </w:tblGrid>
      <w:tr w:rsidR="006D3AB5" w:rsidRPr="00DB426E" w:rsidTr="006D3AB5">
        <w:trPr>
          <w:trHeight w:val="300"/>
        </w:trPr>
        <w:tc>
          <w:tcPr>
            <w:tcW w:w="4258"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rsidR="006D3AB5" w:rsidRPr="00DB426E" w:rsidRDefault="006D3AB5" w:rsidP="005B06E0">
            <w:pPr>
              <w:spacing w:after="60"/>
              <w:jc w:val="center"/>
              <w:rPr>
                <w:rFonts w:eastAsia="Times New Roman"/>
                <w:b/>
                <w:bCs/>
                <w:lang w:eastAsia="lv-LV"/>
              </w:rPr>
            </w:pPr>
            <w:r w:rsidRPr="00DB426E">
              <w:rPr>
                <w:rFonts w:eastAsia="Times New Roman"/>
                <w:b/>
                <w:bCs/>
                <w:lang w:eastAsia="lv-LV"/>
              </w:rPr>
              <w:t>Nodokļu maksājumi, tūkst. LVL</w:t>
            </w:r>
          </w:p>
        </w:tc>
        <w:tc>
          <w:tcPr>
            <w:tcW w:w="4252" w:type="dxa"/>
            <w:gridSpan w:val="5"/>
            <w:tcBorders>
              <w:top w:val="single" w:sz="4" w:space="0" w:color="auto"/>
              <w:left w:val="nil"/>
              <w:bottom w:val="nil"/>
              <w:right w:val="single" w:sz="4" w:space="0" w:color="000000"/>
            </w:tcBorders>
            <w:shd w:val="clear" w:color="000000" w:fill="D9D9D9"/>
            <w:noWrap/>
            <w:vAlign w:val="bottom"/>
            <w:hideMark/>
          </w:tcPr>
          <w:p w:rsidR="006D3AB5" w:rsidRPr="00DB426E" w:rsidRDefault="006D3AB5" w:rsidP="005B06E0">
            <w:pPr>
              <w:spacing w:after="6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4258" w:type="dxa"/>
            <w:vMerge/>
            <w:tcBorders>
              <w:top w:val="single" w:sz="4" w:space="0" w:color="auto"/>
              <w:left w:val="single" w:sz="4" w:space="0" w:color="auto"/>
              <w:bottom w:val="double" w:sz="6" w:space="0" w:color="000000"/>
              <w:right w:val="single" w:sz="4" w:space="0" w:color="auto"/>
            </w:tcBorders>
            <w:vAlign w:val="center"/>
            <w:hideMark/>
          </w:tcPr>
          <w:p w:rsidR="006D3AB5" w:rsidRPr="00DB426E" w:rsidRDefault="006D3AB5" w:rsidP="005B06E0">
            <w:pPr>
              <w:spacing w:after="60"/>
              <w:rPr>
                <w:rFonts w:eastAsia="Times New Roman"/>
                <w:b/>
                <w:bCs/>
                <w:lang w:eastAsia="lv-LV"/>
              </w:rPr>
            </w:pPr>
          </w:p>
        </w:tc>
        <w:tc>
          <w:tcPr>
            <w:tcW w:w="850"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5B06E0">
            <w:pPr>
              <w:spacing w:after="60"/>
              <w:jc w:val="right"/>
              <w:rPr>
                <w:rFonts w:eastAsia="Times New Roman"/>
                <w:b/>
                <w:bCs/>
                <w:lang w:eastAsia="lv-LV"/>
              </w:rPr>
            </w:pPr>
            <w:r w:rsidRPr="00DB426E">
              <w:rPr>
                <w:rFonts w:eastAsia="Times New Roman"/>
                <w:b/>
                <w:bCs/>
                <w:lang w:eastAsia="lv-LV"/>
              </w:rPr>
              <w:t>0.5%</w:t>
            </w:r>
          </w:p>
        </w:tc>
        <w:tc>
          <w:tcPr>
            <w:tcW w:w="851"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5B06E0">
            <w:pPr>
              <w:spacing w:after="60"/>
              <w:jc w:val="right"/>
              <w:rPr>
                <w:rFonts w:eastAsia="Times New Roman"/>
                <w:b/>
                <w:bCs/>
                <w:lang w:eastAsia="lv-LV"/>
              </w:rPr>
            </w:pPr>
            <w:r w:rsidRPr="00DB426E">
              <w:rPr>
                <w:rFonts w:eastAsia="Times New Roman"/>
                <w:b/>
                <w:bCs/>
                <w:lang w:eastAsia="lv-LV"/>
              </w:rPr>
              <w:t>1.0%</w:t>
            </w:r>
          </w:p>
        </w:tc>
        <w:tc>
          <w:tcPr>
            <w:tcW w:w="850"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5B06E0">
            <w:pPr>
              <w:spacing w:after="60"/>
              <w:jc w:val="right"/>
              <w:rPr>
                <w:rFonts w:eastAsia="Times New Roman"/>
                <w:b/>
                <w:bCs/>
                <w:lang w:eastAsia="lv-LV"/>
              </w:rPr>
            </w:pPr>
            <w:r w:rsidRPr="00DB426E">
              <w:rPr>
                <w:rFonts w:eastAsia="Times New Roman"/>
                <w:b/>
                <w:bCs/>
                <w:lang w:eastAsia="lv-LV"/>
              </w:rPr>
              <w:t>1.5%</w:t>
            </w:r>
          </w:p>
        </w:tc>
        <w:tc>
          <w:tcPr>
            <w:tcW w:w="851"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5B06E0">
            <w:pPr>
              <w:spacing w:after="60"/>
              <w:jc w:val="right"/>
              <w:rPr>
                <w:rFonts w:eastAsia="Times New Roman"/>
                <w:b/>
                <w:bCs/>
                <w:lang w:eastAsia="lv-LV"/>
              </w:rPr>
            </w:pPr>
            <w:r w:rsidRPr="00DB426E">
              <w:rPr>
                <w:rFonts w:eastAsia="Times New Roman"/>
                <w:b/>
                <w:bCs/>
                <w:lang w:eastAsia="lv-LV"/>
              </w:rPr>
              <w:t>2.0%</w:t>
            </w:r>
          </w:p>
        </w:tc>
        <w:tc>
          <w:tcPr>
            <w:tcW w:w="850" w:type="dxa"/>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5B06E0">
            <w:pPr>
              <w:spacing w:after="60"/>
              <w:jc w:val="right"/>
              <w:rPr>
                <w:rFonts w:eastAsia="Times New Roman"/>
                <w:b/>
                <w:bCs/>
                <w:lang w:eastAsia="lv-LV"/>
              </w:rPr>
            </w:pPr>
            <w:r w:rsidRPr="00DB426E">
              <w:rPr>
                <w:rFonts w:eastAsia="Times New Roman"/>
                <w:b/>
                <w:bCs/>
                <w:lang w:eastAsia="lv-LV"/>
              </w:rPr>
              <w:t>2.5%</w:t>
            </w:r>
          </w:p>
        </w:tc>
      </w:tr>
      <w:tr w:rsidR="006D3AB5" w:rsidRPr="00DB426E" w:rsidTr="006D3AB5">
        <w:trPr>
          <w:trHeight w:val="315"/>
        </w:trPr>
        <w:tc>
          <w:tcPr>
            <w:tcW w:w="425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5B06E0">
            <w:pPr>
              <w:spacing w:after="60"/>
              <w:rPr>
                <w:rFonts w:eastAsia="Times New Roman"/>
                <w:lang w:eastAsia="lv-LV"/>
              </w:rPr>
            </w:pPr>
            <w:r w:rsidRPr="00DB426E">
              <w:rPr>
                <w:rFonts w:eastAsia="Times New Roman"/>
                <w:lang w:eastAsia="lv-LV"/>
              </w:rPr>
              <w:t>1.variants. UIN atvieglojums (Kp=300%)</w:t>
            </w:r>
          </w:p>
        </w:tc>
        <w:tc>
          <w:tcPr>
            <w:tcW w:w="850"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226</w:t>
            </w:r>
          </w:p>
        </w:tc>
        <w:tc>
          <w:tcPr>
            <w:tcW w:w="851"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219</w:t>
            </w:r>
          </w:p>
        </w:tc>
        <w:tc>
          <w:tcPr>
            <w:tcW w:w="850"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216</w:t>
            </w:r>
          </w:p>
        </w:tc>
        <w:tc>
          <w:tcPr>
            <w:tcW w:w="851"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218</w:t>
            </w:r>
          </w:p>
        </w:tc>
        <w:tc>
          <w:tcPr>
            <w:tcW w:w="850" w:type="dxa"/>
            <w:tcBorders>
              <w:top w:val="nil"/>
              <w:left w:val="nil"/>
              <w:bottom w:val="nil"/>
              <w:right w:val="single" w:sz="4" w:space="0" w:color="auto"/>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224</w:t>
            </w:r>
          </w:p>
        </w:tc>
      </w:tr>
      <w:tr w:rsidR="006D3AB5" w:rsidRPr="00DB426E" w:rsidTr="006D3AB5">
        <w:trPr>
          <w:trHeight w:val="300"/>
        </w:trPr>
        <w:tc>
          <w:tcPr>
            <w:tcW w:w="4258"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5B06E0">
            <w:pPr>
              <w:spacing w:after="60"/>
              <w:rPr>
                <w:rFonts w:eastAsia="Times New Roman"/>
                <w:lang w:eastAsia="lv-LV"/>
              </w:rPr>
            </w:pPr>
            <w:r w:rsidRPr="00DB426E">
              <w:rPr>
                <w:rFonts w:eastAsia="Times New Roman"/>
                <w:lang w:eastAsia="lv-LV"/>
              </w:rPr>
              <w:t>2.variants. VSAOI,INN atvieglojums (k=25%)</w:t>
            </w:r>
          </w:p>
        </w:tc>
        <w:tc>
          <w:tcPr>
            <w:tcW w:w="850"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251</w:t>
            </w:r>
          </w:p>
        </w:tc>
        <w:tc>
          <w:tcPr>
            <w:tcW w:w="851"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263</w:t>
            </w:r>
          </w:p>
        </w:tc>
        <w:tc>
          <w:tcPr>
            <w:tcW w:w="850"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275</w:t>
            </w:r>
          </w:p>
        </w:tc>
        <w:tc>
          <w:tcPr>
            <w:tcW w:w="851"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287</w:t>
            </w:r>
          </w:p>
        </w:tc>
        <w:tc>
          <w:tcPr>
            <w:tcW w:w="850" w:type="dxa"/>
            <w:tcBorders>
              <w:top w:val="nil"/>
              <w:left w:val="nil"/>
              <w:bottom w:val="nil"/>
              <w:right w:val="single" w:sz="4" w:space="0" w:color="auto"/>
            </w:tcBorders>
            <w:shd w:val="clear" w:color="auto" w:fill="auto"/>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299</w:t>
            </w:r>
          </w:p>
        </w:tc>
      </w:tr>
      <w:tr w:rsidR="006D3AB5" w:rsidRPr="00DB426E" w:rsidTr="006D3AB5">
        <w:trPr>
          <w:trHeight w:val="300"/>
        </w:trPr>
        <w:tc>
          <w:tcPr>
            <w:tcW w:w="4258" w:type="dxa"/>
            <w:tcBorders>
              <w:top w:val="nil"/>
              <w:left w:val="single" w:sz="4" w:space="0" w:color="auto"/>
              <w:bottom w:val="nil"/>
              <w:right w:val="single" w:sz="4" w:space="0" w:color="auto"/>
            </w:tcBorders>
            <w:shd w:val="clear" w:color="auto" w:fill="auto"/>
            <w:noWrap/>
            <w:vAlign w:val="bottom"/>
            <w:hideMark/>
          </w:tcPr>
          <w:p w:rsidR="006D3AB5" w:rsidRPr="00DB426E" w:rsidRDefault="006D3AB5" w:rsidP="005B06E0">
            <w:pPr>
              <w:spacing w:after="60"/>
              <w:rPr>
                <w:rFonts w:eastAsia="Times New Roman"/>
                <w:lang w:eastAsia="lv-LV"/>
              </w:rPr>
            </w:pPr>
            <w:r w:rsidRPr="00DB426E">
              <w:rPr>
                <w:rFonts w:eastAsia="Times New Roman"/>
                <w:lang w:eastAsia="lv-LV"/>
              </w:rPr>
              <w:t>3.variants. UIN,VSAOI,IIN atvieglojums</w:t>
            </w:r>
          </w:p>
        </w:tc>
        <w:tc>
          <w:tcPr>
            <w:tcW w:w="850"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lang w:eastAsia="lv-LV"/>
              </w:rPr>
            </w:pPr>
            <w:r w:rsidRPr="00DB426E">
              <w:rPr>
                <w:rFonts w:eastAsia="Times New Roman"/>
                <w:lang w:eastAsia="lv-LV"/>
              </w:rPr>
              <w:t>221</w:t>
            </w:r>
          </w:p>
        </w:tc>
        <w:tc>
          <w:tcPr>
            <w:tcW w:w="851"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lang w:eastAsia="lv-LV"/>
              </w:rPr>
            </w:pPr>
            <w:r w:rsidRPr="00DB426E">
              <w:rPr>
                <w:rFonts w:eastAsia="Times New Roman"/>
                <w:lang w:eastAsia="lv-LV"/>
              </w:rPr>
              <w:t>203</w:t>
            </w:r>
          </w:p>
        </w:tc>
        <w:tc>
          <w:tcPr>
            <w:tcW w:w="850"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lang w:eastAsia="lv-LV"/>
              </w:rPr>
            </w:pPr>
            <w:r w:rsidRPr="00DB426E">
              <w:rPr>
                <w:rFonts w:eastAsia="Times New Roman"/>
                <w:lang w:eastAsia="lv-LV"/>
              </w:rPr>
              <w:t>184</w:t>
            </w:r>
          </w:p>
        </w:tc>
        <w:tc>
          <w:tcPr>
            <w:tcW w:w="851" w:type="dxa"/>
            <w:tcBorders>
              <w:top w:val="nil"/>
              <w:left w:val="nil"/>
              <w:bottom w:val="nil"/>
              <w:right w:val="nil"/>
            </w:tcBorders>
            <w:shd w:val="clear" w:color="auto" w:fill="auto"/>
            <w:noWrap/>
            <w:vAlign w:val="bottom"/>
            <w:hideMark/>
          </w:tcPr>
          <w:p w:rsidR="006D3AB5" w:rsidRPr="00DB426E" w:rsidRDefault="006D3AB5" w:rsidP="005B06E0">
            <w:pPr>
              <w:spacing w:after="60"/>
              <w:jc w:val="right"/>
              <w:rPr>
                <w:rFonts w:eastAsia="Times New Roman"/>
                <w:lang w:eastAsia="lv-LV"/>
              </w:rPr>
            </w:pPr>
            <w:r w:rsidRPr="00DB426E">
              <w:rPr>
                <w:rFonts w:eastAsia="Times New Roman"/>
                <w:lang w:eastAsia="lv-LV"/>
              </w:rPr>
              <w:t>166</w:t>
            </w:r>
          </w:p>
        </w:tc>
        <w:tc>
          <w:tcPr>
            <w:tcW w:w="850" w:type="dxa"/>
            <w:tcBorders>
              <w:top w:val="nil"/>
              <w:left w:val="nil"/>
              <w:bottom w:val="nil"/>
              <w:right w:val="single" w:sz="4" w:space="0" w:color="auto"/>
            </w:tcBorders>
            <w:shd w:val="clear" w:color="auto" w:fill="auto"/>
            <w:noWrap/>
            <w:vAlign w:val="bottom"/>
            <w:hideMark/>
          </w:tcPr>
          <w:p w:rsidR="006D3AB5" w:rsidRPr="00DB426E" w:rsidRDefault="006D3AB5" w:rsidP="005B06E0">
            <w:pPr>
              <w:spacing w:after="60"/>
              <w:jc w:val="right"/>
              <w:rPr>
                <w:rFonts w:eastAsia="Times New Roman"/>
                <w:lang w:eastAsia="lv-LV"/>
              </w:rPr>
            </w:pPr>
            <w:r w:rsidRPr="00DB426E">
              <w:rPr>
                <w:rFonts w:eastAsia="Times New Roman"/>
                <w:lang w:eastAsia="lv-LV"/>
              </w:rPr>
              <w:t>157</w:t>
            </w:r>
          </w:p>
        </w:tc>
      </w:tr>
      <w:tr w:rsidR="006D3AB5" w:rsidRPr="00DB426E" w:rsidTr="006D3AB5">
        <w:trPr>
          <w:trHeight w:val="300"/>
        </w:trPr>
        <w:tc>
          <w:tcPr>
            <w:tcW w:w="42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D3AB5" w:rsidRPr="00DB426E" w:rsidRDefault="006D3AB5" w:rsidP="005B06E0">
            <w:pPr>
              <w:spacing w:after="60"/>
              <w:rPr>
                <w:rFonts w:eastAsia="Times New Roman"/>
                <w:lang w:eastAsia="lv-LV"/>
              </w:rPr>
            </w:pPr>
            <w:r w:rsidRPr="00DB426E">
              <w:rPr>
                <w:rFonts w:eastAsia="Times New Roman"/>
                <w:lang w:eastAsia="lv-LV"/>
              </w:rPr>
              <w:t>Inerces variants</w:t>
            </w:r>
            <w:r w:rsidR="006B1BEE">
              <w:rPr>
                <w:rFonts w:eastAsia="Times New Roman"/>
                <w:lang w:eastAsia="lv-LV"/>
              </w:rPr>
              <w:t xml:space="preserve"> </w:t>
            </w:r>
            <w:r w:rsidR="006B1BEE" w:rsidRPr="006B1BEE">
              <w:rPr>
                <w:rFonts w:eastAsia="Times New Roman"/>
                <w:lang w:eastAsia="lv-LV"/>
              </w:rPr>
              <w:t>(UIN+VSAOI+IIN)</w:t>
            </w:r>
          </w:p>
        </w:tc>
        <w:tc>
          <w:tcPr>
            <w:tcW w:w="850" w:type="dxa"/>
            <w:tcBorders>
              <w:top w:val="single" w:sz="4" w:space="0" w:color="auto"/>
              <w:left w:val="nil"/>
              <w:bottom w:val="single" w:sz="4" w:space="0" w:color="auto"/>
              <w:right w:val="nil"/>
            </w:tcBorders>
            <w:shd w:val="clear" w:color="000000" w:fill="D9D9D9"/>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260</w:t>
            </w:r>
          </w:p>
        </w:tc>
        <w:tc>
          <w:tcPr>
            <w:tcW w:w="851" w:type="dxa"/>
            <w:tcBorders>
              <w:top w:val="single" w:sz="4" w:space="0" w:color="auto"/>
              <w:left w:val="nil"/>
              <w:bottom w:val="single" w:sz="4" w:space="0" w:color="auto"/>
              <w:right w:val="nil"/>
            </w:tcBorders>
            <w:shd w:val="clear" w:color="000000" w:fill="D9D9D9"/>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282</w:t>
            </w:r>
          </w:p>
        </w:tc>
        <w:tc>
          <w:tcPr>
            <w:tcW w:w="850" w:type="dxa"/>
            <w:tcBorders>
              <w:top w:val="single" w:sz="4" w:space="0" w:color="auto"/>
              <w:left w:val="nil"/>
              <w:bottom w:val="single" w:sz="4" w:space="0" w:color="auto"/>
              <w:right w:val="nil"/>
            </w:tcBorders>
            <w:shd w:val="clear" w:color="000000" w:fill="D9D9D9"/>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303</w:t>
            </w:r>
          </w:p>
        </w:tc>
        <w:tc>
          <w:tcPr>
            <w:tcW w:w="851" w:type="dxa"/>
            <w:tcBorders>
              <w:top w:val="single" w:sz="4" w:space="0" w:color="auto"/>
              <w:left w:val="nil"/>
              <w:bottom w:val="single" w:sz="4" w:space="0" w:color="auto"/>
              <w:right w:val="nil"/>
            </w:tcBorders>
            <w:shd w:val="clear" w:color="000000" w:fill="D9D9D9"/>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324</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6D3AB5" w:rsidRPr="00DB426E" w:rsidRDefault="006D3AB5" w:rsidP="005B06E0">
            <w:pPr>
              <w:spacing w:after="60"/>
              <w:jc w:val="right"/>
              <w:rPr>
                <w:rFonts w:eastAsia="Times New Roman"/>
                <w:color w:val="000000"/>
                <w:lang w:eastAsia="lv-LV"/>
              </w:rPr>
            </w:pPr>
            <w:r w:rsidRPr="00DB426E">
              <w:rPr>
                <w:rFonts w:eastAsia="Times New Roman"/>
                <w:color w:val="000000"/>
                <w:lang w:eastAsia="lv-LV"/>
              </w:rPr>
              <w:t>346</w:t>
            </w:r>
          </w:p>
        </w:tc>
      </w:tr>
    </w:tbl>
    <w:p w:rsidR="006D3AB5" w:rsidRPr="00DB426E" w:rsidRDefault="006D3AB5" w:rsidP="006D3AB5"/>
    <w:tbl>
      <w:tblPr>
        <w:tblW w:w="8510" w:type="dxa"/>
        <w:tblInd w:w="103" w:type="dxa"/>
        <w:tblLook w:val="04A0" w:firstRow="1" w:lastRow="0" w:firstColumn="1" w:lastColumn="0" w:noHBand="0" w:noVBand="1"/>
      </w:tblPr>
      <w:tblGrid>
        <w:gridCol w:w="4258"/>
        <w:gridCol w:w="850"/>
        <w:gridCol w:w="851"/>
        <w:gridCol w:w="850"/>
        <w:gridCol w:w="851"/>
        <w:gridCol w:w="850"/>
      </w:tblGrid>
      <w:tr w:rsidR="006D3AB5" w:rsidRPr="00DB426E" w:rsidTr="006D3AB5">
        <w:trPr>
          <w:trHeight w:val="300"/>
        </w:trPr>
        <w:tc>
          <w:tcPr>
            <w:tcW w:w="4258"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rsidR="006D3AB5" w:rsidRPr="00DB426E" w:rsidRDefault="006D3AB5" w:rsidP="006B1BEE">
            <w:pPr>
              <w:spacing w:after="0"/>
              <w:jc w:val="center"/>
              <w:rPr>
                <w:b/>
                <w:lang w:eastAsia="lv-LV"/>
              </w:rPr>
            </w:pPr>
            <w:r w:rsidRPr="00DB426E">
              <w:rPr>
                <w:b/>
                <w:lang w:eastAsia="lv-LV"/>
              </w:rPr>
              <w:t xml:space="preserve">Nodokļu samazinājums </w:t>
            </w:r>
          </w:p>
          <w:p w:rsidR="006D3AB5" w:rsidRPr="00DB426E" w:rsidRDefault="006D3AB5" w:rsidP="006B1BEE">
            <w:pPr>
              <w:spacing w:after="0"/>
              <w:jc w:val="center"/>
              <w:rPr>
                <w:b/>
                <w:lang w:eastAsia="lv-LV"/>
              </w:rPr>
            </w:pPr>
            <w:r w:rsidRPr="00DB426E">
              <w:rPr>
                <w:b/>
                <w:lang w:eastAsia="lv-LV"/>
              </w:rPr>
              <w:t>procentos pret inerces variantu</w:t>
            </w:r>
          </w:p>
        </w:tc>
        <w:tc>
          <w:tcPr>
            <w:tcW w:w="4252" w:type="dxa"/>
            <w:gridSpan w:val="5"/>
            <w:tcBorders>
              <w:top w:val="single" w:sz="4" w:space="0" w:color="auto"/>
              <w:left w:val="nil"/>
              <w:bottom w:val="nil"/>
              <w:right w:val="single" w:sz="4" w:space="0" w:color="000000"/>
            </w:tcBorders>
            <w:shd w:val="clear" w:color="000000" w:fill="D9D9D9"/>
            <w:noWrap/>
            <w:vAlign w:val="bottom"/>
            <w:hideMark/>
          </w:tcPr>
          <w:p w:rsidR="006D3AB5" w:rsidRPr="00DB426E" w:rsidRDefault="006D3AB5" w:rsidP="009B5CBF">
            <w:pPr>
              <w:spacing w:after="60"/>
              <w:jc w:val="center"/>
              <w:rPr>
                <w:rFonts w:eastAsia="Times New Roman"/>
                <w:b/>
                <w:bCs/>
                <w:color w:val="000000"/>
                <w:lang w:eastAsia="lv-LV"/>
              </w:rPr>
            </w:pPr>
            <w:r w:rsidRPr="00DB426E">
              <w:rPr>
                <w:rFonts w:eastAsia="Times New Roman"/>
                <w:b/>
                <w:bCs/>
                <w:color w:val="000000"/>
                <w:lang w:eastAsia="lv-LV"/>
              </w:rPr>
              <w:t>ZP izdevumi (% no NA)</w:t>
            </w:r>
          </w:p>
        </w:tc>
      </w:tr>
      <w:tr w:rsidR="006D3AB5" w:rsidRPr="00DB426E" w:rsidTr="006D3AB5">
        <w:trPr>
          <w:trHeight w:val="315"/>
        </w:trPr>
        <w:tc>
          <w:tcPr>
            <w:tcW w:w="4258" w:type="dxa"/>
            <w:vMerge/>
            <w:tcBorders>
              <w:top w:val="single" w:sz="4" w:space="0" w:color="auto"/>
              <w:left w:val="single" w:sz="4" w:space="0" w:color="auto"/>
              <w:bottom w:val="double" w:sz="6" w:space="0" w:color="000000"/>
              <w:right w:val="single" w:sz="4" w:space="0" w:color="auto"/>
            </w:tcBorders>
            <w:vAlign w:val="center"/>
            <w:hideMark/>
          </w:tcPr>
          <w:p w:rsidR="006D3AB5" w:rsidRPr="00DB426E" w:rsidRDefault="006D3AB5" w:rsidP="009B5CBF">
            <w:pPr>
              <w:spacing w:after="60"/>
              <w:jc w:val="center"/>
              <w:rPr>
                <w:rFonts w:eastAsia="Times New Roman"/>
                <w:b/>
                <w:bCs/>
                <w:lang w:eastAsia="lv-LV"/>
              </w:rPr>
            </w:pPr>
          </w:p>
        </w:tc>
        <w:tc>
          <w:tcPr>
            <w:tcW w:w="850"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9B5CBF">
            <w:pPr>
              <w:spacing w:after="60"/>
              <w:jc w:val="center"/>
              <w:rPr>
                <w:rFonts w:eastAsia="Times New Roman"/>
                <w:b/>
                <w:bCs/>
                <w:lang w:eastAsia="lv-LV"/>
              </w:rPr>
            </w:pPr>
            <w:r w:rsidRPr="00DB426E">
              <w:rPr>
                <w:rFonts w:eastAsia="Times New Roman"/>
                <w:b/>
                <w:bCs/>
                <w:lang w:eastAsia="lv-LV"/>
              </w:rPr>
              <w:t>0.5%</w:t>
            </w:r>
          </w:p>
        </w:tc>
        <w:tc>
          <w:tcPr>
            <w:tcW w:w="851"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9B5CBF">
            <w:pPr>
              <w:spacing w:after="60"/>
              <w:jc w:val="center"/>
              <w:rPr>
                <w:rFonts w:eastAsia="Times New Roman"/>
                <w:b/>
                <w:bCs/>
                <w:lang w:eastAsia="lv-LV"/>
              </w:rPr>
            </w:pPr>
            <w:r w:rsidRPr="00DB426E">
              <w:rPr>
                <w:rFonts w:eastAsia="Times New Roman"/>
                <w:b/>
                <w:bCs/>
                <w:lang w:eastAsia="lv-LV"/>
              </w:rPr>
              <w:t>1.0%</w:t>
            </w:r>
          </w:p>
        </w:tc>
        <w:tc>
          <w:tcPr>
            <w:tcW w:w="850"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9B5CBF">
            <w:pPr>
              <w:spacing w:after="60"/>
              <w:jc w:val="center"/>
              <w:rPr>
                <w:rFonts w:eastAsia="Times New Roman"/>
                <w:b/>
                <w:bCs/>
                <w:lang w:eastAsia="lv-LV"/>
              </w:rPr>
            </w:pPr>
            <w:r w:rsidRPr="00DB426E">
              <w:rPr>
                <w:rFonts w:eastAsia="Times New Roman"/>
                <w:b/>
                <w:bCs/>
                <w:lang w:eastAsia="lv-LV"/>
              </w:rPr>
              <w:t>1.5%</w:t>
            </w:r>
          </w:p>
        </w:tc>
        <w:tc>
          <w:tcPr>
            <w:tcW w:w="851" w:type="dxa"/>
            <w:tcBorders>
              <w:top w:val="single" w:sz="4" w:space="0" w:color="auto"/>
              <w:left w:val="nil"/>
              <w:bottom w:val="double" w:sz="6" w:space="0" w:color="auto"/>
              <w:right w:val="nil"/>
            </w:tcBorders>
            <w:shd w:val="clear" w:color="000000" w:fill="D9D9D9"/>
            <w:noWrap/>
            <w:vAlign w:val="bottom"/>
            <w:hideMark/>
          </w:tcPr>
          <w:p w:rsidR="006D3AB5" w:rsidRPr="00DB426E" w:rsidRDefault="006D3AB5" w:rsidP="009B5CBF">
            <w:pPr>
              <w:spacing w:after="60"/>
              <w:jc w:val="center"/>
              <w:rPr>
                <w:rFonts w:eastAsia="Times New Roman"/>
                <w:b/>
                <w:bCs/>
                <w:lang w:eastAsia="lv-LV"/>
              </w:rPr>
            </w:pPr>
            <w:r w:rsidRPr="00DB426E">
              <w:rPr>
                <w:rFonts w:eastAsia="Times New Roman"/>
                <w:b/>
                <w:bCs/>
                <w:lang w:eastAsia="lv-LV"/>
              </w:rPr>
              <w:t>2.0%</w:t>
            </w:r>
          </w:p>
        </w:tc>
        <w:tc>
          <w:tcPr>
            <w:tcW w:w="850" w:type="dxa"/>
            <w:tcBorders>
              <w:top w:val="single" w:sz="4" w:space="0" w:color="auto"/>
              <w:left w:val="nil"/>
              <w:bottom w:val="double" w:sz="6" w:space="0" w:color="auto"/>
              <w:right w:val="single" w:sz="4" w:space="0" w:color="auto"/>
            </w:tcBorders>
            <w:shd w:val="clear" w:color="000000" w:fill="D9D9D9"/>
            <w:noWrap/>
            <w:vAlign w:val="bottom"/>
            <w:hideMark/>
          </w:tcPr>
          <w:p w:rsidR="006D3AB5" w:rsidRPr="00DB426E" w:rsidRDefault="006D3AB5" w:rsidP="009B5CBF">
            <w:pPr>
              <w:spacing w:after="60"/>
              <w:jc w:val="center"/>
              <w:rPr>
                <w:rFonts w:eastAsia="Times New Roman"/>
                <w:b/>
                <w:bCs/>
                <w:lang w:eastAsia="lv-LV"/>
              </w:rPr>
            </w:pPr>
            <w:r w:rsidRPr="00DB426E">
              <w:rPr>
                <w:rFonts w:eastAsia="Times New Roman"/>
                <w:b/>
                <w:bCs/>
                <w:lang w:eastAsia="lv-LV"/>
              </w:rPr>
              <w:t>2.5%</w:t>
            </w:r>
          </w:p>
        </w:tc>
      </w:tr>
      <w:tr w:rsidR="006D3AB5" w:rsidRPr="00DB426E" w:rsidTr="006B1BEE">
        <w:trPr>
          <w:trHeight w:val="315"/>
        </w:trPr>
        <w:tc>
          <w:tcPr>
            <w:tcW w:w="4258" w:type="dxa"/>
            <w:tcBorders>
              <w:top w:val="nil"/>
              <w:left w:val="single" w:sz="4" w:space="0" w:color="auto"/>
              <w:bottom w:val="nil"/>
              <w:right w:val="single" w:sz="4" w:space="0" w:color="auto"/>
            </w:tcBorders>
            <w:shd w:val="clear" w:color="000000" w:fill="F2F2F2"/>
            <w:noWrap/>
            <w:vAlign w:val="bottom"/>
            <w:hideMark/>
          </w:tcPr>
          <w:p w:rsidR="006D3AB5" w:rsidRPr="00DB426E" w:rsidRDefault="006D3AB5" w:rsidP="009B5CBF">
            <w:pPr>
              <w:spacing w:after="60"/>
              <w:rPr>
                <w:rFonts w:eastAsia="Times New Roman"/>
                <w:lang w:eastAsia="lv-LV"/>
              </w:rPr>
            </w:pPr>
            <w:r w:rsidRPr="00DB426E">
              <w:rPr>
                <w:rFonts w:eastAsia="Times New Roman"/>
                <w:lang w:eastAsia="lv-LV"/>
              </w:rPr>
              <w:t>1.variants. UIN atvieglojums (Kp=300%)</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-13%</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-22%</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-29%</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-33%</w:t>
            </w:r>
          </w:p>
        </w:tc>
        <w:tc>
          <w:tcPr>
            <w:tcW w:w="850" w:type="dxa"/>
            <w:tcBorders>
              <w:top w:val="nil"/>
              <w:left w:val="nil"/>
              <w:bottom w:val="nil"/>
              <w:right w:val="single" w:sz="4" w:space="0" w:color="auto"/>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-35%</w:t>
            </w:r>
          </w:p>
        </w:tc>
      </w:tr>
      <w:tr w:rsidR="006D3AB5" w:rsidRPr="00DB426E" w:rsidTr="006B1BEE">
        <w:trPr>
          <w:trHeight w:val="330"/>
        </w:trPr>
        <w:tc>
          <w:tcPr>
            <w:tcW w:w="4258" w:type="dxa"/>
            <w:tcBorders>
              <w:top w:val="nil"/>
              <w:left w:val="single" w:sz="4" w:space="0" w:color="auto"/>
              <w:bottom w:val="nil"/>
              <w:right w:val="single" w:sz="4" w:space="0" w:color="auto"/>
            </w:tcBorders>
            <w:shd w:val="clear" w:color="auto" w:fill="auto"/>
            <w:vAlign w:val="bottom"/>
            <w:hideMark/>
          </w:tcPr>
          <w:p w:rsidR="006D3AB5" w:rsidRPr="00DB426E" w:rsidRDefault="006D3AB5" w:rsidP="009B5CBF">
            <w:pPr>
              <w:spacing w:after="60"/>
              <w:rPr>
                <w:rFonts w:eastAsia="Times New Roman"/>
                <w:lang w:eastAsia="lv-LV"/>
              </w:rPr>
            </w:pPr>
            <w:r w:rsidRPr="00DB426E">
              <w:rPr>
                <w:rFonts w:eastAsia="Times New Roman"/>
                <w:lang w:eastAsia="lv-LV"/>
              </w:rPr>
              <w:t>2.variants. VSAOI,INN atvieglojums (k=25%)</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-4%</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-7%</w:t>
            </w:r>
          </w:p>
        </w:tc>
        <w:tc>
          <w:tcPr>
            <w:tcW w:w="850"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-9%</w:t>
            </w:r>
          </w:p>
        </w:tc>
        <w:tc>
          <w:tcPr>
            <w:tcW w:w="851" w:type="dxa"/>
            <w:tcBorders>
              <w:top w:val="nil"/>
              <w:left w:val="nil"/>
              <w:bottom w:val="nil"/>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-11%</w:t>
            </w:r>
          </w:p>
        </w:tc>
        <w:tc>
          <w:tcPr>
            <w:tcW w:w="850" w:type="dxa"/>
            <w:tcBorders>
              <w:top w:val="nil"/>
              <w:left w:val="nil"/>
              <w:bottom w:val="nil"/>
              <w:right w:val="single" w:sz="4" w:space="0" w:color="auto"/>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-13%</w:t>
            </w:r>
          </w:p>
        </w:tc>
      </w:tr>
      <w:tr w:rsidR="006D3AB5" w:rsidRPr="00DB426E" w:rsidTr="006B1BEE">
        <w:trPr>
          <w:trHeight w:val="300"/>
        </w:trPr>
        <w:tc>
          <w:tcPr>
            <w:tcW w:w="4258" w:type="dxa"/>
            <w:tcBorders>
              <w:top w:val="nil"/>
              <w:left w:val="single" w:sz="4" w:space="0" w:color="auto"/>
              <w:bottom w:val="single" w:sz="4" w:space="0" w:color="auto"/>
              <w:right w:val="single" w:sz="4" w:space="0" w:color="auto"/>
            </w:tcBorders>
            <w:shd w:val="clear" w:color="auto" w:fill="auto"/>
            <w:noWrap/>
            <w:vAlign w:val="bottom"/>
            <w:hideMark/>
          </w:tcPr>
          <w:p w:rsidR="006D3AB5" w:rsidRPr="00DB426E" w:rsidRDefault="006D3AB5" w:rsidP="009B5CBF">
            <w:pPr>
              <w:spacing w:after="60"/>
              <w:rPr>
                <w:rFonts w:eastAsia="Times New Roman"/>
                <w:lang w:eastAsia="lv-LV"/>
              </w:rPr>
            </w:pPr>
            <w:r w:rsidRPr="00DB426E">
              <w:rPr>
                <w:rFonts w:eastAsia="Times New Roman"/>
                <w:lang w:eastAsia="lv-LV"/>
              </w:rPr>
              <w:t>3.variants. UIN,VSAOI,IIN atvieglojums</w:t>
            </w:r>
          </w:p>
        </w:tc>
        <w:tc>
          <w:tcPr>
            <w:tcW w:w="850"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-15%</w:t>
            </w:r>
          </w:p>
        </w:tc>
        <w:tc>
          <w:tcPr>
            <w:tcW w:w="851"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-28%</w:t>
            </w:r>
          </w:p>
        </w:tc>
        <w:tc>
          <w:tcPr>
            <w:tcW w:w="850"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-39%</w:t>
            </w:r>
          </w:p>
        </w:tc>
        <w:tc>
          <w:tcPr>
            <w:tcW w:w="851" w:type="dxa"/>
            <w:tcBorders>
              <w:top w:val="nil"/>
              <w:left w:val="nil"/>
              <w:bottom w:val="single" w:sz="4" w:space="0" w:color="auto"/>
              <w:right w:val="nil"/>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-49%</w:t>
            </w:r>
          </w:p>
        </w:tc>
        <w:tc>
          <w:tcPr>
            <w:tcW w:w="850" w:type="dxa"/>
            <w:tcBorders>
              <w:top w:val="nil"/>
              <w:left w:val="nil"/>
              <w:bottom w:val="single" w:sz="4" w:space="0" w:color="auto"/>
              <w:right w:val="single" w:sz="4" w:space="0" w:color="auto"/>
            </w:tcBorders>
            <w:shd w:val="clear" w:color="auto" w:fill="auto"/>
            <w:noWrap/>
            <w:vAlign w:val="center"/>
            <w:hideMark/>
          </w:tcPr>
          <w:p w:rsidR="006D3AB5" w:rsidRPr="00DB426E" w:rsidRDefault="006D3AB5" w:rsidP="006B1BEE">
            <w:pPr>
              <w:spacing w:after="60"/>
              <w:jc w:val="center"/>
              <w:rPr>
                <w:rFonts w:eastAsia="Times New Roman"/>
                <w:color w:val="000000"/>
                <w:lang w:eastAsia="lv-LV"/>
              </w:rPr>
            </w:pPr>
            <w:r w:rsidRPr="00DB426E">
              <w:rPr>
                <w:rFonts w:eastAsia="Times New Roman"/>
                <w:color w:val="000000"/>
                <w:lang w:eastAsia="lv-LV"/>
              </w:rPr>
              <w:t>-55%</w:t>
            </w:r>
          </w:p>
        </w:tc>
      </w:tr>
    </w:tbl>
    <w:p w:rsidR="006D3AB5" w:rsidRDefault="006D3AB5" w:rsidP="006D3AB5"/>
    <w:p w:rsidR="005D71AB" w:rsidRDefault="005D71AB" w:rsidP="006D3AB5"/>
    <w:p w:rsidR="005D71AB" w:rsidRDefault="005D71AB" w:rsidP="006D3AB5"/>
    <w:p w:rsidR="006D3AB5" w:rsidRPr="00DB426E" w:rsidRDefault="006D3AB5" w:rsidP="006D3AB5">
      <w:pPr>
        <w:pStyle w:val="Caption"/>
      </w:pPr>
      <w:r w:rsidRPr="00DB426E">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13</w:t>
      </w:r>
      <w:r w:rsidR="009B0188">
        <w:rPr>
          <w:noProof/>
        </w:rPr>
        <w:fldChar w:fldCharType="end"/>
      </w:r>
      <w:r w:rsidRPr="00DB426E">
        <w:t xml:space="preserve">. Summāro nodokļu samazinājums nodokļu atvieglojumu alternatīvajiem variantiem (VIDĒJIE uzņēmumi) </w:t>
      </w:r>
    </w:p>
    <w:p w:rsidR="006D3AB5" w:rsidRPr="00DB426E" w:rsidRDefault="006C3F27" w:rsidP="006D3AB5">
      <w:pPr>
        <w:pStyle w:val="Caption"/>
        <w:rPr>
          <w:lang w:eastAsia="lv-LV"/>
        </w:rPr>
      </w:pPr>
      <w:r>
        <w:rPr>
          <w:noProof/>
          <w:lang w:eastAsia="lv-LV"/>
        </w:rPr>
        <w:drawing>
          <wp:inline distT="0" distB="0" distL="0" distR="0" wp14:anchorId="1908930C" wp14:editId="78FDF43E">
            <wp:extent cx="5100320" cy="2346960"/>
            <wp:effectExtent l="0" t="0" r="24130" b="15240"/>
            <wp:docPr id="58" name="Picture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B1BEE" w:rsidRDefault="006B1BEE" w:rsidP="006D3AB5"/>
    <w:p w:rsidR="006B1BEE" w:rsidRPr="00DB426E" w:rsidRDefault="006B1BEE" w:rsidP="006B1BEE">
      <w:pPr>
        <w:pStyle w:val="Caption"/>
        <w:jc w:val="left"/>
      </w:pPr>
      <w:bookmarkStart w:id="287" w:name="_Ref358883764"/>
      <w:r>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23</w:t>
      </w:r>
      <w:r w:rsidR="009B0188">
        <w:rPr>
          <w:noProof/>
        </w:rPr>
        <w:fldChar w:fldCharType="end"/>
      </w:r>
      <w:bookmarkEnd w:id="287"/>
      <w:r>
        <w:t>.</w:t>
      </w:r>
      <w:r w:rsidRPr="006B1BEE">
        <w:t xml:space="preserve"> </w:t>
      </w:r>
      <w:r w:rsidRPr="00DB426E">
        <w:t>Summāro nodokļu samazinājums salīdzinājumā ar inerces variantu atkarībā no nodokļu atvieglojumu veida (</w:t>
      </w:r>
      <w:r>
        <w:t>MAZIE</w:t>
      </w:r>
      <w:r w:rsidRPr="00DB426E">
        <w:t xml:space="preserve"> uzņēmumi)</w:t>
      </w:r>
    </w:p>
    <w:tbl>
      <w:tblPr>
        <w:tblW w:w="9058" w:type="dxa"/>
        <w:tblInd w:w="103" w:type="dxa"/>
        <w:tblLook w:val="04A0" w:firstRow="1" w:lastRow="0" w:firstColumn="1" w:lastColumn="0" w:noHBand="0" w:noVBand="1"/>
      </w:tblPr>
      <w:tblGrid>
        <w:gridCol w:w="4258"/>
        <w:gridCol w:w="966"/>
        <w:gridCol w:w="956"/>
        <w:gridCol w:w="956"/>
        <w:gridCol w:w="956"/>
        <w:gridCol w:w="966"/>
      </w:tblGrid>
      <w:tr w:rsidR="006B1BEE" w:rsidRPr="006B1BEE" w:rsidTr="00467BE7">
        <w:trPr>
          <w:trHeight w:val="300"/>
        </w:trPr>
        <w:tc>
          <w:tcPr>
            <w:tcW w:w="4258" w:type="dxa"/>
            <w:vMerge w:val="restart"/>
            <w:tcBorders>
              <w:top w:val="single" w:sz="4" w:space="0" w:color="auto"/>
              <w:left w:val="single" w:sz="4" w:space="0" w:color="auto"/>
              <w:bottom w:val="double" w:sz="6" w:space="0" w:color="000000"/>
              <w:right w:val="single" w:sz="4" w:space="0" w:color="auto"/>
            </w:tcBorders>
            <w:shd w:val="clear" w:color="000000" w:fill="D9D9D9"/>
            <w:noWrap/>
            <w:vAlign w:val="center"/>
            <w:hideMark/>
          </w:tcPr>
          <w:p w:rsidR="006B1BEE" w:rsidRPr="006B1BEE" w:rsidRDefault="006B1BEE" w:rsidP="006B1BEE">
            <w:pPr>
              <w:spacing w:after="0" w:line="240" w:lineRule="auto"/>
              <w:jc w:val="center"/>
              <w:rPr>
                <w:rFonts w:eastAsia="Times New Roman"/>
                <w:b/>
                <w:bCs/>
                <w:lang w:eastAsia="lv-LV"/>
              </w:rPr>
            </w:pPr>
            <w:r w:rsidRPr="006B1BEE">
              <w:rPr>
                <w:rFonts w:eastAsia="Times New Roman"/>
                <w:b/>
                <w:bCs/>
                <w:lang w:eastAsia="lv-LV"/>
              </w:rPr>
              <w:t>Nodokļu maksājumi, tūkst.</w:t>
            </w:r>
            <w:r>
              <w:rPr>
                <w:rFonts w:eastAsia="Times New Roman"/>
                <w:b/>
                <w:bCs/>
                <w:lang w:eastAsia="lv-LV"/>
              </w:rPr>
              <w:t xml:space="preserve"> </w:t>
            </w:r>
            <w:r w:rsidRPr="006B1BEE">
              <w:rPr>
                <w:rFonts w:eastAsia="Times New Roman"/>
                <w:b/>
                <w:bCs/>
                <w:lang w:eastAsia="lv-LV"/>
              </w:rPr>
              <w:t>LVL</w:t>
            </w:r>
          </w:p>
        </w:tc>
        <w:tc>
          <w:tcPr>
            <w:tcW w:w="4800" w:type="dxa"/>
            <w:gridSpan w:val="5"/>
            <w:tcBorders>
              <w:top w:val="single" w:sz="4" w:space="0" w:color="auto"/>
              <w:left w:val="nil"/>
              <w:bottom w:val="nil"/>
              <w:right w:val="single" w:sz="4" w:space="0" w:color="000000"/>
            </w:tcBorders>
            <w:shd w:val="clear" w:color="000000" w:fill="D9D9D9"/>
            <w:noWrap/>
            <w:vAlign w:val="bottom"/>
            <w:hideMark/>
          </w:tcPr>
          <w:p w:rsidR="006B1BEE" w:rsidRPr="006B1BEE" w:rsidRDefault="006B1BEE" w:rsidP="006B1BEE">
            <w:pPr>
              <w:spacing w:after="0" w:line="240" w:lineRule="auto"/>
              <w:jc w:val="center"/>
              <w:rPr>
                <w:rFonts w:eastAsia="Times New Roman"/>
                <w:b/>
                <w:bCs/>
                <w:color w:val="000000"/>
                <w:lang w:eastAsia="lv-LV"/>
              </w:rPr>
            </w:pPr>
            <w:r w:rsidRPr="006B1BEE">
              <w:rPr>
                <w:rFonts w:eastAsia="Times New Roman"/>
                <w:b/>
                <w:bCs/>
                <w:color w:val="000000"/>
                <w:lang w:eastAsia="lv-LV"/>
              </w:rPr>
              <w:t>ZP izdevumi (% no NA)</w:t>
            </w:r>
          </w:p>
        </w:tc>
      </w:tr>
      <w:tr w:rsidR="006B1BEE" w:rsidRPr="006B1BEE" w:rsidTr="00467BE7">
        <w:trPr>
          <w:trHeight w:val="315"/>
        </w:trPr>
        <w:tc>
          <w:tcPr>
            <w:tcW w:w="4258" w:type="dxa"/>
            <w:vMerge/>
            <w:tcBorders>
              <w:top w:val="single" w:sz="4" w:space="0" w:color="auto"/>
              <w:left w:val="single" w:sz="4" w:space="0" w:color="auto"/>
              <w:bottom w:val="double" w:sz="6" w:space="0" w:color="000000"/>
              <w:right w:val="single" w:sz="4" w:space="0" w:color="auto"/>
            </w:tcBorders>
            <w:vAlign w:val="center"/>
            <w:hideMark/>
          </w:tcPr>
          <w:p w:rsidR="006B1BEE" w:rsidRPr="006B1BEE" w:rsidRDefault="006B1BEE" w:rsidP="006B1BEE">
            <w:pPr>
              <w:spacing w:after="0" w:line="240" w:lineRule="auto"/>
              <w:jc w:val="left"/>
              <w:rPr>
                <w:rFonts w:eastAsia="Times New Roman"/>
                <w:b/>
                <w:bCs/>
                <w:lang w:eastAsia="lv-LV"/>
              </w:rPr>
            </w:pPr>
          </w:p>
        </w:tc>
        <w:tc>
          <w:tcPr>
            <w:tcW w:w="966" w:type="dxa"/>
            <w:tcBorders>
              <w:top w:val="single" w:sz="4" w:space="0" w:color="auto"/>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0.5%</w:t>
            </w:r>
          </w:p>
        </w:tc>
        <w:tc>
          <w:tcPr>
            <w:tcW w:w="956" w:type="dxa"/>
            <w:tcBorders>
              <w:top w:val="single" w:sz="4" w:space="0" w:color="auto"/>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1.0%</w:t>
            </w:r>
          </w:p>
        </w:tc>
        <w:tc>
          <w:tcPr>
            <w:tcW w:w="956" w:type="dxa"/>
            <w:tcBorders>
              <w:top w:val="single" w:sz="4" w:space="0" w:color="auto"/>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1.5%</w:t>
            </w:r>
          </w:p>
        </w:tc>
        <w:tc>
          <w:tcPr>
            <w:tcW w:w="956" w:type="dxa"/>
            <w:tcBorders>
              <w:top w:val="single" w:sz="4" w:space="0" w:color="auto"/>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2.0%</w:t>
            </w:r>
          </w:p>
        </w:tc>
        <w:tc>
          <w:tcPr>
            <w:tcW w:w="966" w:type="dxa"/>
            <w:tcBorders>
              <w:top w:val="single" w:sz="4" w:space="0" w:color="auto"/>
              <w:left w:val="nil"/>
              <w:bottom w:val="double" w:sz="6" w:space="0" w:color="auto"/>
              <w:right w:val="single" w:sz="4" w:space="0" w:color="auto"/>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2.5%</w:t>
            </w:r>
          </w:p>
        </w:tc>
      </w:tr>
      <w:tr w:rsidR="00995F63" w:rsidRPr="006B1BEE" w:rsidTr="00467BE7">
        <w:trPr>
          <w:trHeight w:val="315"/>
        </w:trPr>
        <w:tc>
          <w:tcPr>
            <w:tcW w:w="4258" w:type="dxa"/>
            <w:tcBorders>
              <w:top w:val="nil"/>
              <w:left w:val="single" w:sz="4" w:space="0" w:color="auto"/>
              <w:bottom w:val="nil"/>
              <w:right w:val="single" w:sz="4" w:space="0" w:color="auto"/>
            </w:tcBorders>
            <w:shd w:val="clear" w:color="auto" w:fill="auto"/>
            <w:noWrap/>
            <w:vAlign w:val="bottom"/>
            <w:hideMark/>
          </w:tcPr>
          <w:p w:rsidR="00995F63" w:rsidRPr="006B1BEE" w:rsidRDefault="00995F63" w:rsidP="006B1BEE">
            <w:pPr>
              <w:spacing w:after="0" w:line="240" w:lineRule="auto"/>
              <w:jc w:val="left"/>
              <w:rPr>
                <w:rFonts w:eastAsia="Times New Roman"/>
                <w:lang w:eastAsia="lv-LV"/>
              </w:rPr>
            </w:pPr>
            <w:r w:rsidRPr="006B1BEE">
              <w:rPr>
                <w:rFonts w:eastAsia="Times New Roman"/>
                <w:lang w:eastAsia="lv-LV"/>
              </w:rPr>
              <w:t>1.variants. UIN atvieglojums (Kp=300%)</w:t>
            </w:r>
          </w:p>
        </w:tc>
        <w:tc>
          <w:tcPr>
            <w:tcW w:w="96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39.1</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36.1</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33.1</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30.1</w:t>
            </w:r>
          </w:p>
        </w:tc>
        <w:tc>
          <w:tcPr>
            <w:tcW w:w="966" w:type="dxa"/>
            <w:tcBorders>
              <w:top w:val="nil"/>
              <w:left w:val="nil"/>
              <w:bottom w:val="nil"/>
              <w:right w:val="single" w:sz="4" w:space="0" w:color="auto"/>
            </w:tcBorders>
            <w:shd w:val="clear" w:color="auto" w:fill="auto"/>
            <w:noWrap/>
            <w:vAlign w:val="bottom"/>
            <w:hideMark/>
          </w:tcPr>
          <w:p w:rsidR="00995F63" w:rsidRDefault="00995F63" w:rsidP="00995F63">
            <w:pPr>
              <w:spacing w:after="0" w:line="240" w:lineRule="auto"/>
              <w:jc w:val="center"/>
              <w:rPr>
                <w:color w:val="000000"/>
              </w:rPr>
            </w:pPr>
            <w:r>
              <w:rPr>
                <w:color w:val="000000"/>
              </w:rPr>
              <w:t>28.2</w:t>
            </w:r>
          </w:p>
        </w:tc>
      </w:tr>
      <w:tr w:rsidR="00995F63" w:rsidRPr="006B1BEE" w:rsidTr="00467BE7">
        <w:trPr>
          <w:trHeight w:val="300"/>
        </w:trPr>
        <w:tc>
          <w:tcPr>
            <w:tcW w:w="4258" w:type="dxa"/>
            <w:tcBorders>
              <w:top w:val="nil"/>
              <w:left w:val="single" w:sz="4" w:space="0" w:color="auto"/>
              <w:bottom w:val="nil"/>
              <w:right w:val="single" w:sz="4" w:space="0" w:color="auto"/>
            </w:tcBorders>
            <w:shd w:val="clear" w:color="auto" w:fill="auto"/>
            <w:vAlign w:val="bottom"/>
            <w:hideMark/>
          </w:tcPr>
          <w:p w:rsidR="00995F63" w:rsidRPr="006B1BEE" w:rsidRDefault="00995F63" w:rsidP="006B1BEE">
            <w:pPr>
              <w:spacing w:after="0" w:line="240" w:lineRule="auto"/>
              <w:jc w:val="left"/>
              <w:rPr>
                <w:rFonts w:eastAsia="Times New Roman"/>
                <w:lang w:eastAsia="lv-LV"/>
              </w:rPr>
            </w:pPr>
            <w:r w:rsidRPr="006B1BEE">
              <w:rPr>
                <w:rFonts w:eastAsia="Times New Roman"/>
                <w:lang w:eastAsia="lv-LV"/>
              </w:rPr>
              <w:t>2.variants. VSAOI,INN atvieglojums (k=25%)</w:t>
            </w:r>
          </w:p>
        </w:tc>
        <w:tc>
          <w:tcPr>
            <w:tcW w:w="96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42.5</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42.9</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43.2</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43.6</w:t>
            </w:r>
          </w:p>
        </w:tc>
        <w:tc>
          <w:tcPr>
            <w:tcW w:w="966" w:type="dxa"/>
            <w:tcBorders>
              <w:top w:val="nil"/>
              <w:left w:val="nil"/>
              <w:bottom w:val="nil"/>
              <w:right w:val="single" w:sz="4" w:space="0" w:color="auto"/>
            </w:tcBorders>
            <w:shd w:val="clear" w:color="auto" w:fill="auto"/>
            <w:noWrap/>
            <w:vAlign w:val="bottom"/>
            <w:hideMark/>
          </w:tcPr>
          <w:p w:rsidR="00995F63" w:rsidRDefault="00995F63" w:rsidP="00995F63">
            <w:pPr>
              <w:spacing w:after="0" w:line="240" w:lineRule="auto"/>
              <w:jc w:val="center"/>
              <w:rPr>
                <w:color w:val="000000"/>
              </w:rPr>
            </w:pPr>
            <w:r>
              <w:rPr>
                <w:color w:val="000000"/>
              </w:rPr>
              <w:t>44.0</w:t>
            </w:r>
          </w:p>
        </w:tc>
      </w:tr>
      <w:tr w:rsidR="00995F63" w:rsidRPr="006B1BEE" w:rsidTr="00467BE7">
        <w:trPr>
          <w:trHeight w:val="300"/>
        </w:trPr>
        <w:tc>
          <w:tcPr>
            <w:tcW w:w="4258" w:type="dxa"/>
            <w:tcBorders>
              <w:top w:val="nil"/>
              <w:left w:val="single" w:sz="4" w:space="0" w:color="auto"/>
              <w:bottom w:val="nil"/>
              <w:right w:val="single" w:sz="4" w:space="0" w:color="auto"/>
            </w:tcBorders>
            <w:shd w:val="clear" w:color="auto" w:fill="auto"/>
            <w:noWrap/>
            <w:vAlign w:val="bottom"/>
            <w:hideMark/>
          </w:tcPr>
          <w:p w:rsidR="00995F63" w:rsidRPr="006B1BEE" w:rsidRDefault="00995F63" w:rsidP="006B1BEE">
            <w:pPr>
              <w:spacing w:after="0" w:line="240" w:lineRule="auto"/>
              <w:jc w:val="left"/>
              <w:rPr>
                <w:rFonts w:eastAsia="Times New Roman"/>
                <w:lang w:eastAsia="lv-LV"/>
              </w:rPr>
            </w:pPr>
            <w:r w:rsidRPr="006B1BEE">
              <w:rPr>
                <w:rFonts w:eastAsia="Times New Roman"/>
                <w:lang w:eastAsia="lv-LV"/>
              </w:rPr>
              <w:t>3.variants. UIN,VSAOI,IIN  atvieglojums</w:t>
            </w:r>
          </w:p>
        </w:tc>
        <w:tc>
          <w:tcPr>
            <w:tcW w:w="96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pPr>
            <w:r>
              <w:t>38.0</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pPr>
            <w:r>
              <w:t>33.9</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pPr>
            <w:r>
              <w:t>29.8</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pPr>
            <w:r>
              <w:t>25.7</w:t>
            </w:r>
          </w:p>
        </w:tc>
        <w:tc>
          <w:tcPr>
            <w:tcW w:w="966" w:type="dxa"/>
            <w:tcBorders>
              <w:top w:val="nil"/>
              <w:left w:val="nil"/>
              <w:bottom w:val="nil"/>
              <w:right w:val="single" w:sz="4" w:space="0" w:color="auto"/>
            </w:tcBorders>
            <w:shd w:val="clear" w:color="auto" w:fill="auto"/>
            <w:noWrap/>
            <w:vAlign w:val="bottom"/>
            <w:hideMark/>
          </w:tcPr>
          <w:p w:rsidR="00995F63" w:rsidRDefault="00995F63" w:rsidP="00995F63">
            <w:pPr>
              <w:spacing w:after="0" w:line="240" w:lineRule="auto"/>
              <w:jc w:val="center"/>
            </w:pPr>
            <w:r>
              <w:t>21.6</w:t>
            </w:r>
          </w:p>
        </w:tc>
      </w:tr>
      <w:tr w:rsidR="00995F63" w:rsidRPr="006B1BEE" w:rsidTr="00467BE7">
        <w:trPr>
          <w:trHeight w:val="300"/>
        </w:trPr>
        <w:tc>
          <w:tcPr>
            <w:tcW w:w="42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95F63" w:rsidRPr="006B1BEE" w:rsidRDefault="00995F63" w:rsidP="006B1BEE">
            <w:pPr>
              <w:spacing w:after="0" w:line="240" w:lineRule="auto"/>
              <w:jc w:val="left"/>
              <w:rPr>
                <w:rFonts w:eastAsia="Times New Roman"/>
                <w:lang w:eastAsia="lv-LV"/>
              </w:rPr>
            </w:pPr>
            <w:r w:rsidRPr="006B1BEE">
              <w:rPr>
                <w:rFonts w:eastAsia="Times New Roman"/>
                <w:lang w:eastAsia="lv-LV"/>
              </w:rPr>
              <w:t>Inerces variants (UIN+VSAOI+IIN)</w:t>
            </w:r>
          </w:p>
        </w:tc>
        <w:tc>
          <w:tcPr>
            <w:tcW w:w="966" w:type="dxa"/>
            <w:tcBorders>
              <w:top w:val="single" w:sz="4" w:space="0" w:color="auto"/>
              <w:left w:val="nil"/>
              <w:bottom w:val="single" w:sz="4" w:space="0" w:color="auto"/>
              <w:right w:val="nil"/>
            </w:tcBorders>
            <w:shd w:val="clear" w:color="000000" w:fill="D9D9D9"/>
            <w:noWrap/>
            <w:vAlign w:val="bottom"/>
            <w:hideMark/>
          </w:tcPr>
          <w:p w:rsidR="00995F63" w:rsidRDefault="00995F63" w:rsidP="00995F63">
            <w:pPr>
              <w:spacing w:after="0" w:line="240" w:lineRule="auto"/>
              <w:jc w:val="center"/>
              <w:rPr>
                <w:color w:val="000000"/>
              </w:rPr>
            </w:pPr>
            <w:r>
              <w:rPr>
                <w:color w:val="000000"/>
              </w:rPr>
              <w:t>43.8</w:t>
            </w:r>
          </w:p>
        </w:tc>
        <w:tc>
          <w:tcPr>
            <w:tcW w:w="956" w:type="dxa"/>
            <w:tcBorders>
              <w:top w:val="single" w:sz="4" w:space="0" w:color="auto"/>
              <w:left w:val="nil"/>
              <w:bottom w:val="single" w:sz="4" w:space="0" w:color="auto"/>
              <w:right w:val="nil"/>
            </w:tcBorders>
            <w:shd w:val="clear" w:color="000000" w:fill="D9D9D9"/>
            <w:noWrap/>
            <w:vAlign w:val="bottom"/>
            <w:hideMark/>
          </w:tcPr>
          <w:p w:rsidR="00995F63" w:rsidRDefault="00995F63" w:rsidP="00995F63">
            <w:pPr>
              <w:spacing w:after="0" w:line="240" w:lineRule="auto"/>
              <w:jc w:val="center"/>
              <w:rPr>
                <w:color w:val="000000"/>
              </w:rPr>
            </w:pPr>
            <w:r>
              <w:rPr>
                <w:color w:val="000000"/>
              </w:rPr>
              <w:t>46.5</w:t>
            </w:r>
          </w:p>
        </w:tc>
        <w:tc>
          <w:tcPr>
            <w:tcW w:w="956" w:type="dxa"/>
            <w:tcBorders>
              <w:top w:val="single" w:sz="4" w:space="0" w:color="auto"/>
              <w:left w:val="nil"/>
              <w:bottom w:val="single" w:sz="4" w:space="0" w:color="auto"/>
              <w:right w:val="nil"/>
            </w:tcBorders>
            <w:shd w:val="clear" w:color="000000" w:fill="D9D9D9"/>
            <w:noWrap/>
            <w:vAlign w:val="bottom"/>
            <w:hideMark/>
          </w:tcPr>
          <w:p w:rsidR="00995F63" w:rsidRDefault="00995F63" w:rsidP="00995F63">
            <w:pPr>
              <w:spacing w:after="0" w:line="240" w:lineRule="auto"/>
              <w:jc w:val="center"/>
              <w:rPr>
                <w:color w:val="000000"/>
              </w:rPr>
            </w:pPr>
            <w:r>
              <w:rPr>
                <w:color w:val="000000"/>
              </w:rPr>
              <w:t>48.1</w:t>
            </w:r>
          </w:p>
        </w:tc>
        <w:tc>
          <w:tcPr>
            <w:tcW w:w="956" w:type="dxa"/>
            <w:tcBorders>
              <w:top w:val="single" w:sz="4" w:space="0" w:color="auto"/>
              <w:left w:val="nil"/>
              <w:bottom w:val="single" w:sz="4" w:space="0" w:color="auto"/>
              <w:right w:val="nil"/>
            </w:tcBorders>
            <w:shd w:val="clear" w:color="000000" w:fill="D9D9D9"/>
            <w:noWrap/>
            <w:vAlign w:val="bottom"/>
            <w:hideMark/>
          </w:tcPr>
          <w:p w:rsidR="00995F63" w:rsidRDefault="00995F63" w:rsidP="00995F63">
            <w:pPr>
              <w:spacing w:after="0" w:line="240" w:lineRule="auto"/>
              <w:jc w:val="center"/>
              <w:rPr>
                <w:color w:val="000000"/>
              </w:rPr>
            </w:pPr>
            <w:r>
              <w:rPr>
                <w:color w:val="000000"/>
              </w:rPr>
              <w:t>49.7</w:t>
            </w:r>
          </w:p>
        </w:tc>
        <w:tc>
          <w:tcPr>
            <w:tcW w:w="966" w:type="dxa"/>
            <w:tcBorders>
              <w:top w:val="single" w:sz="4" w:space="0" w:color="auto"/>
              <w:left w:val="nil"/>
              <w:bottom w:val="single" w:sz="4" w:space="0" w:color="auto"/>
              <w:right w:val="single" w:sz="4" w:space="0" w:color="auto"/>
            </w:tcBorders>
            <w:shd w:val="clear" w:color="000000" w:fill="D9D9D9"/>
            <w:noWrap/>
            <w:vAlign w:val="bottom"/>
            <w:hideMark/>
          </w:tcPr>
          <w:p w:rsidR="00995F63" w:rsidRDefault="00995F63" w:rsidP="00995F63">
            <w:pPr>
              <w:spacing w:after="0" w:line="240" w:lineRule="auto"/>
              <w:jc w:val="center"/>
              <w:rPr>
                <w:color w:val="000000"/>
              </w:rPr>
            </w:pPr>
            <w:r>
              <w:rPr>
                <w:color w:val="000000"/>
              </w:rPr>
              <w:t>51.4</w:t>
            </w:r>
          </w:p>
        </w:tc>
      </w:tr>
    </w:tbl>
    <w:p w:rsidR="006B1BEE" w:rsidRDefault="006B1BEE" w:rsidP="006B1BEE"/>
    <w:tbl>
      <w:tblPr>
        <w:tblW w:w="9058" w:type="dxa"/>
        <w:tblInd w:w="103" w:type="dxa"/>
        <w:tblLook w:val="04A0" w:firstRow="1" w:lastRow="0" w:firstColumn="1" w:lastColumn="0" w:noHBand="0" w:noVBand="1"/>
      </w:tblPr>
      <w:tblGrid>
        <w:gridCol w:w="4258"/>
        <w:gridCol w:w="966"/>
        <w:gridCol w:w="956"/>
        <w:gridCol w:w="956"/>
        <w:gridCol w:w="956"/>
        <w:gridCol w:w="966"/>
      </w:tblGrid>
      <w:tr w:rsidR="006B1BEE" w:rsidRPr="006B1BEE" w:rsidTr="00467BE7">
        <w:trPr>
          <w:trHeight w:val="600"/>
        </w:trPr>
        <w:tc>
          <w:tcPr>
            <w:tcW w:w="4258" w:type="dxa"/>
            <w:vMerge w:val="restart"/>
            <w:tcBorders>
              <w:top w:val="single" w:sz="4" w:space="0" w:color="auto"/>
              <w:left w:val="single" w:sz="4" w:space="0" w:color="auto"/>
              <w:right w:val="single" w:sz="4" w:space="0" w:color="auto"/>
            </w:tcBorders>
            <w:shd w:val="clear" w:color="000000" w:fill="D9D9D9"/>
            <w:vAlign w:val="center"/>
            <w:hideMark/>
          </w:tcPr>
          <w:p w:rsidR="006B1BEE" w:rsidRDefault="006B1BEE" w:rsidP="006B1BEE">
            <w:pPr>
              <w:spacing w:after="0" w:line="240" w:lineRule="auto"/>
              <w:jc w:val="center"/>
              <w:rPr>
                <w:rFonts w:eastAsia="Times New Roman"/>
                <w:b/>
                <w:bCs/>
                <w:color w:val="000000"/>
                <w:lang w:eastAsia="lv-LV"/>
              </w:rPr>
            </w:pPr>
            <w:r w:rsidRPr="006B1BEE">
              <w:rPr>
                <w:rFonts w:eastAsia="Times New Roman"/>
                <w:b/>
                <w:bCs/>
                <w:color w:val="000000"/>
                <w:lang w:eastAsia="lv-LV"/>
              </w:rPr>
              <w:t>Nodokļu samazinājums</w:t>
            </w:r>
          </w:p>
          <w:p w:rsidR="006B1BEE" w:rsidRPr="006B1BEE" w:rsidRDefault="006B1BEE" w:rsidP="006B1BEE">
            <w:pPr>
              <w:spacing w:after="0" w:line="240" w:lineRule="auto"/>
              <w:jc w:val="center"/>
              <w:rPr>
                <w:rFonts w:eastAsia="Times New Roman"/>
                <w:b/>
                <w:bCs/>
                <w:color w:val="000000"/>
                <w:lang w:eastAsia="lv-LV"/>
              </w:rPr>
            </w:pPr>
            <w:r w:rsidRPr="006B1BEE">
              <w:rPr>
                <w:rFonts w:eastAsia="Times New Roman"/>
                <w:b/>
                <w:bCs/>
                <w:color w:val="000000"/>
                <w:lang w:eastAsia="lv-LV"/>
              </w:rPr>
              <w:t>procentos pret inerces variantu</w:t>
            </w:r>
          </w:p>
        </w:tc>
        <w:tc>
          <w:tcPr>
            <w:tcW w:w="4800" w:type="dxa"/>
            <w:gridSpan w:val="5"/>
            <w:tcBorders>
              <w:top w:val="single" w:sz="4" w:space="0" w:color="auto"/>
              <w:left w:val="nil"/>
              <w:bottom w:val="single" w:sz="4" w:space="0" w:color="auto"/>
              <w:right w:val="single" w:sz="4" w:space="0" w:color="000000"/>
            </w:tcBorders>
            <w:shd w:val="clear" w:color="000000" w:fill="D9D9D9"/>
            <w:noWrap/>
            <w:vAlign w:val="center"/>
            <w:hideMark/>
          </w:tcPr>
          <w:p w:rsidR="006B1BEE" w:rsidRPr="006B1BEE" w:rsidRDefault="006B1BEE" w:rsidP="006B1BEE">
            <w:pPr>
              <w:spacing w:after="0" w:line="240" w:lineRule="auto"/>
              <w:jc w:val="center"/>
              <w:rPr>
                <w:rFonts w:eastAsia="Times New Roman"/>
                <w:b/>
                <w:bCs/>
                <w:color w:val="000000"/>
                <w:lang w:eastAsia="lv-LV"/>
              </w:rPr>
            </w:pPr>
            <w:r w:rsidRPr="006B1BEE">
              <w:rPr>
                <w:rFonts w:eastAsia="Times New Roman"/>
                <w:b/>
                <w:bCs/>
                <w:color w:val="000000"/>
                <w:lang w:eastAsia="lv-LV"/>
              </w:rPr>
              <w:t>ZP izdevumi (% no NA)</w:t>
            </w:r>
          </w:p>
        </w:tc>
      </w:tr>
      <w:tr w:rsidR="006B1BEE" w:rsidRPr="006B1BEE" w:rsidTr="00467BE7">
        <w:trPr>
          <w:trHeight w:val="315"/>
        </w:trPr>
        <w:tc>
          <w:tcPr>
            <w:tcW w:w="4258" w:type="dxa"/>
            <w:vMerge/>
            <w:tcBorders>
              <w:left w:val="single" w:sz="4" w:space="0" w:color="auto"/>
              <w:bottom w:val="double" w:sz="6" w:space="0" w:color="auto"/>
              <w:right w:val="single" w:sz="4" w:space="0" w:color="auto"/>
            </w:tcBorders>
            <w:shd w:val="clear" w:color="000000" w:fill="D9D9D9"/>
            <w:noWrap/>
            <w:vAlign w:val="bottom"/>
            <w:hideMark/>
          </w:tcPr>
          <w:p w:rsidR="006B1BEE" w:rsidRPr="006B1BEE" w:rsidRDefault="006B1BEE" w:rsidP="006B1BEE">
            <w:pPr>
              <w:spacing w:after="0" w:line="240" w:lineRule="auto"/>
              <w:jc w:val="left"/>
              <w:rPr>
                <w:rFonts w:eastAsia="Times New Roman"/>
                <w:color w:val="000000"/>
                <w:lang w:eastAsia="lv-LV"/>
              </w:rPr>
            </w:pPr>
          </w:p>
        </w:tc>
        <w:tc>
          <w:tcPr>
            <w:tcW w:w="966" w:type="dxa"/>
            <w:tcBorders>
              <w:top w:val="nil"/>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0.5%</w:t>
            </w:r>
          </w:p>
        </w:tc>
        <w:tc>
          <w:tcPr>
            <w:tcW w:w="956" w:type="dxa"/>
            <w:tcBorders>
              <w:top w:val="nil"/>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1.0%</w:t>
            </w:r>
          </w:p>
        </w:tc>
        <w:tc>
          <w:tcPr>
            <w:tcW w:w="956" w:type="dxa"/>
            <w:tcBorders>
              <w:top w:val="nil"/>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1.5%</w:t>
            </w:r>
          </w:p>
        </w:tc>
        <w:tc>
          <w:tcPr>
            <w:tcW w:w="956" w:type="dxa"/>
            <w:tcBorders>
              <w:top w:val="nil"/>
              <w:left w:val="nil"/>
              <w:bottom w:val="double" w:sz="6" w:space="0" w:color="auto"/>
              <w:right w:val="nil"/>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2.0%</w:t>
            </w:r>
          </w:p>
        </w:tc>
        <w:tc>
          <w:tcPr>
            <w:tcW w:w="966" w:type="dxa"/>
            <w:tcBorders>
              <w:top w:val="nil"/>
              <w:left w:val="nil"/>
              <w:bottom w:val="double" w:sz="6" w:space="0" w:color="auto"/>
              <w:right w:val="single" w:sz="4" w:space="0" w:color="auto"/>
            </w:tcBorders>
            <w:shd w:val="clear" w:color="000000" w:fill="D9D9D9"/>
            <w:noWrap/>
            <w:vAlign w:val="bottom"/>
            <w:hideMark/>
          </w:tcPr>
          <w:p w:rsidR="006B1BEE" w:rsidRPr="006B1BEE" w:rsidRDefault="006B1BEE" w:rsidP="006B1BEE">
            <w:pPr>
              <w:spacing w:after="0" w:line="240" w:lineRule="auto"/>
              <w:jc w:val="right"/>
              <w:rPr>
                <w:rFonts w:eastAsia="Times New Roman"/>
                <w:b/>
                <w:bCs/>
                <w:lang w:eastAsia="lv-LV"/>
              </w:rPr>
            </w:pPr>
            <w:r w:rsidRPr="006B1BEE">
              <w:rPr>
                <w:rFonts w:eastAsia="Times New Roman"/>
                <w:b/>
                <w:bCs/>
                <w:lang w:eastAsia="lv-LV"/>
              </w:rPr>
              <w:t>2.5%</w:t>
            </w:r>
          </w:p>
        </w:tc>
      </w:tr>
      <w:tr w:rsidR="00995F63" w:rsidRPr="006B1BEE" w:rsidTr="00467BE7">
        <w:trPr>
          <w:trHeight w:val="315"/>
        </w:trPr>
        <w:tc>
          <w:tcPr>
            <w:tcW w:w="4258" w:type="dxa"/>
            <w:tcBorders>
              <w:top w:val="nil"/>
              <w:left w:val="single" w:sz="4" w:space="0" w:color="auto"/>
              <w:bottom w:val="nil"/>
              <w:right w:val="single" w:sz="4" w:space="0" w:color="auto"/>
            </w:tcBorders>
            <w:shd w:val="clear" w:color="000000" w:fill="F2F2F2"/>
            <w:noWrap/>
            <w:vAlign w:val="bottom"/>
            <w:hideMark/>
          </w:tcPr>
          <w:p w:rsidR="00995F63" w:rsidRPr="006B1BEE" w:rsidRDefault="00995F63" w:rsidP="006B1BEE">
            <w:pPr>
              <w:spacing w:after="0" w:line="240" w:lineRule="auto"/>
              <w:jc w:val="left"/>
              <w:rPr>
                <w:rFonts w:eastAsia="Times New Roman"/>
                <w:lang w:eastAsia="lv-LV"/>
              </w:rPr>
            </w:pPr>
            <w:r w:rsidRPr="006B1BEE">
              <w:rPr>
                <w:rFonts w:eastAsia="Times New Roman"/>
                <w:lang w:eastAsia="lv-LV"/>
              </w:rPr>
              <w:t>1.variants. UIN atvieglojums (Kp=300%)</w:t>
            </w:r>
          </w:p>
        </w:tc>
        <w:tc>
          <w:tcPr>
            <w:tcW w:w="96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-11%</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-22%</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-31%</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-40%</w:t>
            </w:r>
          </w:p>
        </w:tc>
        <w:tc>
          <w:tcPr>
            <w:tcW w:w="966" w:type="dxa"/>
            <w:tcBorders>
              <w:top w:val="nil"/>
              <w:left w:val="nil"/>
              <w:bottom w:val="nil"/>
              <w:right w:val="single" w:sz="4" w:space="0" w:color="auto"/>
            </w:tcBorders>
            <w:shd w:val="clear" w:color="auto" w:fill="auto"/>
            <w:noWrap/>
            <w:vAlign w:val="bottom"/>
            <w:hideMark/>
          </w:tcPr>
          <w:p w:rsidR="00995F63" w:rsidRDefault="00995F63" w:rsidP="00995F63">
            <w:pPr>
              <w:spacing w:after="0" w:line="240" w:lineRule="auto"/>
              <w:jc w:val="center"/>
              <w:rPr>
                <w:color w:val="000000"/>
              </w:rPr>
            </w:pPr>
            <w:r>
              <w:rPr>
                <w:color w:val="000000"/>
              </w:rPr>
              <w:t>-45%</w:t>
            </w:r>
          </w:p>
        </w:tc>
      </w:tr>
      <w:tr w:rsidR="00995F63" w:rsidRPr="006B1BEE" w:rsidTr="00467BE7">
        <w:trPr>
          <w:trHeight w:val="300"/>
        </w:trPr>
        <w:tc>
          <w:tcPr>
            <w:tcW w:w="4258" w:type="dxa"/>
            <w:tcBorders>
              <w:top w:val="nil"/>
              <w:left w:val="single" w:sz="4" w:space="0" w:color="auto"/>
              <w:bottom w:val="nil"/>
              <w:right w:val="single" w:sz="4" w:space="0" w:color="auto"/>
            </w:tcBorders>
            <w:shd w:val="clear" w:color="auto" w:fill="auto"/>
            <w:vAlign w:val="bottom"/>
            <w:hideMark/>
          </w:tcPr>
          <w:p w:rsidR="00995F63" w:rsidRPr="006B1BEE" w:rsidRDefault="00995F63" w:rsidP="006B1BEE">
            <w:pPr>
              <w:spacing w:after="0" w:line="240" w:lineRule="auto"/>
              <w:jc w:val="left"/>
              <w:rPr>
                <w:rFonts w:eastAsia="Times New Roman"/>
                <w:lang w:eastAsia="lv-LV"/>
              </w:rPr>
            </w:pPr>
            <w:r w:rsidRPr="006B1BEE">
              <w:rPr>
                <w:rFonts w:eastAsia="Times New Roman"/>
                <w:lang w:eastAsia="lv-LV"/>
              </w:rPr>
              <w:t>2.variants. VSAOI,INN atvieglojums (k=25%)</w:t>
            </w:r>
          </w:p>
        </w:tc>
        <w:tc>
          <w:tcPr>
            <w:tcW w:w="96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-3%</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-8%</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-10%</w:t>
            </w:r>
          </w:p>
        </w:tc>
        <w:tc>
          <w:tcPr>
            <w:tcW w:w="956" w:type="dxa"/>
            <w:tcBorders>
              <w:top w:val="nil"/>
              <w:left w:val="nil"/>
              <w:bottom w:val="nil"/>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-12%</w:t>
            </w:r>
          </w:p>
        </w:tc>
        <w:tc>
          <w:tcPr>
            <w:tcW w:w="966" w:type="dxa"/>
            <w:tcBorders>
              <w:top w:val="nil"/>
              <w:left w:val="nil"/>
              <w:bottom w:val="nil"/>
              <w:right w:val="single" w:sz="4" w:space="0" w:color="auto"/>
            </w:tcBorders>
            <w:shd w:val="clear" w:color="auto" w:fill="auto"/>
            <w:noWrap/>
            <w:vAlign w:val="bottom"/>
            <w:hideMark/>
          </w:tcPr>
          <w:p w:rsidR="00995F63" w:rsidRDefault="00995F63" w:rsidP="00995F63">
            <w:pPr>
              <w:spacing w:after="0" w:line="240" w:lineRule="auto"/>
              <w:jc w:val="center"/>
              <w:rPr>
                <w:color w:val="000000"/>
              </w:rPr>
            </w:pPr>
            <w:r>
              <w:rPr>
                <w:color w:val="000000"/>
              </w:rPr>
              <w:t>-14%</w:t>
            </w:r>
          </w:p>
        </w:tc>
      </w:tr>
      <w:tr w:rsidR="00995F63" w:rsidRPr="006B1BEE" w:rsidTr="00467BE7">
        <w:trPr>
          <w:trHeight w:val="300"/>
        </w:trPr>
        <w:tc>
          <w:tcPr>
            <w:tcW w:w="4258" w:type="dxa"/>
            <w:tcBorders>
              <w:top w:val="nil"/>
              <w:left w:val="single" w:sz="4" w:space="0" w:color="auto"/>
              <w:bottom w:val="single" w:sz="4" w:space="0" w:color="auto"/>
              <w:right w:val="single" w:sz="4" w:space="0" w:color="auto"/>
            </w:tcBorders>
            <w:shd w:val="clear" w:color="auto" w:fill="auto"/>
            <w:noWrap/>
            <w:vAlign w:val="bottom"/>
            <w:hideMark/>
          </w:tcPr>
          <w:p w:rsidR="00995F63" w:rsidRPr="006B1BEE" w:rsidRDefault="00995F63" w:rsidP="006B1BEE">
            <w:pPr>
              <w:spacing w:after="0" w:line="240" w:lineRule="auto"/>
              <w:jc w:val="left"/>
              <w:rPr>
                <w:rFonts w:eastAsia="Times New Roman"/>
                <w:lang w:eastAsia="lv-LV"/>
              </w:rPr>
            </w:pPr>
            <w:r w:rsidRPr="006B1BEE">
              <w:rPr>
                <w:rFonts w:eastAsia="Times New Roman"/>
                <w:lang w:eastAsia="lv-LV"/>
              </w:rPr>
              <w:t>3.variants. UIN,VSAOI,IIN  atvieglojums</w:t>
            </w:r>
          </w:p>
        </w:tc>
        <w:tc>
          <w:tcPr>
            <w:tcW w:w="966" w:type="dxa"/>
            <w:tcBorders>
              <w:top w:val="nil"/>
              <w:left w:val="nil"/>
              <w:bottom w:val="single" w:sz="4" w:space="0" w:color="auto"/>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-13%</w:t>
            </w:r>
          </w:p>
        </w:tc>
        <w:tc>
          <w:tcPr>
            <w:tcW w:w="956" w:type="dxa"/>
            <w:tcBorders>
              <w:top w:val="nil"/>
              <w:left w:val="nil"/>
              <w:bottom w:val="single" w:sz="4" w:space="0" w:color="auto"/>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-27%</w:t>
            </w:r>
          </w:p>
        </w:tc>
        <w:tc>
          <w:tcPr>
            <w:tcW w:w="956" w:type="dxa"/>
            <w:tcBorders>
              <w:top w:val="nil"/>
              <w:left w:val="nil"/>
              <w:bottom w:val="single" w:sz="4" w:space="0" w:color="auto"/>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-38%</w:t>
            </w:r>
          </w:p>
        </w:tc>
        <w:tc>
          <w:tcPr>
            <w:tcW w:w="956" w:type="dxa"/>
            <w:tcBorders>
              <w:top w:val="nil"/>
              <w:left w:val="nil"/>
              <w:bottom w:val="single" w:sz="4" w:space="0" w:color="auto"/>
              <w:right w:val="nil"/>
            </w:tcBorders>
            <w:shd w:val="clear" w:color="auto" w:fill="auto"/>
            <w:noWrap/>
            <w:vAlign w:val="bottom"/>
            <w:hideMark/>
          </w:tcPr>
          <w:p w:rsidR="00995F63" w:rsidRDefault="00995F63" w:rsidP="00995F63">
            <w:pPr>
              <w:spacing w:after="0" w:line="240" w:lineRule="auto"/>
              <w:jc w:val="center"/>
              <w:rPr>
                <w:color w:val="000000"/>
              </w:rPr>
            </w:pPr>
            <w:r>
              <w:rPr>
                <w:color w:val="000000"/>
              </w:rPr>
              <w:t>-48%</w:t>
            </w:r>
          </w:p>
        </w:tc>
        <w:tc>
          <w:tcPr>
            <w:tcW w:w="966" w:type="dxa"/>
            <w:tcBorders>
              <w:top w:val="nil"/>
              <w:left w:val="nil"/>
              <w:bottom w:val="single" w:sz="4" w:space="0" w:color="auto"/>
              <w:right w:val="single" w:sz="4" w:space="0" w:color="auto"/>
            </w:tcBorders>
            <w:shd w:val="clear" w:color="auto" w:fill="auto"/>
            <w:noWrap/>
            <w:vAlign w:val="bottom"/>
            <w:hideMark/>
          </w:tcPr>
          <w:p w:rsidR="00995F63" w:rsidRDefault="00995F63" w:rsidP="00995F63">
            <w:pPr>
              <w:spacing w:after="0" w:line="240" w:lineRule="auto"/>
              <w:jc w:val="center"/>
              <w:rPr>
                <w:color w:val="000000"/>
              </w:rPr>
            </w:pPr>
            <w:r>
              <w:rPr>
                <w:color w:val="000000"/>
              </w:rPr>
              <w:t>-58%</w:t>
            </w:r>
          </w:p>
        </w:tc>
      </w:tr>
    </w:tbl>
    <w:p w:rsidR="006B1BEE" w:rsidRPr="006B1BEE" w:rsidRDefault="006B1BEE" w:rsidP="006B1BEE"/>
    <w:p w:rsidR="006B1BEE" w:rsidRDefault="006B1BEE" w:rsidP="006D3AB5"/>
    <w:p w:rsidR="006B1BEE" w:rsidRDefault="006B1BEE" w:rsidP="006D3AB5"/>
    <w:p w:rsidR="006B1BEE" w:rsidRDefault="006B1BEE" w:rsidP="006D3AB5"/>
    <w:p w:rsidR="009F22E7" w:rsidRDefault="009F22E7" w:rsidP="006D3AB5"/>
    <w:p w:rsidR="006B1BEE" w:rsidRPr="00DB426E" w:rsidRDefault="006B1BEE" w:rsidP="006B1BEE">
      <w:pPr>
        <w:pStyle w:val="Caption"/>
      </w:pPr>
      <w:r>
        <w:t xml:space="preserve">Attēls </w:t>
      </w:r>
      <w:r w:rsidR="009B0188">
        <w:fldChar w:fldCharType="begin"/>
      </w:r>
      <w:r w:rsidR="009B0188">
        <w:instrText xml:space="preserve"> STYLEREF 1 \s </w:instrText>
      </w:r>
      <w:r w:rsidR="009B0188">
        <w:fldChar w:fldCharType="separate"/>
      </w:r>
      <w:r w:rsidR="00FC2687">
        <w:rPr>
          <w:noProof/>
        </w:rPr>
        <w:t>6</w:t>
      </w:r>
      <w:r w:rsidR="009B0188">
        <w:rPr>
          <w:noProof/>
        </w:rPr>
        <w:fldChar w:fldCharType="end"/>
      </w:r>
      <w:r w:rsidR="00FC2687">
        <w:noBreakHyphen/>
      </w:r>
      <w:r w:rsidR="009B0188">
        <w:fldChar w:fldCharType="begin"/>
      </w:r>
      <w:r w:rsidR="009B0188">
        <w:instrText xml:space="preserve"> SEQ Attēls \* ARABIC \s 1 </w:instrText>
      </w:r>
      <w:r w:rsidR="009B0188">
        <w:fldChar w:fldCharType="separate"/>
      </w:r>
      <w:r w:rsidR="00FC2687">
        <w:rPr>
          <w:noProof/>
        </w:rPr>
        <w:t>14</w:t>
      </w:r>
      <w:r w:rsidR="009B0188">
        <w:rPr>
          <w:noProof/>
        </w:rPr>
        <w:fldChar w:fldCharType="end"/>
      </w:r>
      <w:r>
        <w:t xml:space="preserve">. </w:t>
      </w:r>
      <w:r w:rsidRPr="00DB426E">
        <w:t>Summāro nodokļu samazinājums nodokļu atvieglojumu alternatīvajiem variantiem (</w:t>
      </w:r>
      <w:r>
        <w:t>MAZIE</w:t>
      </w:r>
      <w:r w:rsidRPr="00DB426E">
        <w:t xml:space="preserve"> uzņēmumi) </w:t>
      </w:r>
    </w:p>
    <w:p w:rsidR="006B1BEE" w:rsidRDefault="00467BE7" w:rsidP="006B1BEE">
      <w:pPr>
        <w:jc w:val="center"/>
      </w:pPr>
      <w:r>
        <w:rPr>
          <w:noProof/>
          <w:lang w:eastAsia="lv-LV"/>
        </w:rPr>
        <w:drawing>
          <wp:inline distT="0" distB="0" distL="0" distR="0" wp14:anchorId="418FFA44" wp14:editId="4B80D367">
            <wp:extent cx="5120640" cy="2428240"/>
            <wp:effectExtent l="0" t="0" r="22860" b="1016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F52AC9" w:rsidRPr="008A2F2A" w:rsidRDefault="00F52AC9" w:rsidP="006D3AB5">
      <w:r w:rsidRPr="008A2F2A">
        <w:t xml:space="preserve">Lai izvērtētu nodokļu atvieglojumu ietekmi ir budžetu, tiek izmantoti statistikas dati par inovatīviem uzņēmumiem. </w:t>
      </w:r>
    </w:p>
    <w:p w:rsidR="006D3AB5" w:rsidRPr="00DB426E" w:rsidRDefault="006D3AB5" w:rsidP="006D3AB5">
      <w:r w:rsidRPr="00DB426E">
        <w:t xml:space="preserve">Pēc </w:t>
      </w:r>
      <w:r w:rsidRPr="008A2F2A">
        <w:t xml:space="preserve">CSP datiem par 2010.gadu </w:t>
      </w:r>
      <w:r w:rsidRPr="008A2F2A">
        <w:rPr>
          <w:u w:val="single"/>
        </w:rPr>
        <w:t>lielo</w:t>
      </w:r>
      <w:r w:rsidRPr="008A2F2A">
        <w:t xml:space="preserve"> </w:t>
      </w:r>
      <w:r w:rsidR="008B67FE" w:rsidRPr="008A2F2A">
        <w:t>uzņēmumu</w:t>
      </w:r>
      <w:r w:rsidRPr="008A2F2A">
        <w:t xml:space="preserve"> segmentā ir fiksētas 75 inovatīvas kompānijas</w:t>
      </w:r>
      <w:r w:rsidRPr="008A2F2A">
        <w:rPr>
          <w:rStyle w:val="FootnoteReference"/>
        </w:rPr>
        <w:footnoteReference w:id="17"/>
      </w:r>
      <w:r w:rsidRPr="008A2F2A">
        <w:t xml:space="preserve">. Kopējās </w:t>
      </w:r>
      <w:r w:rsidRPr="008A2F2A">
        <w:rPr>
          <w:rFonts w:eastAsia="Times New Roman"/>
          <w:lang w:eastAsia="lv-LV"/>
        </w:rPr>
        <w:t>zinātnisko pētījumu izmaksas veidoja 9.4 milj. latu, t.i., viena kompānija ir tērējusi vidēji 125 tūkst. latu.</w:t>
      </w:r>
      <w:r w:rsidR="009A31A6" w:rsidRPr="008A2F2A">
        <w:t xml:space="preserve"> (</w:t>
      </w:r>
      <w:r w:rsidR="009A31A6" w:rsidRPr="008A2F2A">
        <w:rPr>
          <w:lang w:val="ru-RU"/>
        </w:rPr>
        <w:fldChar w:fldCharType="begin"/>
      </w:r>
      <w:r w:rsidR="009A31A6" w:rsidRPr="008A2F2A">
        <w:instrText xml:space="preserve"> REF _Ref354741482 \h </w:instrText>
      </w:r>
      <w:r w:rsidR="008A2F2A" w:rsidRPr="00265462">
        <w:instrText xml:space="preserve"> \* MERGEFORMAT </w:instrText>
      </w:r>
      <w:r w:rsidR="009A31A6" w:rsidRPr="008A2F2A">
        <w:rPr>
          <w:lang w:val="ru-RU"/>
        </w:rPr>
      </w:r>
      <w:r w:rsidR="009A31A6" w:rsidRPr="008A2F2A">
        <w:rPr>
          <w:lang w:val="ru-RU"/>
        </w:rPr>
        <w:fldChar w:fldCharType="separate"/>
      </w:r>
      <w:r w:rsidR="009A31A6" w:rsidRPr="008A2F2A">
        <w:t xml:space="preserve">Tabula </w:t>
      </w:r>
      <w:r w:rsidR="009A31A6" w:rsidRPr="008A2F2A">
        <w:rPr>
          <w:noProof/>
        </w:rPr>
        <w:t>6</w:t>
      </w:r>
      <w:r w:rsidR="009A31A6" w:rsidRPr="008A2F2A">
        <w:noBreakHyphen/>
      </w:r>
      <w:r w:rsidR="009A31A6" w:rsidRPr="008A2F2A">
        <w:rPr>
          <w:noProof/>
        </w:rPr>
        <w:t>24</w:t>
      </w:r>
      <w:r w:rsidR="009A31A6" w:rsidRPr="008A2F2A">
        <w:rPr>
          <w:lang w:val="ru-RU"/>
        </w:rPr>
        <w:fldChar w:fldCharType="end"/>
      </w:r>
      <w:r w:rsidR="009A31A6" w:rsidRPr="008A2F2A">
        <w:t>).</w:t>
      </w:r>
    </w:p>
    <w:p w:rsidR="006D3AB5" w:rsidRPr="00DB426E" w:rsidRDefault="008B67FE" w:rsidP="006D3AB5">
      <w:r w:rsidRPr="004B41F5">
        <w:rPr>
          <w:u w:val="single"/>
        </w:rPr>
        <w:t>V</w:t>
      </w:r>
      <w:r w:rsidR="006D3AB5" w:rsidRPr="004B41F5">
        <w:rPr>
          <w:u w:val="single"/>
        </w:rPr>
        <w:t>idējo</w:t>
      </w:r>
      <w:r w:rsidR="006D3AB5" w:rsidRPr="00DB426E">
        <w:t xml:space="preserve"> uzņēmumu segmentā 286 kompānijas jeb 37% no kopējā to skaita tiek klasificētas kā inovatīvas. Kopējās zinātnisko pētījumu izmaksas veidoja 4.2 milj. latu, kas ir 2.2 reizes zemāk kā lielo uzņēmumu segmentā. Viena kompānija zinātniskiem pētījumiem vidēji ir tērējusi ap 15 tūkst. latu</w:t>
      </w:r>
      <w:r>
        <w:t>.</w:t>
      </w:r>
    </w:p>
    <w:p w:rsidR="008B67FE" w:rsidRPr="008A2F2A" w:rsidRDefault="008B67FE" w:rsidP="006D3AB5">
      <w:r w:rsidRPr="008A2F2A">
        <w:t xml:space="preserve">Starp </w:t>
      </w:r>
      <w:r w:rsidRPr="008A2F2A">
        <w:rPr>
          <w:u w:val="single"/>
        </w:rPr>
        <w:t>maziem</w:t>
      </w:r>
      <w:r w:rsidRPr="008A2F2A">
        <w:t xml:space="preserve"> uzņēmumiem 27% </w:t>
      </w:r>
      <w:r w:rsidR="004B41F5" w:rsidRPr="008A2F2A">
        <w:t xml:space="preserve">no kopskaita </w:t>
      </w:r>
      <w:r w:rsidRPr="008A2F2A">
        <w:t>jeb 8</w:t>
      </w:r>
      <w:r w:rsidR="004B41F5" w:rsidRPr="008A2F2A">
        <w:t>73 uzņēmumi bij</w:t>
      </w:r>
      <w:r w:rsidR="008A2F2A" w:rsidRPr="008A2F2A">
        <w:t>a</w:t>
      </w:r>
      <w:r w:rsidR="004B41F5" w:rsidRPr="008A2F2A">
        <w:t xml:space="preserve"> aktīvi inovāciju jomā. Kopējās zinātnisko pētījumu izmaksas veidoja 7.3 milj. latu,</w:t>
      </w:r>
      <w:r w:rsidR="004B41F5" w:rsidRPr="008A2F2A">
        <w:rPr>
          <w:rFonts w:eastAsia="Times New Roman"/>
          <w:lang w:eastAsia="lv-LV"/>
        </w:rPr>
        <w:t xml:space="preserve"> t.i., viena kompānija ir tērējusi vidēji 8.4 tūkst. latu.</w:t>
      </w:r>
    </w:p>
    <w:p w:rsidR="008A2F2A" w:rsidRDefault="008A2F2A" w:rsidP="006D3AB5">
      <w:r>
        <w:t>Balstoties uz statistikas datiem, katram segmentam noteikti modelēšanas parametri:</w:t>
      </w:r>
    </w:p>
    <w:p w:rsidR="009A31A6" w:rsidRPr="008A2F2A" w:rsidRDefault="008A2F2A" w:rsidP="00204D01">
      <w:pPr>
        <w:pStyle w:val="ListParagraph"/>
        <w:numPr>
          <w:ilvl w:val="0"/>
          <w:numId w:val="116"/>
        </w:numPr>
        <w:rPr>
          <w:lang w:val="lv-LV"/>
        </w:rPr>
      </w:pPr>
      <w:r>
        <w:rPr>
          <w:lang w:val="lv-LV"/>
        </w:rPr>
        <w:t xml:space="preserve">Pamatojoties uz inovāciju izmaksu struktūru, ir aprēķināts </w:t>
      </w:r>
      <w:r w:rsidR="009A31A6" w:rsidRPr="008A2F2A">
        <w:rPr>
          <w:lang w:val="lv-LV"/>
        </w:rPr>
        <w:t>ieviešanas koeficients</w:t>
      </w:r>
      <w:r w:rsidR="00204D01" w:rsidRPr="008A2F2A">
        <w:rPr>
          <w:lang w:val="lv-LV"/>
        </w:rPr>
        <w:t xml:space="preserve"> (attiecība starp ieviešanas un P&amp;A izmaksām)</w:t>
      </w:r>
      <w:r w:rsidR="009A31A6" w:rsidRPr="008A2F2A">
        <w:rPr>
          <w:lang w:val="lv-LV"/>
        </w:rPr>
        <w:t xml:space="preserve">. </w:t>
      </w:r>
    </w:p>
    <w:p w:rsidR="00204D01" w:rsidRPr="008A2F2A" w:rsidRDefault="008A2F2A" w:rsidP="008A2F2A">
      <w:pPr>
        <w:pStyle w:val="ListParagraph"/>
        <w:numPr>
          <w:ilvl w:val="0"/>
          <w:numId w:val="116"/>
        </w:numPr>
        <w:rPr>
          <w:lang w:val="lv-LV"/>
        </w:rPr>
      </w:pPr>
      <w:r w:rsidRPr="008A2F2A">
        <w:rPr>
          <w:lang w:val="lv-LV"/>
        </w:rPr>
        <w:t xml:space="preserve">Balstoties uz uzņēmumu sadalījumu pēc apgrozījuma lieluma, segmenta iekšienē ir pieņemtas vidējās vērtības – </w:t>
      </w:r>
      <w:r w:rsidR="008F296C" w:rsidRPr="008A2F2A">
        <w:rPr>
          <w:lang w:val="lv-LV"/>
        </w:rPr>
        <w:t>lielie uzņēmumi NA=65milj. Ls; vidējie uzņēmumi NA=25milj. Ls, mazie uzņēmumi NA=3.5milj. Ls.</w:t>
      </w:r>
    </w:p>
    <w:p w:rsidR="008A2F2A" w:rsidRPr="008A2F2A" w:rsidRDefault="006E47ED" w:rsidP="00204D01">
      <w:pPr>
        <w:pStyle w:val="ListParagraph"/>
        <w:numPr>
          <w:ilvl w:val="0"/>
          <w:numId w:val="116"/>
        </w:numPr>
        <w:rPr>
          <w:lang w:val="lv-LV"/>
        </w:rPr>
      </w:pPr>
      <w:r>
        <w:rPr>
          <w:lang w:val="lv-LV"/>
        </w:rPr>
        <w:t xml:space="preserve">Vidējam </w:t>
      </w:r>
      <w:r w:rsidR="008A2F2A">
        <w:rPr>
          <w:lang w:val="lv-LV"/>
        </w:rPr>
        <w:t>uzņēmumu apgrozījumam noteikta</w:t>
      </w:r>
      <w:r>
        <w:rPr>
          <w:lang w:val="lv-LV"/>
        </w:rPr>
        <w:t>s</w:t>
      </w:r>
      <w:r w:rsidR="008A2F2A">
        <w:rPr>
          <w:lang w:val="lv-LV"/>
        </w:rPr>
        <w:t xml:space="preserve"> attiecība</w:t>
      </w:r>
      <w:r>
        <w:rPr>
          <w:lang w:val="lv-LV"/>
        </w:rPr>
        <w:t>s</w:t>
      </w:r>
      <w:r w:rsidR="008A2F2A">
        <w:rPr>
          <w:lang w:val="lv-LV"/>
        </w:rPr>
        <w:t xml:space="preserve"> starp zinātnisko pētījumu izmaksām un uzņēmumu apgrozījumu. </w:t>
      </w:r>
    </w:p>
    <w:p w:rsidR="006E47ED" w:rsidRDefault="006E47ED" w:rsidP="006D3AB5"/>
    <w:p w:rsidR="009F22E7" w:rsidRDefault="009F22E7" w:rsidP="006D3AB5">
      <w:r>
        <w:t xml:space="preserve">Izmantojot finanšu modeļus, katram segmentam, izmantojot pieņemtos vidējos parametrus, noteikts īpatnējais nodokļu samazinājums katram atvieglojumu variantam. Aprēķinu rezultāti doti Tabulā 6-24. </w:t>
      </w:r>
    </w:p>
    <w:p w:rsidR="006D3AB5" w:rsidRPr="00265462" w:rsidRDefault="006D3AB5" w:rsidP="006D3AB5">
      <w:pPr>
        <w:pStyle w:val="Caption"/>
      </w:pPr>
      <w:bookmarkStart w:id="288" w:name="_Ref354741482"/>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24</w:t>
      </w:r>
      <w:r w:rsidR="009B0188">
        <w:rPr>
          <w:noProof/>
        </w:rPr>
        <w:fldChar w:fldCharType="end"/>
      </w:r>
      <w:bookmarkEnd w:id="288"/>
      <w:r w:rsidRPr="00DB426E">
        <w:t xml:space="preserve">. Budžeta nodokļu maksājumu samazinājuma izvērtējums, ieviešot atvieglojumus </w:t>
      </w:r>
    </w:p>
    <w:tbl>
      <w:tblPr>
        <w:tblW w:w="950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240"/>
        <w:gridCol w:w="1595"/>
        <w:gridCol w:w="1417"/>
        <w:gridCol w:w="1560"/>
      </w:tblGrid>
      <w:tr w:rsidR="009A31A6" w:rsidRPr="009A31A6" w:rsidTr="009A31A6">
        <w:trPr>
          <w:trHeight w:val="300"/>
        </w:trPr>
        <w:tc>
          <w:tcPr>
            <w:tcW w:w="3691" w:type="dxa"/>
            <w:shd w:val="clear" w:color="000000" w:fill="D9D9D9"/>
            <w:noWrap/>
            <w:vAlign w:val="center"/>
            <w:hideMark/>
          </w:tcPr>
          <w:p w:rsidR="009A31A6" w:rsidRPr="009A31A6" w:rsidRDefault="009A31A6" w:rsidP="009A31A6">
            <w:pPr>
              <w:spacing w:after="0" w:line="240" w:lineRule="auto"/>
              <w:jc w:val="left"/>
              <w:rPr>
                <w:rFonts w:eastAsia="Times New Roman"/>
                <w:b/>
                <w:bCs/>
                <w:color w:val="000000"/>
                <w:lang w:eastAsia="lv-LV"/>
              </w:rPr>
            </w:pPr>
            <w:r w:rsidRPr="009A31A6">
              <w:rPr>
                <w:rFonts w:eastAsia="Times New Roman"/>
                <w:b/>
                <w:bCs/>
                <w:color w:val="000000"/>
                <w:lang w:eastAsia="lv-LV"/>
              </w:rPr>
              <w:t> </w:t>
            </w:r>
          </w:p>
        </w:tc>
        <w:tc>
          <w:tcPr>
            <w:tcW w:w="1240" w:type="dxa"/>
            <w:shd w:val="clear" w:color="000000" w:fill="D9D9D9"/>
            <w:noWrap/>
            <w:vAlign w:val="center"/>
            <w:hideMark/>
          </w:tcPr>
          <w:p w:rsidR="009A31A6" w:rsidRPr="009A31A6" w:rsidRDefault="009A31A6" w:rsidP="009A31A6">
            <w:pPr>
              <w:spacing w:after="0" w:line="240" w:lineRule="auto"/>
              <w:jc w:val="center"/>
              <w:rPr>
                <w:rFonts w:eastAsia="Times New Roman"/>
                <w:i/>
                <w:iCs/>
                <w:color w:val="000000"/>
                <w:sz w:val="20"/>
                <w:szCs w:val="20"/>
                <w:lang w:eastAsia="lv-LV"/>
              </w:rPr>
            </w:pPr>
            <w:r w:rsidRPr="009A31A6">
              <w:rPr>
                <w:rFonts w:eastAsia="Times New Roman"/>
                <w:i/>
                <w:iCs/>
                <w:color w:val="000000"/>
                <w:sz w:val="20"/>
                <w:szCs w:val="20"/>
                <w:lang w:eastAsia="lv-LV"/>
              </w:rPr>
              <w:t>Mērvienība</w:t>
            </w:r>
          </w:p>
        </w:tc>
        <w:tc>
          <w:tcPr>
            <w:tcW w:w="1595" w:type="dxa"/>
            <w:shd w:val="clear" w:color="000000" w:fill="D9D9D9"/>
            <w:noWrap/>
            <w:vAlign w:val="center"/>
            <w:hideMark/>
          </w:tcPr>
          <w:p w:rsidR="009A31A6" w:rsidRPr="009A31A6" w:rsidRDefault="009A31A6" w:rsidP="009A31A6">
            <w:pPr>
              <w:spacing w:after="0" w:line="240" w:lineRule="auto"/>
              <w:jc w:val="center"/>
              <w:rPr>
                <w:rFonts w:eastAsia="Times New Roman"/>
                <w:b/>
                <w:bCs/>
                <w:i/>
                <w:iCs/>
                <w:color w:val="000000"/>
                <w:lang w:eastAsia="lv-LV"/>
              </w:rPr>
            </w:pPr>
            <w:r w:rsidRPr="009A31A6">
              <w:rPr>
                <w:rFonts w:eastAsia="Times New Roman"/>
                <w:b/>
                <w:bCs/>
                <w:i/>
                <w:iCs/>
                <w:color w:val="000000"/>
                <w:lang w:eastAsia="lv-LV"/>
              </w:rPr>
              <w:t>Mazie uzņēmumi</w:t>
            </w:r>
          </w:p>
        </w:tc>
        <w:tc>
          <w:tcPr>
            <w:tcW w:w="1417" w:type="dxa"/>
            <w:shd w:val="clear" w:color="000000" w:fill="D9D9D9"/>
            <w:noWrap/>
            <w:vAlign w:val="center"/>
            <w:hideMark/>
          </w:tcPr>
          <w:p w:rsidR="009A31A6" w:rsidRPr="009A31A6" w:rsidRDefault="009A31A6" w:rsidP="009A31A6">
            <w:pPr>
              <w:spacing w:after="0" w:line="240" w:lineRule="auto"/>
              <w:jc w:val="center"/>
              <w:rPr>
                <w:rFonts w:eastAsia="Times New Roman"/>
                <w:b/>
                <w:bCs/>
                <w:i/>
                <w:iCs/>
                <w:color w:val="000000"/>
                <w:lang w:eastAsia="lv-LV"/>
              </w:rPr>
            </w:pPr>
            <w:r w:rsidRPr="009A31A6">
              <w:rPr>
                <w:rFonts w:eastAsia="Times New Roman"/>
                <w:b/>
                <w:bCs/>
                <w:i/>
                <w:iCs/>
                <w:color w:val="000000"/>
                <w:lang w:eastAsia="lv-LV"/>
              </w:rPr>
              <w:t>Vidēji</w:t>
            </w:r>
            <w:r w:rsidR="008F296C">
              <w:rPr>
                <w:rFonts w:eastAsia="Times New Roman"/>
                <w:b/>
                <w:bCs/>
                <w:i/>
                <w:iCs/>
                <w:color w:val="000000"/>
                <w:lang w:eastAsia="lv-LV"/>
              </w:rPr>
              <w:t>e</w:t>
            </w:r>
            <w:r w:rsidRPr="009A31A6">
              <w:rPr>
                <w:rFonts w:eastAsia="Times New Roman"/>
                <w:b/>
                <w:bCs/>
                <w:i/>
                <w:iCs/>
                <w:color w:val="000000"/>
                <w:lang w:eastAsia="lv-LV"/>
              </w:rPr>
              <w:t xml:space="preserve"> uzņēmumi</w:t>
            </w:r>
          </w:p>
        </w:tc>
        <w:tc>
          <w:tcPr>
            <w:tcW w:w="1560" w:type="dxa"/>
            <w:shd w:val="clear" w:color="000000" w:fill="D9D9D9"/>
            <w:noWrap/>
            <w:vAlign w:val="center"/>
            <w:hideMark/>
          </w:tcPr>
          <w:p w:rsidR="009A31A6" w:rsidRPr="009A31A6" w:rsidRDefault="009A31A6" w:rsidP="008F296C">
            <w:pPr>
              <w:spacing w:after="0" w:line="240" w:lineRule="auto"/>
              <w:jc w:val="center"/>
              <w:rPr>
                <w:rFonts w:eastAsia="Times New Roman"/>
                <w:b/>
                <w:bCs/>
                <w:i/>
                <w:iCs/>
                <w:color w:val="000000"/>
                <w:lang w:eastAsia="lv-LV"/>
              </w:rPr>
            </w:pPr>
            <w:r w:rsidRPr="009A31A6">
              <w:rPr>
                <w:rFonts w:eastAsia="Times New Roman"/>
                <w:b/>
                <w:bCs/>
                <w:i/>
                <w:iCs/>
                <w:color w:val="000000"/>
                <w:lang w:eastAsia="lv-LV"/>
              </w:rPr>
              <w:t>Lieli</w:t>
            </w:r>
            <w:r w:rsidR="008F296C">
              <w:rPr>
                <w:rFonts w:eastAsia="Times New Roman"/>
                <w:b/>
                <w:bCs/>
                <w:i/>
                <w:iCs/>
                <w:color w:val="000000"/>
                <w:lang w:val="en-US" w:eastAsia="lv-LV"/>
              </w:rPr>
              <w:t>e</w:t>
            </w:r>
            <w:r w:rsidRPr="009A31A6">
              <w:rPr>
                <w:rFonts w:eastAsia="Times New Roman"/>
                <w:b/>
                <w:bCs/>
                <w:i/>
                <w:iCs/>
                <w:color w:val="000000"/>
                <w:lang w:eastAsia="lv-LV"/>
              </w:rPr>
              <w:t xml:space="preserve"> uzņēmumi</w:t>
            </w:r>
          </w:p>
        </w:tc>
      </w:tr>
      <w:tr w:rsidR="009A31A6" w:rsidRPr="009A31A6" w:rsidTr="009A31A6">
        <w:trPr>
          <w:trHeight w:val="300"/>
        </w:trPr>
        <w:tc>
          <w:tcPr>
            <w:tcW w:w="3691" w:type="dxa"/>
            <w:shd w:val="clear" w:color="auto" w:fill="auto"/>
            <w:vAlign w:val="center"/>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Inovatīvo uzņēmumu skaits</w:t>
            </w:r>
          </w:p>
        </w:tc>
        <w:tc>
          <w:tcPr>
            <w:tcW w:w="1240" w:type="dxa"/>
            <w:shd w:val="clear" w:color="auto" w:fill="auto"/>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 </w:t>
            </w:r>
          </w:p>
        </w:tc>
        <w:tc>
          <w:tcPr>
            <w:tcW w:w="1595" w:type="dxa"/>
            <w:shd w:val="clear" w:color="auto" w:fill="auto"/>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873</w:t>
            </w:r>
          </w:p>
        </w:tc>
        <w:tc>
          <w:tcPr>
            <w:tcW w:w="1417" w:type="dxa"/>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286</w:t>
            </w:r>
          </w:p>
        </w:tc>
        <w:tc>
          <w:tcPr>
            <w:tcW w:w="1560" w:type="dxa"/>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75</w:t>
            </w:r>
          </w:p>
        </w:tc>
      </w:tr>
      <w:tr w:rsidR="009A31A6" w:rsidRPr="009A31A6" w:rsidTr="009A31A6">
        <w:trPr>
          <w:trHeight w:val="570"/>
        </w:trPr>
        <w:tc>
          <w:tcPr>
            <w:tcW w:w="3691" w:type="dxa"/>
            <w:tcBorders>
              <w:bottom w:val="dotted" w:sz="4" w:space="0" w:color="auto"/>
            </w:tcBorders>
            <w:shd w:val="clear" w:color="auto" w:fill="auto"/>
            <w:vAlign w:val="center"/>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Izdevumi inovācijām</w:t>
            </w:r>
          </w:p>
        </w:tc>
        <w:tc>
          <w:tcPr>
            <w:tcW w:w="1240" w:type="dxa"/>
            <w:tcBorders>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bottom w:val="dotted" w:sz="4" w:space="0" w:color="auto"/>
            </w:tcBorders>
            <w:shd w:val="clear" w:color="auto" w:fill="auto"/>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10 800</w:t>
            </w:r>
          </w:p>
        </w:tc>
        <w:tc>
          <w:tcPr>
            <w:tcW w:w="1417" w:type="dxa"/>
            <w:tcBorders>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25 500</w:t>
            </w:r>
          </w:p>
        </w:tc>
        <w:tc>
          <w:tcPr>
            <w:tcW w:w="1560" w:type="dxa"/>
            <w:tcBorders>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56 300</w:t>
            </w:r>
          </w:p>
        </w:tc>
      </w:tr>
      <w:tr w:rsidR="009A31A6" w:rsidRPr="009A31A6" w:rsidTr="009A31A6">
        <w:trPr>
          <w:trHeight w:val="300"/>
        </w:trPr>
        <w:tc>
          <w:tcPr>
            <w:tcW w:w="3691" w:type="dxa"/>
            <w:tcBorders>
              <w:top w:val="dotted" w:sz="4" w:space="0" w:color="auto"/>
              <w:bottom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 xml:space="preserve"> t.</w:t>
            </w:r>
            <w:r w:rsidRPr="009A31A6">
              <w:rPr>
                <w:rFonts w:eastAsia="Times New Roman"/>
                <w:color w:val="000000"/>
                <w:lang w:val="en-US" w:eastAsia="lv-LV"/>
              </w:rPr>
              <w:t xml:space="preserve"> </w:t>
            </w:r>
            <w:r w:rsidRPr="009A31A6">
              <w:rPr>
                <w:rFonts w:eastAsia="Times New Roman"/>
                <w:color w:val="000000"/>
                <w:lang w:eastAsia="lv-LV"/>
              </w:rPr>
              <w:t>sk.</w:t>
            </w:r>
            <w:r w:rsidRPr="009A31A6">
              <w:rPr>
                <w:rFonts w:eastAsia="Times New Roman"/>
                <w:color w:val="000000"/>
                <w:lang w:val="en-US" w:eastAsia="lv-LV"/>
              </w:rPr>
              <w:t xml:space="preserve"> </w:t>
            </w:r>
            <w:r w:rsidRPr="009A31A6">
              <w:rPr>
                <w:rFonts w:eastAsia="Times New Roman"/>
                <w:color w:val="000000"/>
                <w:lang w:eastAsia="lv-LV"/>
              </w:rPr>
              <w:t>P&amp;A izdevumi</w:t>
            </w:r>
          </w:p>
        </w:tc>
        <w:tc>
          <w:tcPr>
            <w:tcW w:w="1240" w:type="dxa"/>
            <w:tcBorders>
              <w:top w:val="dotted" w:sz="4" w:space="0" w:color="auto"/>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top w:val="dotted" w:sz="4" w:space="0" w:color="auto"/>
              <w:bottom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7 300</w:t>
            </w:r>
          </w:p>
        </w:tc>
        <w:tc>
          <w:tcPr>
            <w:tcW w:w="1417" w:type="dxa"/>
            <w:tcBorders>
              <w:top w:val="dotted" w:sz="4" w:space="0" w:color="auto"/>
              <w:bottom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4 200</w:t>
            </w:r>
          </w:p>
        </w:tc>
        <w:tc>
          <w:tcPr>
            <w:tcW w:w="1560" w:type="dxa"/>
            <w:tcBorders>
              <w:top w:val="dotted" w:sz="4" w:space="0" w:color="auto"/>
              <w:bottom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9 400</w:t>
            </w:r>
          </w:p>
        </w:tc>
      </w:tr>
      <w:tr w:rsidR="009A31A6" w:rsidRPr="009A31A6" w:rsidTr="009A31A6">
        <w:trPr>
          <w:trHeight w:val="300"/>
        </w:trPr>
        <w:tc>
          <w:tcPr>
            <w:tcW w:w="3691" w:type="dxa"/>
            <w:tcBorders>
              <w:top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 xml:space="preserve">Ieviešanas izdevumi </w:t>
            </w:r>
          </w:p>
        </w:tc>
        <w:tc>
          <w:tcPr>
            <w:tcW w:w="1240" w:type="dxa"/>
            <w:tcBorders>
              <w:top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top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3 500</w:t>
            </w:r>
          </w:p>
        </w:tc>
        <w:tc>
          <w:tcPr>
            <w:tcW w:w="1417" w:type="dxa"/>
            <w:tcBorders>
              <w:top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21 300</w:t>
            </w:r>
          </w:p>
        </w:tc>
        <w:tc>
          <w:tcPr>
            <w:tcW w:w="1560" w:type="dxa"/>
            <w:tcBorders>
              <w:top w:val="dotted" w:sz="4" w:space="0" w:color="auto"/>
            </w:tcBorders>
            <w:shd w:val="clear" w:color="auto" w:fill="auto"/>
            <w:noWrap/>
            <w:vAlign w:val="center"/>
            <w:hideMark/>
          </w:tcPr>
          <w:p w:rsidR="009A31A6" w:rsidRPr="009A31A6" w:rsidRDefault="009A31A6" w:rsidP="009A31A6">
            <w:pPr>
              <w:spacing w:after="0" w:line="240" w:lineRule="auto"/>
              <w:jc w:val="right"/>
              <w:rPr>
                <w:rFonts w:eastAsia="Times New Roman"/>
                <w:color w:val="000000"/>
                <w:lang w:eastAsia="lv-LV"/>
              </w:rPr>
            </w:pPr>
            <w:r w:rsidRPr="009A31A6">
              <w:rPr>
                <w:rFonts w:eastAsia="Times New Roman"/>
                <w:color w:val="000000"/>
                <w:lang w:eastAsia="lv-LV"/>
              </w:rPr>
              <w:t>46 900</w:t>
            </w:r>
          </w:p>
        </w:tc>
      </w:tr>
      <w:tr w:rsidR="009A31A6" w:rsidRPr="009A31A6" w:rsidTr="009A31A6">
        <w:trPr>
          <w:trHeight w:val="300"/>
        </w:trPr>
        <w:tc>
          <w:tcPr>
            <w:tcW w:w="3691" w:type="dxa"/>
            <w:shd w:val="clear" w:color="auto" w:fill="auto"/>
            <w:vAlign w:val="center"/>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Ieviešanas koeficients</w:t>
            </w:r>
          </w:p>
        </w:tc>
        <w:tc>
          <w:tcPr>
            <w:tcW w:w="1240" w:type="dxa"/>
            <w:shd w:val="clear" w:color="auto" w:fill="auto"/>
            <w:noWrap/>
            <w:vAlign w:val="center"/>
            <w:hideMark/>
          </w:tcPr>
          <w:p w:rsidR="009A31A6" w:rsidRPr="009A31A6" w:rsidRDefault="009A31A6"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 </w:t>
            </w:r>
          </w:p>
        </w:tc>
        <w:tc>
          <w:tcPr>
            <w:tcW w:w="1595" w:type="dxa"/>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0.5</w:t>
            </w:r>
          </w:p>
        </w:tc>
        <w:tc>
          <w:tcPr>
            <w:tcW w:w="1417" w:type="dxa"/>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5.1</w:t>
            </w:r>
          </w:p>
        </w:tc>
        <w:tc>
          <w:tcPr>
            <w:tcW w:w="1560" w:type="dxa"/>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5.0</w:t>
            </w:r>
          </w:p>
        </w:tc>
      </w:tr>
      <w:tr w:rsidR="009A31A6" w:rsidRPr="009A31A6" w:rsidTr="009A31A6">
        <w:trPr>
          <w:trHeight w:val="600"/>
        </w:trPr>
        <w:tc>
          <w:tcPr>
            <w:tcW w:w="3691" w:type="dxa"/>
            <w:shd w:val="clear" w:color="auto" w:fill="auto"/>
            <w:vAlign w:val="center"/>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Vidēja uzņēmuma neto apgrozījums (pieņēmums)</w:t>
            </w:r>
          </w:p>
        </w:tc>
        <w:tc>
          <w:tcPr>
            <w:tcW w:w="1240" w:type="dxa"/>
            <w:tcBorders>
              <w:bottom w:val="single"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bottom w:val="single"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3 500</w:t>
            </w:r>
          </w:p>
        </w:tc>
        <w:tc>
          <w:tcPr>
            <w:tcW w:w="1417" w:type="dxa"/>
            <w:tcBorders>
              <w:bottom w:val="single"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25 000</w:t>
            </w:r>
          </w:p>
        </w:tc>
        <w:tc>
          <w:tcPr>
            <w:tcW w:w="1560" w:type="dxa"/>
            <w:tcBorders>
              <w:bottom w:val="single"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65 000</w:t>
            </w:r>
          </w:p>
        </w:tc>
      </w:tr>
      <w:tr w:rsidR="009A31A6" w:rsidRPr="009A31A6" w:rsidTr="009A31A6">
        <w:trPr>
          <w:trHeight w:val="300"/>
        </w:trPr>
        <w:tc>
          <w:tcPr>
            <w:tcW w:w="3691" w:type="dxa"/>
            <w:vMerge w:val="restart"/>
            <w:shd w:val="clear" w:color="auto" w:fill="auto"/>
            <w:vAlign w:val="center"/>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Viena uzņēmuma vidējas P&amp;A izmaksas</w:t>
            </w:r>
          </w:p>
        </w:tc>
        <w:tc>
          <w:tcPr>
            <w:tcW w:w="1240" w:type="dxa"/>
            <w:tcBorders>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8.4</w:t>
            </w:r>
          </w:p>
        </w:tc>
        <w:tc>
          <w:tcPr>
            <w:tcW w:w="1417" w:type="dxa"/>
            <w:tcBorders>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14.7</w:t>
            </w:r>
          </w:p>
        </w:tc>
        <w:tc>
          <w:tcPr>
            <w:tcW w:w="1560" w:type="dxa"/>
            <w:tcBorders>
              <w:bottom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125.3</w:t>
            </w:r>
          </w:p>
        </w:tc>
      </w:tr>
      <w:tr w:rsidR="009A31A6" w:rsidRPr="009A31A6" w:rsidTr="009A31A6">
        <w:trPr>
          <w:trHeight w:val="300"/>
        </w:trPr>
        <w:tc>
          <w:tcPr>
            <w:tcW w:w="3691" w:type="dxa"/>
            <w:vMerge/>
            <w:vAlign w:val="center"/>
            <w:hideMark/>
          </w:tcPr>
          <w:p w:rsidR="009A31A6" w:rsidRPr="009A31A6" w:rsidRDefault="009A31A6" w:rsidP="009A31A6">
            <w:pPr>
              <w:spacing w:after="0" w:line="240" w:lineRule="auto"/>
              <w:jc w:val="left"/>
              <w:rPr>
                <w:rFonts w:eastAsia="Times New Roman"/>
                <w:color w:val="000000"/>
                <w:lang w:eastAsia="lv-LV"/>
              </w:rPr>
            </w:pPr>
          </w:p>
        </w:tc>
        <w:tc>
          <w:tcPr>
            <w:tcW w:w="1240" w:type="dxa"/>
            <w:tcBorders>
              <w:top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 no NA</w:t>
            </w:r>
          </w:p>
        </w:tc>
        <w:tc>
          <w:tcPr>
            <w:tcW w:w="1595" w:type="dxa"/>
            <w:tcBorders>
              <w:top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0.24%</w:t>
            </w:r>
          </w:p>
        </w:tc>
        <w:tc>
          <w:tcPr>
            <w:tcW w:w="1417" w:type="dxa"/>
            <w:tcBorders>
              <w:top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0.06%</w:t>
            </w:r>
          </w:p>
        </w:tc>
        <w:tc>
          <w:tcPr>
            <w:tcW w:w="1560" w:type="dxa"/>
            <w:tcBorders>
              <w:top w:val="dotted" w:sz="4" w:space="0" w:color="auto"/>
            </w:tcBorders>
            <w:shd w:val="clear" w:color="auto" w:fill="auto"/>
            <w:noWrap/>
            <w:vAlign w:val="center"/>
            <w:hideMark/>
          </w:tcPr>
          <w:p w:rsidR="009A31A6" w:rsidRPr="009A31A6" w:rsidRDefault="009A31A6" w:rsidP="009A31A6">
            <w:pPr>
              <w:spacing w:after="0" w:line="240" w:lineRule="auto"/>
              <w:jc w:val="center"/>
              <w:rPr>
                <w:rFonts w:eastAsia="Times New Roman"/>
                <w:color w:val="000000"/>
                <w:lang w:eastAsia="lv-LV"/>
              </w:rPr>
            </w:pPr>
            <w:r w:rsidRPr="009A31A6">
              <w:rPr>
                <w:rFonts w:eastAsia="Times New Roman"/>
                <w:color w:val="000000"/>
                <w:lang w:eastAsia="lv-LV"/>
              </w:rPr>
              <w:t>0.19%</w:t>
            </w:r>
          </w:p>
        </w:tc>
      </w:tr>
      <w:tr w:rsidR="009A31A6" w:rsidRPr="009A31A6" w:rsidTr="009A31A6">
        <w:trPr>
          <w:trHeight w:val="300"/>
        </w:trPr>
        <w:tc>
          <w:tcPr>
            <w:tcW w:w="3691" w:type="dxa"/>
            <w:shd w:val="clear" w:color="000000" w:fill="D9D9D9"/>
            <w:noWrap/>
            <w:vAlign w:val="bottom"/>
            <w:hideMark/>
          </w:tcPr>
          <w:p w:rsidR="009A31A6" w:rsidRPr="009A31A6" w:rsidRDefault="009A31A6" w:rsidP="009A31A6">
            <w:pPr>
              <w:spacing w:after="0" w:line="240" w:lineRule="auto"/>
              <w:jc w:val="center"/>
              <w:rPr>
                <w:rFonts w:eastAsia="Times New Roman"/>
                <w:b/>
                <w:bCs/>
                <w:i/>
                <w:iCs/>
                <w:color w:val="000000"/>
                <w:lang w:eastAsia="lv-LV"/>
              </w:rPr>
            </w:pPr>
            <w:r w:rsidRPr="009A31A6">
              <w:rPr>
                <w:rFonts w:eastAsia="Times New Roman"/>
                <w:b/>
                <w:bCs/>
                <w:i/>
                <w:iCs/>
                <w:color w:val="000000"/>
                <w:lang w:eastAsia="lv-LV"/>
              </w:rPr>
              <w:t>Modelēšanas rezultāts</w:t>
            </w:r>
          </w:p>
        </w:tc>
        <w:tc>
          <w:tcPr>
            <w:tcW w:w="1240" w:type="dxa"/>
            <w:shd w:val="clear" w:color="000000" w:fill="D9D9D9"/>
            <w:noWrap/>
            <w:vAlign w:val="bottom"/>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 </w:t>
            </w:r>
          </w:p>
        </w:tc>
        <w:tc>
          <w:tcPr>
            <w:tcW w:w="1595" w:type="dxa"/>
            <w:shd w:val="clear" w:color="000000" w:fill="D9D9D9"/>
            <w:noWrap/>
            <w:vAlign w:val="bottom"/>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 </w:t>
            </w:r>
          </w:p>
        </w:tc>
        <w:tc>
          <w:tcPr>
            <w:tcW w:w="1417" w:type="dxa"/>
            <w:shd w:val="clear" w:color="000000" w:fill="D9D9D9"/>
            <w:noWrap/>
            <w:vAlign w:val="bottom"/>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 </w:t>
            </w:r>
          </w:p>
        </w:tc>
        <w:tc>
          <w:tcPr>
            <w:tcW w:w="1560" w:type="dxa"/>
            <w:shd w:val="clear" w:color="000000" w:fill="D9D9D9"/>
            <w:noWrap/>
            <w:vAlign w:val="bottom"/>
            <w:hideMark/>
          </w:tcPr>
          <w:p w:rsidR="009A31A6" w:rsidRPr="009A31A6" w:rsidRDefault="009A31A6" w:rsidP="009A31A6">
            <w:pPr>
              <w:spacing w:after="0" w:line="240" w:lineRule="auto"/>
              <w:jc w:val="left"/>
              <w:rPr>
                <w:rFonts w:eastAsia="Times New Roman"/>
                <w:color w:val="000000"/>
                <w:lang w:eastAsia="lv-LV"/>
              </w:rPr>
            </w:pPr>
            <w:r w:rsidRPr="009A31A6">
              <w:rPr>
                <w:rFonts w:eastAsia="Times New Roman"/>
                <w:color w:val="000000"/>
                <w:lang w:eastAsia="lv-LV"/>
              </w:rPr>
              <w:t> </w:t>
            </w:r>
          </w:p>
        </w:tc>
      </w:tr>
      <w:tr w:rsidR="003D45EC" w:rsidRPr="009A31A6" w:rsidTr="009A31A6">
        <w:trPr>
          <w:trHeight w:val="600"/>
        </w:trPr>
        <w:tc>
          <w:tcPr>
            <w:tcW w:w="3691" w:type="dxa"/>
            <w:shd w:val="clear" w:color="auto" w:fill="auto"/>
            <w:vAlign w:val="center"/>
            <w:hideMark/>
          </w:tcPr>
          <w:p w:rsidR="003D45EC" w:rsidRPr="009A31A6" w:rsidRDefault="003D45EC" w:rsidP="002E3BF0">
            <w:pPr>
              <w:spacing w:after="0" w:line="240" w:lineRule="auto"/>
              <w:jc w:val="left"/>
              <w:rPr>
                <w:rFonts w:eastAsia="Times New Roman"/>
                <w:color w:val="000000"/>
                <w:lang w:eastAsia="lv-LV"/>
              </w:rPr>
            </w:pPr>
            <w:r w:rsidRPr="009A31A6">
              <w:rPr>
                <w:rFonts w:eastAsia="Times New Roman"/>
                <w:color w:val="000000"/>
                <w:lang w:eastAsia="lv-LV"/>
              </w:rPr>
              <w:t>Viena uzņēmuma UIN vidējais samazinājums (1.variants)</w:t>
            </w:r>
          </w:p>
        </w:tc>
        <w:tc>
          <w:tcPr>
            <w:tcW w:w="1240" w:type="dxa"/>
            <w:shd w:val="clear" w:color="auto" w:fill="auto"/>
            <w:noWrap/>
            <w:vAlign w:val="center"/>
            <w:hideMark/>
          </w:tcPr>
          <w:p w:rsidR="003D45EC" w:rsidRPr="009A31A6" w:rsidRDefault="003D45EC"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shd w:val="clear" w:color="auto" w:fill="auto"/>
            <w:noWrap/>
            <w:vAlign w:val="center"/>
            <w:hideMark/>
          </w:tcPr>
          <w:p w:rsidR="003D45EC" w:rsidRDefault="003D45EC" w:rsidP="003D45EC">
            <w:pPr>
              <w:spacing w:after="0" w:line="240" w:lineRule="auto"/>
              <w:jc w:val="center"/>
              <w:rPr>
                <w:color w:val="000000"/>
              </w:rPr>
            </w:pPr>
            <w:r>
              <w:rPr>
                <w:color w:val="000000"/>
              </w:rPr>
              <w:t>2.52</w:t>
            </w:r>
          </w:p>
        </w:tc>
        <w:tc>
          <w:tcPr>
            <w:tcW w:w="1417" w:type="dxa"/>
            <w:shd w:val="clear" w:color="auto" w:fill="auto"/>
            <w:noWrap/>
            <w:vAlign w:val="center"/>
            <w:hideMark/>
          </w:tcPr>
          <w:p w:rsidR="003D45EC" w:rsidRDefault="003D45EC" w:rsidP="003D45EC">
            <w:pPr>
              <w:spacing w:after="0" w:line="240" w:lineRule="auto"/>
              <w:jc w:val="center"/>
              <w:rPr>
                <w:color w:val="000000"/>
              </w:rPr>
            </w:pPr>
            <w:r>
              <w:rPr>
                <w:color w:val="000000"/>
              </w:rPr>
              <w:t>4.50</w:t>
            </w:r>
          </w:p>
        </w:tc>
        <w:tc>
          <w:tcPr>
            <w:tcW w:w="1560" w:type="dxa"/>
            <w:shd w:val="clear" w:color="auto" w:fill="auto"/>
            <w:noWrap/>
            <w:vAlign w:val="center"/>
            <w:hideMark/>
          </w:tcPr>
          <w:p w:rsidR="003D45EC" w:rsidRDefault="003D45EC" w:rsidP="003D45EC">
            <w:pPr>
              <w:spacing w:after="0" w:line="240" w:lineRule="auto"/>
              <w:jc w:val="center"/>
              <w:rPr>
                <w:color w:val="000000"/>
              </w:rPr>
            </w:pPr>
            <w:r>
              <w:rPr>
                <w:color w:val="000000"/>
              </w:rPr>
              <w:t>28.23</w:t>
            </w:r>
          </w:p>
        </w:tc>
      </w:tr>
      <w:tr w:rsidR="003D45EC" w:rsidRPr="009A31A6" w:rsidTr="009A31A6">
        <w:trPr>
          <w:trHeight w:val="600"/>
        </w:trPr>
        <w:tc>
          <w:tcPr>
            <w:tcW w:w="3691" w:type="dxa"/>
            <w:shd w:val="clear" w:color="auto" w:fill="auto"/>
            <w:vAlign w:val="center"/>
            <w:hideMark/>
          </w:tcPr>
          <w:p w:rsidR="003D45EC" w:rsidRPr="009A31A6" w:rsidRDefault="003D45EC" w:rsidP="009A31A6">
            <w:pPr>
              <w:spacing w:after="0" w:line="240" w:lineRule="auto"/>
              <w:jc w:val="left"/>
              <w:rPr>
                <w:rFonts w:eastAsia="Times New Roman"/>
                <w:color w:val="000000"/>
                <w:lang w:eastAsia="lv-LV"/>
              </w:rPr>
            </w:pPr>
            <w:r w:rsidRPr="009A31A6">
              <w:rPr>
                <w:rFonts w:eastAsia="Times New Roman"/>
                <w:color w:val="000000"/>
                <w:lang w:eastAsia="lv-LV"/>
              </w:rPr>
              <w:t>Viena uzņēmuma vidējais VSAOI un IIN samazinājums (2.variants)</w:t>
            </w:r>
          </w:p>
        </w:tc>
        <w:tc>
          <w:tcPr>
            <w:tcW w:w="1240" w:type="dxa"/>
            <w:shd w:val="clear" w:color="auto" w:fill="auto"/>
            <w:noWrap/>
            <w:vAlign w:val="center"/>
            <w:hideMark/>
          </w:tcPr>
          <w:p w:rsidR="003D45EC" w:rsidRPr="009A31A6" w:rsidRDefault="003D45EC"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shd w:val="clear" w:color="auto" w:fill="auto"/>
            <w:noWrap/>
            <w:vAlign w:val="center"/>
            <w:hideMark/>
          </w:tcPr>
          <w:p w:rsidR="003D45EC" w:rsidRDefault="003D45EC" w:rsidP="003D45EC">
            <w:pPr>
              <w:spacing w:after="0" w:line="240" w:lineRule="auto"/>
              <w:jc w:val="center"/>
              <w:rPr>
                <w:color w:val="000000"/>
              </w:rPr>
            </w:pPr>
            <w:r>
              <w:rPr>
                <w:color w:val="000000"/>
              </w:rPr>
              <w:t>0.74</w:t>
            </w:r>
          </w:p>
        </w:tc>
        <w:tc>
          <w:tcPr>
            <w:tcW w:w="1417" w:type="dxa"/>
            <w:shd w:val="clear" w:color="auto" w:fill="auto"/>
            <w:noWrap/>
            <w:vAlign w:val="center"/>
            <w:hideMark/>
          </w:tcPr>
          <w:p w:rsidR="003D45EC" w:rsidRDefault="003D45EC" w:rsidP="003D45EC">
            <w:pPr>
              <w:spacing w:after="0" w:line="240" w:lineRule="auto"/>
              <w:jc w:val="center"/>
              <w:rPr>
                <w:color w:val="000000"/>
              </w:rPr>
            </w:pPr>
            <w:r>
              <w:rPr>
                <w:color w:val="000000"/>
              </w:rPr>
              <w:t>1.32</w:t>
            </w:r>
          </w:p>
        </w:tc>
        <w:tc>
          <w:tcPr>
            <w:tcW w:w="1560" w:type="dxa"/>
            <w:shd w:val="clear" w:color="auto" w:fill="auto"/>
            <w:noWrap/>
            <w:vAlign w:val="center"/>
            <w:hideMark/>
          </w:tcPr>
          <w:p w:rsidR="003D45EC" w:rsidRDefault="003D45EC" w:rsidP="003D45EC">
            <w:pPr>
              <w:spacing w:after="0" w:line="240" w:lineRule="auto"/>
              <w:jc w:val="center"/>
              <w:rPr>
                <w:color w:val="000000"/>
              </w:rPr>
            </w:pPr>
            <w:r>
              <w:rPr>
                <w:color w:val="000000"/>
              </w:rPr>
              <w:t>11.01</w:t>
            </w:r>
          </w:p>
        </w:tc>
      </w:tr>
      <w:tr w:rsidR="003D45EC" w:rsidRPr="009A31A6" w:rsidTr="009A31A6">
        <w:trPr>
          <w:trHeight w:val="600"/>
        </w:trPr>
        <w:tc>
          <w:tcPr>
            <w:tcW w:w="3691" w:type="dxa"/>
            <w:shd w:val="clear" w:color="auto" w:fill="auto"/>
            <w:vAlign w:val="center"/>
            <w:hideMark/>
          </w:tcPr>
          <w:p w:rsidR="003D45EC" w:rsidRPr="009A31A6" w:rsidRDefault="003D45EC" w:rsidP="009A31A6">
            <w:pPr>
              <w:spacing w:after="0" w:line="240" w:lineRule="auto"/>
              <w:jc w:val="left"/>
              <w:rPr>
                <w:rFonts w:eastAsia="Times New Roman"/>
                <w:color w:val="000000"/>
                <w:lang w:eastAsia="lv-LV"/>
              </w:rPr>
            </w:pPr>
            <w:r w:rsidRPr="009A31A6">
              <w:rPr>
                <w:rFonts w:eastAsia="Times New Roman"/>
                <w:color w:val="000000"/>
                <w:lang w:eastAsia="lv-LV"/>
              </w:rPr>
              <w:t>Viena uzņēmuma vidējais VSAOI, IIN, UIN samazinājums (3.variants)</w:t>
            </w:r>
          </w:p>
        </w:tc>
        <w:tc>
          <w:tcPr>
            <w:tcW w:w="1240" w:type="dxa"/>
            <w:shd w:val="clear" w:color="auto" w:fill="auto"/>
            <w:noWrap/>
            <w:vAlign w:val="center"/>
            <w:hideMark/>
          </w:tcPr>
          <w:p w:rsidR="003D45EC" w:rsidRPr="009A31A6" w:rsidRDefault="003D45EC"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shd w:val="clear" w:color="auto" w:fill="auto"/>
            <w:noWrap/>
            <w:vAlign w:val="center"/>
            <w:hideMark/>
          </w:tcPr>
          <w:p w:rsidR="003D45EC" w:rsidRDefault="003D45EC" w:rsidP="003D45EC">
            <w:pPr>
              <w:spacing w:after="0" w:line="240" w:lineRule="auto"/>
              <w:jc w:val="center"/>
              <w:rPr>
                <w:color w:val="000000"/>
              </w:rPr>
            </w:pPr>
            <w:r>
              <w:rPr>
                <w:color w:val="000000"/>
              </w:rPr>
              <w:t>3.11</w:t>
            </w:r>
          </w:p>
        </w:tc>
        <w:tc>
          <w:tcPr>
            <w:tcW w:w="1417" w:type="dxa"/>
            <w:shd w:val="clear" w:color="auto" w:fill="auto"/>
            <w:noWrap/>
            <w:vAlign w:val="center"/>
            <w:hideMark/>
          </w:tcPr>
          <w:p w:rsidR="003D45EC" w:rsidRDefault="003D45EC" w:rsidP="003D45EC">
            <w:pPr>
              <w:spacing w:after="0" w:line="240" w:lineRule="auto"/>
              <w:jc w:val="center"/>
              <w:rPr>
                <w:color w:val="000000"/>
              </w:rPr>
            </w:pPr>
            <w:r>
              <w:rPr>
                <w:color w:val="000000"/>
              </w:rPr>
              <w:t>6.41</w:t>
            </w:r>
          </w:p>
        </w:tc>
        <w:tc>
          <w:tcPr>
            <w:tcW w:w="1560" w:type="dxa"/>
            <w:shd w:val="clear" w:color="auto" w:fill="auto"/>
            <w:noWrap/>
            <w:vAlign w:val="center"/>
            <w:hideMark/>
          </w:tcPr>
          <w:p w:rsidR="003D45EC" w:rsidRDefault="003D45EC" w:rsidP="003D45EC">
            <w:pPr>
              <w:spacing w:after="0" w:line="240" w:lineRule="auto"/>
              <w:jc w:val="center"/>
              <w:rPr>
                <w:color w:val="000000"/>
              </w:rPr>
            </w:pPr>
            <w:r>
              <w:rPr>
                <w:color w:val="000000"/>
              </w:rPr>
              <w:t>37.41</w:t>
            </w:r>
          </w:p>
        </w:tc>
      </w:tr>
      <w:tr w:rsidR="003D45EC" w:rsidRPr="009A31A6" w:rsidTr="009A31A6">
        <w:trPr>
          <w:trHeight w:val="300"/>
        </w:trPr>
        <w:tc>
          <w:tcPr>
            <w:tcW w:w="3691" w:type="dxa"/>
            <w:tcBorders>
              <w:bottom w:val="nil"/>
            </w:tcBorders>
            <w:shd w:val="clear" w:color="000000" w:fill="D9D9D9"/>
            <w:vAlign w:val="center"/>
            <w:hideMark/>
          </w:tcPr>
          <w:p w:rsidR="003D45EC" w:rsidRPr="009A31A6" w:rsidRDefault="003D45EC" w:rsidP="009A31A6">
            <w:pPr>
              <w:spacing w:after="0" w:line="240" w:lineRule="auto"/>
              <w:jc w:val="left"/>
              <w:rPr>
                <w:rFonts w:eastAsia="Times New Roman"/>
                <w:b/>
                <w:bCs/>
                <w:color w:val="000000"/>
                <w:lang w:eastAsia="lv-LV"/>
              </w:rPr>
            </w:pPr>
            <w:r w:rsidRPr="009A31A6">
              <w:rPr>
                <w:rFonts w:eastAsia="Times New Roman"/>
                <w:b/>
                <w:bCs/>
                <w:color w:val="000000"/>
                <w:lang w:eastAsia="lv-LV"/>
              </w:rPr>
              <w:t xml:space="preserve">Nodokļu samazinājums </w:t>
            </w:r>
          </w:p>
        </w:tc>
        <w:tc>
          <w:tcPr>
            <w:tcW w:w="1240" w:type="dxa"/>
            <w:tcBorders>
              <w:bottom w:val="nil"/>
            </w:tcBorders>
            <w:shd w:val="clear" w:color="000000" w:fill="D9D9D9"/>
            <w:noWrap/>
            <w:vAlign w:val="center"/>
            <w:hideMark/>
          </w:tcPr>
          <w:p w:rsidR="003D45EC" w:rsidRPr="009A31A6" w:rsidRDefault="003D45EC" w:rsidP="009A31A6">
            <w:pPr>
              <w:spacing w:after="0" w:line="240" w:lineRule="auto"/>
              <w:jc w:val="center"/>
              <w:rPr>
                <w:rFonts w:eastAsia="Times New Roman"/>
                <w:b/>
                <w:bCs/>
                <w:color w:val="000000"/>
                <w:sz w:val="20"/>
                <w:szCs w:val="20"/>
                <w:lang w:eastAsia="lv-LV"/>
              </w:rPr>
            </w:pPr>
            <w:r w:rsidRPr="009A31A6">
              <w:rPr>
                <w:rFonts w:eastAsia="Times New Roman"/>
                <w:b/>
                <w:bCs/>
                <w:color w:val="000000"/>
                <w:sz w:val="20"/>
                <w:szCs w:val="20"/>
                <w:lang w:eastAsia="lv-LV"/>
              </w:rPr>
              <w:t> </w:t>
            </w:r>
          </w:p>
        </w:tc>
        <w:tc>
          <w:tcPr>
            <w:tcW w:w="1595" w:type="dxa"/>
            <w:tcBorders>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 </w:t>
            </w:r>
          </w:p>
        </w:tc>
        <w:tc>
          <w:tcPr>
            <w:tcW w:w="1417" w:type="dxa"/>
            <w:tcBorders>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 </w:t>
            </w:r>
          </w:p>
        </w:tc>
        <w:tc>
          <w:tcPr>
            <w:tcW w:w="1560" w:type="dxa"/>
            <w:tcBorders>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 </w:t>
            </w:r>
          </w:p>
        </w:tc>
      </w:tr>
      <w:tr w:rsidR="003D45EC" w:rsidRPr="009A31A6" w:rsidTr="009A31A6">
        <w:trPr>
          <w:trHeight w:val="300"/>
        </w:trPr>
        <w:tc>
          <w:tcPr>
            <w:tcW w:w="3691" w:type="dxa"/>
            <w:tcBorders>
              <w:top w:val="nil"/>
              <w:bottom w:val="nil"/>
            </w:tcBorders>
            <w:shd w:val="clear" w:color="000000" w:fill="D9D9D9"/>
            <w:noWrap/>
            <w:vAlign w:val="bottom"/>
            <w:hideMark/>
          </w:tcPr>
          <w:p w:rsidR="003D45EC" w:rsidRPr="009A31A6" w:rsidRDefault="003D45EC" w:rsidP="009A31A6">
            <w:pPr>
              <w:spacing w:after="0" w:line="240" w:lineRule="auto"/>
              <w:jc w:val="right"/>
              <w:rPr>
                <w:rFonts w:eastAsia="Times New Roman"/>
                <w:color w:val="000000"/>
                <w:lang w:eastAsia="lv-LV"/>
              </w:rPr>
            </w:pPr>
            <w:r w:rsidRPr="009A31A6">
              <w:rPr>
                <w:rFonts w:eastAsia="Times New Roman"/>
                <w:color w:val="000000"/>
                <w:lang w:eastAsia="lv-LV"/>
              </w:rPr>
              <w:t>1.variants</w:t>
            </w:r>
          </w:p>
        </w:tc>
        <w:tc>
          <w:tcPr>
            <w:tcW w:w="1240" w:type="dxa"/>
            <w:tcBorders>
              <w:top w:val="nil"/>
              <w:bottom w:val="nil"/>
            </w:tcBorders>
            <w:shd w:val="clear" w:color="000000" w:fill="D9D9D9"/>
            <w:noWrap/>
            <w:vAlign w:val="center"/>
            <w:hideMark/>
          </w:tcPr>
          <w:p w:rsidR="003D45EC" w:rsidRPr="009A31A6" w:rsidRDefault="003D45EC"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top w:val="nil"/>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2 200</w:t>
            </w:r>
          </w:p>
        </w:tc>
        <w:tc>
          <w:tcPr>
            <w:tcW w:w="1417" w:type="dxa"/>
            <w:tcBorders>
              <w:top w:val="nil"/>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1 287</w:t>
            </w:r>
          </w:p>
        </w:tc>
        <w:tc>
          <w:tcPr>
            <w:tcW w:w="1560" w:type="dxa"/>
            <w:tcBorders>
              <w:top w:val="nil"/>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2 117</w:t>
            </w:r>
          </w:p>
        </w:tc>
      </w:tr>
      <w:tr w:rsidR="003D45EC" w:rsidRPr="009A31A6" w:rsidTr="009A31A6">
        <w:trPr>
          <w:trHeight w:val="300"/>
        </w:trPr>
        <w:tc>
          <w:tcPr>
            <w:tcW w:w="3691" w:type="dxa"/>
            <w:tcBorders>
              <w:top w:val="nil"/>
              <w:bottom w:val="nil"/>
            </w:tcBorders>
            <w:shd w:val="clear" w:color="000000" w:fill="D9D9D9"/>
            <w:noWrap/>
            <w:vAlign w:val="bottom"/>
            <w:hideMark/>
          </w:tcPr>
          <w:p w:rsidR="003D45EC" w:rsidRPr="009A31A6" w:rsidRDefault="003D45EC" w:rsidP="009A31A6">
            <w:pPr>
              <w:spacing w:after="0" w:line="240" w:lineRule="auto"/>
              <w:jc w:val="right"/>
              <w:rPr>
                <w:rFonts w:eastAsia="Times New Roman"/>
                <w:color w:val="000000"/>
                <w:lang w:eastAsia="lv-LV"/>
              </w:rPr>
            </w:pPr>
            <w:r w:rsidRPr="009A31A6">
              <w:rPr>
                <w:rFonts w:eastAsia="Times New Roman"/>
                <w:color w:val="000000"/>
                <w:lang w:eastAsia="lv-LV"/>
              </w:rPr>
              <w:t>2.variants</w:t>
            </w:r>
          </w:p>
        </w:tc>
        <w:tc>
          <w:tcPr>
            <w:tcW w:w="1240" w:type="dxa"/>
            <w:tcBorders>
              <w:top w:val="nil"/>
              <w:bottom w:val="nil"/>
            </w:tcBorders>
            <w:shd w:val="clear" w:color="000000" w:fill="D9D9D9"/>
            <w:noWrap/>
            <w:vAlign w:val="center"/>
            <w:hideMark/>
          </w:tcPr>
          <w:p w:rsidR="003D45EC" w:rsidRPr="009A31A6" w:rsidRDefault="003D45EC"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top w:val="nil"/>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644</w:t>
            </w:r>
          </w:p>
        </w:tc>
        <w:tc>
          <w:tcPr>
            <w:tcW w:w="1417" w:type="dxa"/>
            <w:tcBorders>
              <w:top w:val="nil"/>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377</w:t>
            </w:r>
          </w:p>
        </w:tc>
        <w:tc>
          <w:tcPr>
            <w:tcW w:w="1560" w:type="dxa"/>
            <w:tcBorders>
              <w:top w:val="nil"/>
              <w:bottom w:val="nil"/>
            </w:tcBorders>
            <w:shd w:val="clear" w:color="000000" w:fill="D9D9D9"/>
            <w:noWrap/>
            <w:vAlign w:val="center"/>
            <w:hideMark/>
          </w:tcPr>
          <w:p w:rsidR="003D45EC" w:rsidRDefault="003D45EC" w:rsidP="003D45EC">
            <w:pPr>
              <w:spacing w:after="0" w:line="240" w:lineRule="auto"/>
              <w:jc w:val="center"/>
              <w:rPr>
                <w:b/>
                <w:bCs/>
                <w:color w:val="000000"/>
              </w:rPr>
            </w:pPr>
            <w:r>
              <w:rPr>
                <w:b/>
                <w:bCs/>
                <w:color w:val="000000"/>
              </w:rPr>
              <w:t>826</w:t>
            </w:r>
          </w:p>
        </w:tc>
      </w:tr>
      <w:tr w:rsidR="003D45EC" w:rsidRPr="009A31A6" w:rsidTr="009A31A6">
        <w:trPr>
          <w:trHeight w:val="300"/>
        </w:trPr>
        <w:tc>
          <w:tcPr>
            <w:tcW w:w="3691" w:type="dxa"/>
            <w:tcBorders>
              <w:top w:val="nil"/>
            </w:tcBorders>
            <w:shd w:val="clear" w:color="000000" w:fill="D9D9D9"/>
            <w:noWrap/>
            <w:vAlign w:val="bottom"/>
            <w:hideMark/>
          </w:tcPr>
          <w:p w:rsidR="003D45EC" w:rsidRPr="009A31A6" w:rsidRDefault="003D45EC" w:rsidP="009A31A6">
            <w:pPr>
              <w:spacing w:after="0" w:line="240" w:lineRule="auto"/>
              <w:jc w:val="right"/>
              <w:rPr>
                <w:rFonts w:eastAsia="Times New Roman"/>
                <w:color w:val="000000"/>
                <w:lang w:eastAsia="lv-LV"/>
              </w:rPr>
            </w:pPr>
            <w:r w:rsidRPr="009A31A6">
              <w:rPr>
                <w:rFonts w:eastAsia="Times New Roman"/>
                <w:color w:val="000000"/>
                <w:lang w:eastAsia="lv-LV"/>
              </w:rPr>
              <w:t>3.variants</w:t>
            </w:r>
          </w:p>
        </w:tc>
        <w:tc>
          <w:tcPr>
            <w:tcW w:w="1240" w:type="dxa"/>
            <w:tcBorders>
              <w:top w:val="nil"/>
            </w:tcBorders>
            <w:shd w:val="clear" w:color="000000" w:fill="D9D9D9"/>
            <w:noWrap/>
            <w:vAlign w:val="center"/>
            <w:hideMark/>
          </w:tcPr>
          <w:p w:rsidR="003D45EC" w:rsidRPr="009A31A6" w:rsidRDefault="003D45EC" w:rsidP="009A31A6">
            <w:pPr>
              <w:spacing w:after="0" w:line="240" w:lineRule="auto"/>
              <w:jc w:val="center"/>
              <w:rPr>
                <w:rFonts w:eastAsia="Times New Roman"/>
                <w:color w:val="000000"/>
                <w:sz w:val="20"/>
                <w:szCs w:val="20"/>
                <w:lang w:eastAsia="lv-LV"/>
              </w:rPr>
            </w:pPr>
            <w:r w:rsidRPr="009A31A6">
              <w:rPr>
                <w:rFonts w:eastAsia="Times New Roman"/>
                <w:color w:val="000000"/>
                <w:sz w:val="20"/>
                <w:szCs w:val="20"/>
                <w:lang w:eastAsia="lv-LV"/>
              </w:rPr>
              <w:t>tūkst.</w:t>
            </w:r>
            <w:r>
              <w:rPr>
                <w:rFonts w:eastAsia="Times New Roman"/>
                <w:color w:val="000000"/>
                <w:sz w:val="20"/>
                <w:szCs w:val="20"/>
                <w:lang w:val="ru-RU" w:eastAsia="lv-LV"/>
              </w:rPr>
              <w:t xml:space="preserve"> </w:t>
            </w:r>
            <w:r w:rsidRPr="009A31A6">
              <w:rPr>
                <w:rFonts w:eastAsia="Times New Roman"/>
                <w:color w:val="000000"/>
                <w:sz w:val="20"/>
                <w:szCs w:val="20"/>
                <w:lang w:eastAsia="lv-LV"/>
              </w:rPr>
              <w:t>LVL</w:t>
            </w:r>
          </w:p>
        </w:tc>
        <w:tc>
          <w:tcPr>
            <w:tcW w:w="1595" w:type="dxa"/>
            <w:tcBorders>
              <w:top w:val="nil"/>
            </w:tcBorders>
            <w:shd w:val="clear" w:color="000000" w:fill="D9D9D9"/>
            <w:noWrap/>
            <w:vAlign w:val="bottom"/>
            <w:hideMark/>
          </w:tcPr>
          <w:p w:rsidR="003D45EC" w:rsidRDefault="003D45EC" w:rsidP="003D45EC">
            <w:pPr>
              <w:spacing w:after="0" w:line="240" w:lineRule="auto"/>
              <w:jc w:val="center"/>
              <w:rPr>
                <w:b/>
                <w:bCs/>
                <w:color w:val="000000"/>
              </w:rPr>
            </w:pPr>
            <w:r>
              <w:rPr>
                <w:b/>
                <w:bCs/>
                <w:color w:val="000000"/>
              </w:rPr>
              <w:t>2 716</w:t>
            </w:r>
          </w:p>
        </w:tc>
        <w:tc>
          <w:tcPr>
            <w:tcW w:w="1417" w:type="dxa"/>
            <w:tcBorders>
              <w:top w:val="nil"/>
            </w:tcBorders>
            <w:shd w:val="clear" w:color="000000" w:fill="D9D9D9"/>
            <w:noWrap/>
            <w:vAlign w:val="bottom"/>
            <w:hideMark/>
          </w:tcPr>
          <w:p w:rsidR="003D45EC" w:rsidRDefault="003D45EC" w:rsidP="003D45EC">
            <w:pPr>
              <w:spacing w:after="0" w:line="240" w:lineRule="auto"/>
              <w:jc w:val="center"/>
              <w:rPr>
                <w:b/>
                <w:bCs/>
                <w:color w:val="000000"/>
              </w:rPr>
            </w:pPr>
            <w:r>
              <w:rPr>
                <w:b/>
                <w:bCs/>
                <w:color w:val="000000"/>
              </w:rPr>
              <w:t>1 833</w:t>
            </w:r>
          </w:p>
        </w:tc>
        <w:tc>
          <w:tcPr>
            <w:tcW w:w="1560" w:type="dxa"/>
            <w:tcBorders>
              <w:top w:val="nil"/>
            </w:tcBorders>
            <w:shd w:val="clear" w:color="000000" w:fill="D9D9D9"/>
            <w:noWrap/>
            <w:vAlign w:val="bottom"/>
            <w:hideMark/>
          </w:tcPr>
          <w:p w:rsidR="003D45EC" w:rsidRDefault="003D45EC" w:rsidP="003D45EC">
            <w:pPr>
              <w:spacing w:after="0" w:line="240" w:lineRule="auto"/>
              <w:jc w:val="center"/>
              <w:rPr>
                <w:b/>
                <w:bCs/>
                <w:color w:val="000000"/>
              </w:rPr>
            </w:pPr>
            <w:r>
              <w:rPr>
                <w:b/>
                <w:bCs/>
                <w:color w:val="000000"/>
              </w:rPr>
              <w:t>2 806</w:t>
            </w:r>
          </w:p>
        </w:tc>
      </w:tr>
    </w:tbl>
    <w:p w:rsidR="006D3AB5" w:rsidRPr="00DB426E" w:rsidRDefault="006D3AB5" w:rsidP="006D3AB5">
      <w:pPr>
        <w:rPr>
          <w:i/>
          <w:lang w:eastAsia="lv-LV"/>
        </w:rPr>
      </w:pPr>
      <w:r w:rsidRPr="00DB426E">
        <w:rPr>
          <w:i/>
          <w:lang w:eastAsia="lv-LV"/>
        </w:rPr>
        <w:t>Avots: LR CSP datu bāze, ekspertu vērtējums</w:t>
      </w:r>
    </w:p>
    <w:p w:rsidR="002E3BF0" w:rsidRPr="00DB426E" w:rsidRDefault="002E3BF0" w:rsidP="002E3BF0">
      <w:r w:rsidRPr="009F22E7">
        <w:t>Pēc aptuvenām aplēsēm visos inovatīvo uzņēmumu segmentos uzņēmumu ienākuma nodokļa (UIN) ekonomija, ieviešot atvieglojumus (1. variants)</w:t>
      </w:r>
      <w:r w:rsidR="009F22E7">
        <w:t>,</w:t>
      </w:r>
      <w:r w:rsidRPr="009F22E7">
        <w:t xml:space="preserve"> varētu veidot 5.6 milj. latu. Zinātniskajos pētījumos nodarbināto darba algas nodokļa likmju samazinājums 25% apmērā (2.variants) ļauj samazināt VSAOI un IIN maksājumus par 1.8 milj. latu. Kombinēts atvieglojumu pielietojums (3.variants) samazina nodokļu maksājumus par 7</w:t>
      </w:r>
      <w:r w:rsidR="003D45EC" w:rsidRPr="003D45EC">
        <w:rPr>
          <w:lang w:val="en-US"/>
        </w:rPr>
        <w:t>.4</w:t>
      </w:r>
      <w:r w:rsidRPr="009F22E7">
        <w:t xml:space="preserve"> milj. latu.</w:t>
      </w:r>
    </w:p>
    <w:p w:rsidR="006D3AB5" w:rsidRDefault="006D3AB5" w:rsidP="006D3AB5">
      <w:r w:rsidRPr="00DB426E">
        <w:t>Salīdzinājumā ar budžeta nodokļu ieņēmumiem 2010.gadā, UIN, IIN, VSAOI, kas summā</w:t>
      </w:r>
      <w:r w:rsidR="009F22E7">
        <w:t>ri</w:t>
      </w:r>
      <w:r w:rsidRPr="00DB426E">
        <w:t xml:space="preserve"> veido </w:t>
      </w:r>
      <w:r w:rsidRPr="00DB426E">
        <w:rPr>
          <w:b/>
        </w:rPr>
        <w:t>1360 milj. latus</w:t>
      </w:r>
      <w:r w:rsidRPr="00DB426E">
        <w:t xml:space="preserve">, nodokļu samazinājums, ieviešot atvieglojumus, nepārsniegtu </w:t>
      </w:r>
      <w:r w:rsidRPr="00DB426E">
        <w:rPr>
          <w:b/>
        </w:rPr>
        <w:t>0.</w:t>
      </w:r>
      <w:r w:rsidR="002E3BF0">
        <w:rPr>
          <w:b/>
        </w:rPr>
        <w:t>6</w:t>
      </w:r>
      <w:r w:rsidRPr="00DB426E">
        <w:rPr>
          <w:b/>
        </w:rPr>
        <w:t>%</w:t>
      </w:r>
      <w:r w:rsidRPr="00DB426E">
        <w:t xml:space="preserve"> (</w:t>
      </w:r>
      <w:r w:rsidR="002E3BF0">
        <w:fldChar w:fldCharType="begin"/>
      </w:r>
      <w:r w:rsidR="002E3BF0">
        <w:instrText xml:space="preserve"> REF _Ref354744001 \h </w:instrText>
      </w:r>
      <w:r w:rsidR="002E3BF0">
        <w:fldChar w:fldCharType="separate"/>
      </w:r>
      <w:r w:rsidR="002E3BF0" w:rsidRPr="00DB426E">
        <w:t xml:space="preserve">Tabula </w:t>
      </w:r>
      <w:r w:rsidR="002E3BF0">
        <w:rPr>
          <w:noProof/>
        </w:rPr>
        <w:t>6</w:t>
      </w:r>
      <w:r w:rsidR="002E3BF0">
        <w:noBreakHyphen/>
      </w:r>
      <w:r w:rsidR="002E3BF0">
        <w:rPr>
          <w:noProof/>
        </w:rPr>
        <w:t>25</w:t>
      </w:r>
      <w:r w:rsidR="002E3BF0">
        <w:fldChar w:fldCharType="end"/>
      </w:r>
      <w:r w:rsidRPr="00DB426E">
        <w:t>).</w:t>
      </w:r>
    </w:p>
    <w:p w:rsidR="009F22E7" w:rsidRDefault="009F22E7" w:rsidP="006D3AB5"/>
    <w:p w:rsidR="009F22E7" w:rsidRDefault="009F22E7" w:rsidP="006D3AB5"/>
    <w:p w:rsidR="009F22E7" w:rsidRDefault="009F22E7" w:rsidP="006D3AB5"/>
    <w:p w:rsidR="009F22E7" w:rsidRPr="00DB426E" w:rsidRDefault="009F22E7" w:rsidP="006D3AB5"/>
    <w:p w:rsidR="006D3AB5" w:rsidRPr="00DB426E" w:rsidRDefault="006D3AB5" w:rsidP="006D3AB5">
      <w:pPr>
        <w:pStyle w:val="Caption"/>
        <w:jc w:val="left"/>
      </w:pPr>
      <w:bookmarkStart w:id="289" w:name="_Ref354744001"/>
      <w:r w:rsidRPr="00DB426E">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25</w:t>
      </w:r>
      <w:r w:rsidR="009B0188">
        <w:rPr>
          <w:noProof/>
        </w:rPr>
        <w:fldChar w:fldCharType="end"/>
      </w:r>
      <w:bookmarkEnd w:id="289"/>
      <w:r w:rsidRPr="00DB426E">
        <w:t>. Izvērtējums par budžeta nodokļu maksājumu samazinājumu atkarībā no atvieglojumu varianta</w:t>
      </w:r>
    </w:p>
    <w:tbl>
      <w:tblPr>
        <w:tblW w:w="8936" w:type="dxa"/>
        <w:tblInd w:w="10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33"/>
        <w:gridCol w:w="1984"/>
        <w:gridCol w:w="3119"/>
      </w:tblGrid>
      <w:tr w:rsidR="006D3AB5" w:rsidRPr="00DB426E" w:rsidTr="006D3AB5">
        <w:trPr>
          <w:trHeight w:val="300"/>
        </w:trPr>
        <w:tc>
          <w:tcPr>
            <w:tcW w:w="3833" w:type="dxa"/>
            <w:vMerge w:val="restart"/>
            <w:tcBorders>
              <w:top w:val="single" w:sz="4" w:space="0" w:color="auto"/>
              <w:bottom w:val="single" w:sz="4" w:space="0" w:color="auto"/>
              <w:right w:val="single" w:sz="4" w:space="0" w:color="auto"/>
            </w:tcBorders>
            <w:shd w:val="clear" w:color="000000" w:fill="D9D9D9"/>
            <w:noWrap/>
            <w:vAlign w:val="center"/>
          </w:tcPr>
          <w:p w:rsidR="006D3AB5" w:rsidRPr="00DB426E" w:rsidRDefault="006D3AB5" w:rsidP="009B5CBF">
            <w:pPr>
              <w:spacing w:after="60"/>
              <w:jc w:val="center"/>
              <w:rPr>
                <w:rFonts w:eastAsia="Times New Roman"/>
                <w:b/>
                <w:color w:val="000000"/>
                <w:lang w:eastAsia="lv-LV"/>
              </w:rPr>
            </w:pPr>
          </w:p>
        </w:tc>
        <w:tc>
          <w:tcPr>
            <w:tcW w:w="5103" w:type="dxa"/>
            <w:gridSpan w:val="2"/>
            <w:tcBorders>
              <w:top w:val="single" w:sz="4" w:space="0" w:color="auto"/>
              <w:left w:val="single" w:sz="4" w:space="0" w:color="auto"/>
              <w:bottom w:val="single" w:sz="4" w:space="0" w:color="auto"/>
            </w:tcBorders>
            <w:shd w:val="clear" w:color="auto" w:fill="D9D9D9"/>
            <w:noWrap/>
            <w:vAlign w:val="bottom"/>
          </w:tcPr>
          <w:p w:rsidR="006D3AB5" w:rsidRPr="00DB426E" w:rsidRDefault="006D3AB5" w:rsidP="009B5CBF">
            <w:pPr>
              <w:spacing w:after="60"/>
              <w:jc w:val="center"/>
              <w:rPr>
                <w:rFonts w:eastAsia="Times New Roman"/>
                <w:b/>
                <w:color w:val="000000"/>
                <w:lang w:eastAsia="lv-LV"/>
              </w:rPr>
            </w:pPr>
            <w:r w:rsidRPr="00DB426E">
              <w:rPr>
                <w:rFonts w:eastAsia="Times New Roman"/>
                <w:b/>
                <w:color w:val="000000"/>
                <w:lang w:eastAsia="lv-LV"/>
              </w:rPr>
              <w:t>Nodokļu maksājumu samazinājums</w:t>
            </w:r>
          </w:p>
        </w:tc>
      </w:tr>
      <w:tr w:rsidR="006D3AB5" w:rsidRPr="00DB426E" w:rsidTr="006D3AB5">
        <w:trPr>
          <w:trHeight w:val="300"/>
        </w:trPr>
        <w:tc>
          <w:tcPr>
            <w:tcW w:w="3833" w:type="dxa"/>
            <w:vMerge/>
            <w:tcBorders>
              <w:top w:val="single" w:sz="4" w:space="0" w:color="auto"/>
              <w:bottom w:val="double" w:sz="4" w:space="0" w:color="auto"/>
              <w:right w:val="single" w:sz="4" w:space="0" w:color="auto"/>
            </w:tcBorders>
            <w:shd w:val="clear" w:color="000000" w:fill="D9D9D9"/>
            <w:noWrap/>
            <w:vAlign w:val="bottom"/>
            <w:hideMark/>
          </w:tcPr>
          <w:p w:rsidR="006D3AB5" w:rsidRPr="00DB426E" w:rsidRDefault="006D3AB5" w:rsidP="009B5CBF">
            <w:pPr>
              <w:spacing w:after="60"/>
              <w:jc w:val="center"/>
              <w:rPr>
                <w:rFonts w:eastAsia="Times New Roman"/>
                <w:color w:val="000000"/>
                <w:lang w:eastAsia="lv-LV"/>
              </w:rPr>
            </w:pPr>
          </w:p>
        </w:tc>
        <w:tc>
          <w:tcPr>
            <w:tcW w:w="1984" w:type="dxa"/>
            <w:tcBorders>
              <w:top w:val="single" w:sz="4" w:space="0" w:color="auto"/>
              <w:left w:val="single" w:sz="4" w:space="0" w:color="auto"/>
              <w:bottom w:val="double" w:sz="4" w:space="0" w:color="auto"/>
              <w:right w:val="single" w:sz="4" w:space="0" w:color="auto"/>
            </w:tcBorders>
            <w:shd w:val="clear" w:color="auto" w:fill="D9D9D9"/>
            <w:noWrap/>
            <w:vAlign w:val="center"/>
            <w:hideMark/>
          </w:tcPr>
          <w:p w:rsidR="006D3AB5" w:rsidRPr="00DB426E" w:rsidRDefault="006D3AB5" w:rsidP="009B5CBF">
            <w:pPr>
              <w:spacing w:after="60"/>
              <w:jc w:val="center"/>
              <w:rPr>
                <w:rFonts w:eastAsia="Times New Roman"/>
                <w:b/>
                <w:color w:val="000000"/>
                <w:lang w:eastAsia="lv-LV"/>
              </w:rPr>
            </w:pPr>
            <w:r w:rsidRPr="00DB426E">
              <w:rPr>
                <w:rFonts w:eastAsia="Times New Roman"/>
                <w:b/>
                <w:color w:val="000000"/>
                <w:sz w:val="20"/>
                <w:lang w:eastAsia="lv-LV"/>
              </w:rPr>
              <w:t>Summa, tūkst. LVL</w:t>
            </w:r>
          </w:p>
        </w:tc>
        <w:tc>
          <w:tcPr>
            <w:tcW w:w="3119" w:type="dxa"/>
            <w:tcBorders>
              <w:top w:val="single" w:sz="4" w:space="0" w:color="auto"/>
              <w:left w:val="single" w:sz="4" w:space="0" w:color="auto"/>
              <w:bottom w:val="double" w:sz="4" w:space="0" w:color="auto"/>
            </w:tcBorders>
            <w:shd w:val="clear" w:color="auto" w:fill="D9D9D9"/>
            <w:noWrap/>
            <w:vAlign w:val="bottom"/>
            <w:hideMark/>
          </w:tcPr>
          <w:p w:rsidR="006D3AB5" w:rsidRPr="00DB426E" w:rsidRDefault="006D3AB5" w:rsidP="009B5CBF">
            <w:pPr>
              <w:spacing w:after="60"/>
              <w:jc w:val="center"/>
              <w:rPr>
                <w:rFonts w:eastAsia="Times New Roman"/>
                <w:b/>
                <w:color w:val="000000"/>
                <w:sz w:val="20"/>
                <w:szCs w:val="20"/>
                <w:lang w:eastAsia="lv-LV"/>
              </w:rPr>
            </w:pPr>
            <w:r w:rsidRPr="00DB426E">
              <w:rPr>
                <w:rFonts w:eastAsia="Times New Roman"/>
                <w:b/>
                <w:color w:val="000000"/>
                <w:sz w:val="20"/>
                <w:szCs w:val="20"/>
                <w:lang w:eastAsia="lv-LV"/>
              </w:rPr>
              <w:t>% no 2010.gada budžeta nodokļu ieņēmumiem (UIN, IIN,VSAOI)</w:t>
            </w:r>
          </w:p>
        </w:tc>
      </w:tr>
      <w:tr w:rsidR="003D45EC" w:rsidRPr="00DB426E" w:rsidTr="009225AB">
        <w:trPr>
          <w:trHeight w:val="300"/>
        </w:trPr>
        <w:tc>
          <w:tcPr>
            <w:tcW w:w="3833" w:type="dxa"/>
            <w:tcBorders>
              <w:top w:val="double" w:sz="4" w:space="0" w:color="auto"/>
              <w:right w:val="single" w:sz="4" w:space="0" w:color="auto"/>
            </w:tcBorders>
            <w:shd w:val="clear" w:color="auto" w:fill="auto"/>
            <w:vAlign w:val="center"/>
            <w:hideMark/>
          </w:tcPr>
          <w:p w:rsidR="003D45EC" w:rsidRPr="00DB426E" w:rsidRDefault="003D45EC" w:rsidP="008B4F44">
            <w:pPr>
              <w:spacing w:after="60" w:line="240" w:lineRule="auto"/>
              <w:rPr>
                <w:rFonts w:eastAsia="Times New Roman"/>
                <w:color w:val="000000"/>
                <w:lang w:eastAsia="lv-LV"/>
              </w:rPr>
            </w:pPr>
            <w:r w:rsidRPr="00DB426E">
              <w:rPr>
                <w:rFonts w:eastAsia="Times New Roman"/>
                <w:color w:val="000000"/>
                <w:lang w:eastAsia="lv-LV"/>
              </w:rPr>
              <w:t>UIN atvieglojumi (1.variants)</w:t>
            </w:r>
          </w:p>
        </w:tc>
        <w:tc>
          <w:tcPr>
            <w:tcW w:w="1984" w:type="dxa"/>
            <w:tcBorders>
              <w:top w:val="double" w:sz="4" w:space="0" w:color="auto"/>
              <w:left w:val="single" w:sz="4" w:space="0" w:color="auto"/>
              <w:right w:val="single" w:sz="4" w:space="0" w:color="auto"/>
            </w:tcBorders>
            <w:shd w:val="clear" w:color="auto" w:fill="auto"/>
            <w:noWrap/>
            <w:vAlign w:val="center"/>
            <w:hideMark/>
          </w:tcPr>
          <w:p w:rsidR="003D45EC" w:rsidRDefault="003D45EC" w:rsidP="003D45EC">
            <w:pPr>
              <w:spacing w:after="0" w:line="240" w:lineRule="auto"/>
              <w:jc w:val="center"/>
              <w:rPr>
                <w:color w:val="000000"/>
              </w:rPr>
            </w:pPr>
            <w:r>
              <w:rPr>
                <w:color w:val="000000"/>
              </w:rPr>
              <w:t>5 604</w:t>
            </w:r>
          </w:p>
        </w:tc>
        <w:tc>
          <w:tcPr>
            <w:tcW w:w="3119" w:type="dxa"/>
            <w:tcBorders>
              <w:top w:val="double" w:sz="4" w:space="0" w:color="auto"/>
              <w:left w:val="single" w:sz="4" w:space="0" w:color="auto"/>
            </w:tcBorders>
            <w:shd w:val="clear" w:color="auto" w:fill="auto"/>
            <w:noWrap/>
            <w:vAlign w:val="center"/>
            <w:hideMark/>
          </w:tcPr>
          <w:p w:rsidR="003D45EC" w:rsidRDefault="003D45EC" w:rsidP="003D45EC">
            <w:pPr>
              <w:spacing w:after="0" w:line="240" w:lineRule="auto"/>
              <w:jc w:val="center"/>
              <w:rPr>
                <w:color w:val="000000"/>
              </w:rPr>
            </w:pPr>
            <w:r>
              <w:rPr>
                <w:color w:val="000000"/>
              </w:rPr>
              <w:t>0.41%</w:t>
            </w:r>
          </w:p>
        </w:tc>
      </w:tr>
      <w:tr w:rsidR="003D45EC" w:rsidRPr="00DB426E" w:rsidTr="009225AB">
        <w:trPr>
          <w:trHeight w:val="300"/>
        </w:trPr>
        <w:tc>
          <w:tcPr>
            <w:tcW w:w="3833" w:type="dxa"/>
            <w:tcBorders>
              <w:right w:val="single" w:sz="4" w:space="0" w:color="auto"/>
            </w:tcBorders>
            <w:shd w:val="clear" w:color="auto" w:fill="auto"/>
            <w:noWrap/>
            <w:vAlign w:val="center"/>
            <w:hideMark/>
          </w:tcPr>
          <w:p w:rsidR="003D45EC" w:rsidRPr="00DB426E" w:rsidRDefault="003D45EC" w:rsidP="008B4F44">
            <w:pPr>
              <w:spacing w:after="60" w:line="240" w:lineRule="auto"/>
              <w:rPr>
                <w:rFonts w:eastAsia="Times New Roman"/>
                <w:color w:val="000000"/>
                <w:lang w:eastAsia="lv-LV"/>
              </w:rPr>
            </w:pPr>
            <w:r w:rsidRPr="00DB426E">
              <w:rPr>
                <w:rFonts w:eastAsia="Times New Roman"/>
                <w:color w:val="000000"/>
                <w:lang w:eastAsia="lv-LV"/>
              </w:rPr>
              <w:t>VSAOI, IIN atvieglojumi (2.variants)</w:t>
            </w:r>
          </w:p>
        </w:tc>
        <w:tc>
          <w:tcPr>
            <w:tcW w:w="1984" w:type="dxa"/>
            <w:tcBorders>
              <w:left w:val="single" w:sz="4" w:space="0" w:color="auto"/>
              <w:right w:val="single" w:sz="4" w:space="0" w:color="auto"/>
            </w:tcBorders>
            <w:shd w:val="clear" w:color="auto" w:fill="auto"/>
            <w:noWrap/>
            <w:vAlign w:val="center"/>
            <w:hideMark/>
          </w:tcPr>
          <w:p w:rsidR="003D45EC" w:rsidRDefault="003D45EC" w:rsidP="003D45EC">
            <w:pPr>
              <w:spacing w:after="0" w:line="240" w:lineRule="auto"/>
              <w:jc w:val="center"/>
              <w:rPr>
                <w:color w:val="000000"/>
              </w:rPr>
            </w:pPr>
            <w:r>
              <w:rPr>
                <w:color w:val="000000"/>
              </w:rPr>
              <w:t>1 846</w:t>
            </w:r>
          </w:p>
        </w:tc>
        <w:tc>
          <w:tcPr>
            <w:tcW w:w="3119" w:type="dxa"/>
            <w:tcBorders>
              <w:left w:val="single" w:sz="4" w:space="0" w:color="auto"/>
            </w:tcBorders>
            <w:shd w:val="clear" w:color="auto" w:fill="auto"/>
            <w:noWrap/>
            <w:vAlign w:val="center"/>
            <w:hideMark/>
          </w:tcPr>
          <w:p w:rsidR="003D45EC" w:rsidRDefault="003D45EC" w:rsidP="003D45EC">
            <w:pPr>
              <w:spacing w:after="0" w:line="240" w:lineRule="auto"/>
              <w:jc w:val="center"/>
              <w:rPr>
                <w:color w:val="000000"/>
              </w:rPr>
            </w:pPr>
            <w:r>
              <w:rPr>
                <w:color w:val="000000"/>
              </w:rPr>
              <w:t>0.14%</w:t>
            </w:r>
          </w:p>
        </w:tc>
      </w:tr>
      <w:tr w:rsidR="003D45EC" w:rsidRPr="00DB426E" w:rsidTr="009225AB">
        <w:trPr>
          <w:trHeight w:val="300"/>
        </w:trPr>
        <w:tc>
          <w:tcPr>
            <w:tcW w:w="3833" w:type="dxa"/>
            <w:tcBorders>
              <w:bottom w:val="single" w:sz="4" w:space="0" w:color="auto"/>
              <w:right w:val="single" w:sz="4" w:space="0" w:color="auto"/>
            </w:tcBorders>
            <w:shd w:val="clear" w:color="auto" w:fill="auto"/>
            <w:noWrap/>
            <w:vAlign w:val="center"/>
            <w:hideMark/>
          </w:tcPr>
          <w:p w:rsidR="003D45EC" w:rsidRPr="00DB426E" w:rsidRDefault="003D45EC" w:rsidP="008B4F44">
            <w:pPr>
              <w:spacing w:after="60" w:line="240" w:lineRule="auto"/>
              <w:rPr>
                <w:rFonts w:eastAsia="Times New Roman"/>
                <w:color w:val="000000"/>
                <w:lang w:eastAsia="lv-LV"/>
              </w:rPr>
            </w:pPr>
            <w:r w:rsidRPr="00DB426E">
              <w:rPr>
                <w:rFonts w:eastAsia="Times New Roman"/>
                <w:color w:val="000000"/>
                <w:lang w:eastAsia="lv-LV"/>
              </w:rPr>
              <w:t>UIN, VSAOI, IIN atvieglojumi (3.variants)</w:t>
            </w:r>
          </w:p>
        </w:tc>
        <w:tc>
          <w:tcPr>
            <w:tcW w:w="1984" w:type="dxa"/>
            <w:tcBorders>
              <w:left w:val="single" w:sz="4" w:space="0" w:color="auto"/>
              <w:bottom w:val="single" w:sz="4" w:space="0" w:color="auto"/>
              <w:right w:val="single" w:sz="4" w:space="0" w:color="auto"/>
            </w:tcBorders>
            <w:shd w:val="clear" w:color="auto" w:fill="auto"/>
            <w:noWrap/>
            <w:vAlign w:val="center"/>
            <w:hideMark/>
          </w:tcPr>
          <w:p w:rsidR="003D45EC" w:rsidRDefault="003D45EC" w:rsidP="003D45EC">
            <w:pPr>
              <w:spacing w:after="0" w:line="240" w:lineRule="auto"/>
              <w:jc w:val="center"/>
              <w:rPr>
                <w:color w:val="000000"/>
              </w:rPr>
            </w:pPr>
            <w:r>
              <w:rPr>
                <w:color w:val="000000"/>
              </w:rPr>
              <w:t>7 355</w:t>
            </w:r>
          </w:p>
        </w:tc>
        <w:tc>
          <w:tcPr>
            <w:tcW w:w="3119" w:type="dxa"/>
            <w:tcBorders>
              <w:left w:val="single" w:sz="4" w:space="0" w:color="auto"/>
              <w:bottom w:val="single" w:sz="4" w:space="0" w:color="auto"/>
            </w:tcBorders>
            <w:shd w:val="clear" w:color="auto" w:fill="auto"/>
            <w:noWrap/>
            <w:vAlign w:val="center"/>
            <w:hideMark/>
          </w:tcPr>
          <w:p w:rsidR="003D45EC" w:rsidRDefault="003D45EC" w:rsidP="003D45EC">
            <w:pPr>
              <w:spacing w:after="0" w:line="240" w:lineRule="auto"/>
              <w:jc w:val="center"/>
              <w:rPr>
                <w:color w:val="000000"/>
              </w:rPr>
            </w:pPr>
            <w:r>
              <w:rPr>
                <w:color w:val="000000"/>
              </w:rPr>
              <w:t>0.54%</w:t>
            </w:r>
          </w:p>
        </w:tc>
      </w:tr>
    </w:tbl>
    <w:p w:rsidR="009F22E7" w:rsidRDefault="006D3AB5" w:rsidP="008B4F44">
      <w:pPr>
        <w:rPr>
          <w:i/>
          <w:lang w:eastAsia="lv-LV"/>
        </w:rPr>
      </w:pPr>
      <w:r w:rsidRPr="00DB426E">
        <w:rPr>
          <w:i/>
          <w:lang w:eastAsia="lv-LV"/>
        </w:rPr>
        <w:t xml:space="preserve">Avots: </w:t>
      </w:r>
      <w:r w:rsidR="009F22E7">
        <w:rPr>
          <w:i/>
          <w:lang w:eastAsia="lv-LV"/>
        </w:rPr>
        <w:t>Valsts kase, ekspertu vērtējums</w:t>
      </w:r>
    </w:p>
    <w:p w:rsidR="009F22E7" w:rsidRPr="00933009" w:rsidRDefault="009F22E7" w:rsidP="009F22E7">
      <w:pPr>
        <w:rPr>
          <w:lang w:eastAsia="lv-LV"/>
        </w:rPr>
      </w:pPr>
      <w:r>
        <w:rPr>
          <w:lang w:eastAsia="lv-LV"/>
        </w:rPr>
        <w:t xml:space="preserve">Tā kā pieejamā informācija ir nepilnīga (nav faktisko datu par inovatīviem uzņēmumiem par 2011. un </w:t>
      </w:r>
      <w:r w:rsidRPr="00933009">
        <w:rPr>
          <w:lang w:eastAsia="lv-LV"/>
        </w:rPr>
        <w:t xml:space="preserve">2012.gadu), prognožu aprēķinus lielā mērā </w:t>
      </w:r>
      <w:r w:rsidR="00A94A8A" w:rsidRPr="00933009">
        <w:rPr>
          <w:lang w:eastAsia="lv-LV"/>
        </w:rPr>
        <w:t xml:space="preserve">nosaka ekspertu vērtējums. </w:t>
      </w:r>
    </w:p>
    <w:p w:rsidR="00A94A8A" w:rsidRPr="00933009" w:rsidRDefault="00A94A8A" w:rsidP="008B4F44">
      <w:r w:rsidRPr="00933009">
        <w:t xml:space="preserve">Ņemot vērā Latvijas ekonomiskās attīstības stabilizēšanos pēdējo gadu laikā, kā izejas dati prognožu aprēķiniem no 2014. līdz 2018.gadam izmantoti šādi pieņēmumi: </w:t>
      </w:r>
    </w:p>
    <w:p w:rsidR="002A07A8" w:rsidRPr="00933009" w:rsidRDefault="00A94A8A" w:rsidP="008B4F44">
      <w:pPr>
        <w:pStyle w:val="ListParagraph"/>
        <w:numPr>
          <w:ilvl w:val="0"/>
          <w:numId w:val="117"/>
        </w:numPr>
        <w:rPr>
          <w:lang w:val="lv-LV" w:eastAsia="lv-LV"/>
        </w:rPr>
      </w:pPr>
      <w:r w:rsidRPr="00933009">
        <w:rPr>
          <w:lang w:val="lv-LV" w:eastAsia="lv-LV"/>
        </w:rPr>
        <w:t xml:space="preserve">Izdevumi zinātniskajām izstrādnēm veido 0.48% no </w:t>
      </w:r>
      <w:r w:rsidR="002A07A8" w:rsidRPr="00933009">
        <w:rPr>
          <w:lang w:val="lv-LV" w:eastAsia="lv-LV"/>
        </w:rPr>
        <w:t xml:space="preserve">NA maziem uzņēmumiem, 0.12% no NA vidējiem uzņēmumiem, 0.38% no NA lieliem uzņēmumiem, </w:t>
      </w:r>
      <w:r w:rsidRPr="00933009">
        <w:rPr>
          <w:lang w:val="lv-LV" w:eastAsia="lv-LV"/>
        </w:rPr>
        <w:t>kas divkārt pārsniedz analoģiskus rādītājus 2010.gadā.</w:t>
      </w:r>
    </w:p>
    <w:p w:rsidR="002A07A8" w:rsidRPr="00933009" w:rsidRDefault="00A94A8A" w:rsidP="008B4F44">
      <w:pPr>
        <w:pStyle w:val="ListParagraph"/>
        <w:numPr>
          <w:ilvl w:val="0"/>
          <w:numId w:val="117"/>
        </w:numPr>
        <w:rPr>
          <w:lang w:val="lv-LV" w:eastAsia="lv-LV"/>
        </w:rPr>
      </w:pPr>
      <w:r w:rsidRPr="00933009">
        <w:rPr>
          <w:lang w:val="lv-LV" w:eastAsia="lv-LV"/>
        </w:rPr>
        <w:t>Pēc nodokļu atvieglojumu ieviešanas inovatīvo uzņēmumu skaits katrā segmentā palielinās vidēji par 1-2% gadā.</w:t>
      </w:r>
    </w:p>
    <w:p w:rsidR="008B4F44" w:rsidRPr="00933009" w:rsidRDefault="00A94A8A" w:rsidP="008B4F44">
      <w:pPr>
        <w:pStyle w:val="ListParagraph"/>
        <w:numPr>
          <w:ilvl w:val="0"/>
          <w:numId w:val="117"/>
        </w:numPr>
        <w:rPr>
          <w:lang w:val="lv-LV" w:eastAsia="lv-LV"/>
        </w:rPr>
      </w:pPr>
      <w:r w:rsidRPr="00933009">
        <w:rPr>
          <w:lang w:val="lv-LV" w:eastAsia="lv-LV"/>
        </w:rPr>
        <w:t xml:space="preserve">Vidējais apgrozījums katrā segmentā prognožu perioda sākumā, kā arī izmaksu attiecība zinātnisko izstrādņu veikšanai un ieviešanai saglabājas nemainīgas.  </w:t>
      </w:r>
    </w:p>
    <w:p w:rsidR="00A94A8A" w:rsidRPr="00933009" w:rsidRDefault="00A94A8A" w:rsidP="00AD6E4F">
      <w:pPr>
        <w:spacing w:before="120" w:after="0"/>
        <w:rPr>
          <w:lang w:eastAsia="lv-LV"/>
        </w:rPr>
      </w:pPr>
      <w:r w:rsidRPr="00933009">
        <w:rPr>
          <w:lang w:eastAsia="lv-LV"/>
        </w:rPr>
        <w:t xml:space="preserve">Atbilstoši veiktajiem aprēķiniem kopējais UIN samazinājums pēc atvieglojumu ieviešanas (1.variants) var veidot, sākot no 10 milj. latu prognožu perioda sākumā līdz 14 milj. </w:t>
      </w:r>
      <w:r w:rsidR="00265462" w:rsidRPr="00933009">
        <w:rPr>
          <w:lang w:eastAsia="lv-LV"/>
        </w:rPr>
        <w:t xml:space="preserve">latu piecu gadu perioda beigās. </w:t>
      </w:r>
    </w:p>
    <w:p w:rsidR="002A07A8" w:rsidRPr="00CC3ACB" w:rsidRDefault="000D5B2B" w:rsidP="000D5B2B">
      <w:pPr>
        <w:pStyle w:val="Caption"/>
        <w:jc w:val="left"/>
        <w:rPr>
          <w:lang w:val="en-US" w:eastAsia="lv-LV"/>
        </w:rPr>
      </w:pPr>
      <w:r>
        <w:t xml:space="preserve">Tabula </w:t>
      </w:r>
      <w:r w:rsidR="009B0188">
        <w:fldChar w:fldCharType="begin"/>
      </w:r>
      <w:r w:rsidR="009B0188">
        <w:instrText xml:space="preserve"> STYLEREF</w:instrText>
      </w:r>
      <w:r w:rsidR="009B0188">
        <w:instrText xml:space="preserve">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26</w:t>
      </w:r>
      <w:r w:rsidR="009B0188">
        <w:rPr>
          <w:noProof/>
        </w:rPr>
        <w:fldChar w:fldCharType="end"/>
      </w:r>
      <w:r w:rsidRPr="000D5B2B">
        <w:rPr>
          <w:lang w:val="en-US"/>
        </w:rPr>
        <w:t>.</w:t>
      </w:r>
      <w:r w:rsidR="00AD6E4F" w:rsidRPr="000D5B2B">
        <w:rPr>
          <w:lang w:val="en-US" w:eastAsia="lv-LV"/>
        </w:rPr>
        <w:t xml:space="preserve">  </w:t>
      </w:r>
      <w:proofErr w:type="gramStart"/>
      <w:r>
        <w:rPr>
          <w:lang w:val="en-US" w:eastAsia="lv-LV"/>
        </w:rPr>
        <w:t xml:space="preserve">UIN </w:t>
      </w:r>
      <w:r w:rsidRPr="000D5B2B">
        <w:rPr>
          <w:lang w:eastAsia="lv-LV"/>
        </w:rPr>
        <w:t>samazinājuma</w:t>
      </w:r>
      <w:r>
        <w:rPr>
          <w:lang w:eastAsia="lv-LV"/>
        </w:rPr>
        <w:t xml:space="preserve"> prognoze, 201</w:t>
      </w:r>
      <w:r w:rsidR="00CC3ACB">
        <w:rPr>
          <w:lang w:eastAsia="lv-LV"/>
        </w:rPr>
        <w:t>4</w:t>
      </w:r>
      <w:r>
        <w:rPr>
          <w:lang w:eastAsia="lv-LV"/>
        </w:rPr>
        <w:t>.-201</w:t>
      </w:r>
      <w:r w:rsidR="009B0188" w:rsidRPr="009B0188">
        <w:rPr>
          <w:lang w:val="en-US" w:eastAsia="lv-LV"/>
        </w:rPr>
        <w:t>8</w:t>
      </w:r>
      <w:r>
        <w:rPr>
          <w:lang w:eastAsia="lv-LV"/>
        </w:rPr>
        <w:t>.g., tūkst.</w:t>
      </w:r>
      <w:proofErr w:type="gramEnd"/>
      <w:r>
        <w:rPr>
          <w:lang w:eastAsia="lv-LV"/>
        </w:rPr>
        <w:t xml:space="preserve"> LVL (1.variants)</w:t>
      </w:r>
      <w:r w:rsidRPr="000D5B2B">
        <w:rPr>
          <w:lang w:eastAsia="lv-LV"/>
        </w:rPr>
        <w:t xml:space="preserve"> </w:t>
      </w:r>
    </w:p>
    <w:tbl>
      <w:tblPr>
        <w:tblStyle w:val="tabulatekstam"/>
        <w:tblW w:w="9019" w:type="dxa"/>
        <w:tblLook w:val="04A0" w:firstRow="1" w:lastRow="0" w:firstColumn="1" w:lastColumn="0" w:noHBand="0" w:noVBand="1"/>
      </w:tblPr>
      <w:tblGrid>
        <w:gridCol w:w="4219"/>
        <w:gridCol w:w="960"/>
        <w:gridCol w:w="960"/>
        <w:gridCol w:w="960"/>
        <w:gridCol w:w="960"/>
        <w:gridCol w:w="960"/>
      </w:tblGrid>
      <w:tr w:rsidR="00CC3ACB" w:rsidRPr="00CC3ACB" w:rsidTr="00BE6FC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i/>
                <w:iCs/>
                <w:color w:val="FF0000"/>
                <w:lang w:eastAsia="lv-LV"/>
              </w:rPr>
            </w:pPr>
            <w:r w:rsidRPr="00CC3ACB">
              <w:rPr>
                <w:rFonts w:asciiTheme="minorHAnsi" w:hAnsiTheme="minorHAnsi"/>
                <w:i/>
                <w:iCs/>
                <w:color w:val="FF0000"/>
                <w:lang w:eastAsia="lv-LV"/>
              </w:rPr>
              <w:t> </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2014</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2015</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2016</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2017</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2018</w:t>
            </w:r>
          </w:p>
        </w:tc>
      </w:tr>
      <w:tr w:rsidR="00CC3ACB" w:rsidRPr="00CC3ACB" w:rsidTr="00BE6F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color w:val="000000"/>
                <w:lang w:eastAsia="lv-LV"/>
              </w:rPr>
            </w:pPr>
            <w:r w:rsidRPr="00CC3ACB">
              <w:rPr>
                <w:rFonts w:asciiTheme="minorHAnsi" w:hAnsiTheme="minorHAnsi"/>
                <w:color w:val="000000"/>
                <w:lang w:eastAsia="lv-LV"/>
              </w:rPr>
              <w:t>Mazie uzņēmumi</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-3 722</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-4 713</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-4 998</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-5 300</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-5 621</w:t>
            </w:r>
          </w:p>
        </w:tc>
      </w:tr>
      <w:tr w:rsidR="00CC3ACB" w:rsidRPr="00CC3ACB" w:rsidTr="00BE6FC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color w:val="000000"/>
                <w:lang w:eastAsia="lv-LV"/>
              </w:rPr>
            </w:pPr>
            <w:r w:rsidRPr="00CC3ACB">
              <w:rPr>
                <w:rFonts w:asciiTheme="minorHAnsi" w:hAnsiTheme="minorHAnsi"/>
                <w:color w:val="000000"/>
                <w:lang w:eastAsia="lv-LV"/>
              </w:rPr>
              <w:t>Vidējie uzņēmumi</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-2 613</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-2 784</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-2 967</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-3 163</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-3 371</w:t>
            </w:r>
          </w:p>
        </w:tc>
      </w:tr>
      <w:tr w:rsidR="00CC3ACB" w:rsidRPr="00CC3ACB" w:rsidTr="00BE6F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color w:val="000000"/>
                <w:lang w:eastAsia="lv-LV"/>
              </w:rPr>
            </w:pPr>
            <w:r w:rsidRPr="00CC3ACB">
              <w:rPr>
                <w:rFonts w:asciiTheme="minorHAnsi" w:hAnsiTheme="minorHAnsi"/>
                <w:color w:val="000000"/>
                <w:lang w:eastAsia="lv-LV"/>
              </w:rPr>
              <w:t>Lielie uzņēmumi</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-4 251</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-4 445</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-4 647</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-4 859</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-5 080</w:t>
            </w:r>
          </w:p>
        </w:tc>
      </w:tr>
      <w:tr w:rsidR="00CC3ACB" w:rsidRPr="00CC3ACB" w:rsidTr="00BE6FC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b/>
                <w:bCs/>
                <w:color w:val="000000"/>
                <w:lang w:eastAsia="lv-LV"/>
              </w:rPr>
            </w:pPr>
            <w:r w:rsidRPr="00CC3ACB">
              <w:rPr>
                <w:rFonts w:asciiTheme="minorHAnsi" w:hAnsiTheme="minorHAnsi"/>
                <w:b/>
                <w:bCs/>
                <w:color w:val="000000"/>
                <w:lang w:eastAsia="lv-LV"/>
              </w:rPr>
              <w:t>UIN samazinājums (1.variants)</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-10 586</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-11 942</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-12 613</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-13 321</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-14 071</w:t>
            </w:r>
          </w:p>
        </w:tc>
      </w:tr>
    </w:tbl>
    <w:p w:rsidR="00D40648" w:rsidRPr="00933009" w:rsidRDefault="00D40648" w:rsidP="00D40648">
      <w:pPr>
        <w:rPr>
          <w:i/>
          <w:lang w:eastAsia="lv-LV"/>
        </w:rPr>
      </w:pPr>
      <w:r w:rsidRPr="00933009">
        <w:rPr>
          <w:i/>
          <w:lang w:eastAsia="lv-LV"/>
        </w:rPr>
        <w:t>Avots: Ekspertu vērtējums</w:t>
      </w:r>
      <w:bookmarkStart w:id="290" w:name="_GoBack"/>
      <w:bookmarkEnd w:id="290"/>
    </w:p>
    <w:p w:rsidR="00265462" w:rsidRDefault="00265462" w:rsidP="00CC3ACB">
      <w:pPr>
        <w:rPr>
          <w:lang w:eastAsia="lv-LV"/>
        </w:rPr>
      </w:pPr>
      <w:r w:rsidRPr="00933009">
        <w:rPr>
          <w:lang w:eastAsia="lv-LV"/>
        </w:rPr>
        <w:t xml:space="preserve">Atvieglojumu ieviešana zinātniskajos pētījumos nodarbināto darba algai (2.variants) nosaka budžeta nodokļu ieņēmumu samazinājumu 5 milj. latu </w:t>
      </w:r>
      <w:r w:rsidR="00933009" w:rsidRPr="00933009">
        <w:rPr>
          <w:lang w:eastAsia="lv-LV"/>
        </w:rPr>
        <w:t xml:space="preserve">robežās </w:t>
      </w:r>
      <w:r w:rsidRPr="00933009">
        <w:rPr>
          <w:lang w:eastAsia="lv-LV"/>
        </w:rPr>
        <w:t>visā pro</w:t>
      </w:r>
      <w:r w:rsidR="00933009">
        <w:rPr>
          <w:lang w:eastAsia="lv-LV"/>
        </w:rPr>
        <w:t>gnožu periodā.</w:t>
      </w:r>
    </w:p>
    <w:p w:rsidR="00933009" w:rsidRDefault="00933009" w:rsidP="00CC3ACB">
      <w:pPr>
        <w:rPr>
          <w:lang w:eastAsia="lv-LV"/>
        </w:rPr>
      </w:pPr>
    </w:p>
    <w:p w:rsidR="00933009" w:rsidRDefault="00933009" w:rsidP="00CC3ACB">
      <w:pPr>
        <w:rPr>
          <w:lang w:eastAsia="lv-LV"/>
        </w:rPr>
      </w:pPr>
    </w:p>
    <w:p w:rsidR="00933009" w:rsidRDefault="00933009" w:rsidP="00CC3ACB">
      <w:pPr>
        <w:rPr>
          <w:lang w:eastAsia="lv-LV"/>
        </w:rPr>
      </w:pPr>
    </w:p>
    <w:p w:rsidR="00933009" w:rsidRPr="00933009" w:rsidRDefault="00933009" w:rsidP="00CC3ACB">
      <w:pPr>
        <w:rPr>
          <w:lang w:eastAsia="lv-LV"/>
        </w:rPr>
      </w:pPr>
    </w:p>
    <w:p w:rsidR="00CC3ACB" w:rsidRPr="00CC3ACB" w:rsidRDefault="00CC3ACB" w:rsidP="00CC3ACB">
      <w:pPr>
        <w:pStyle w:val="Caption"/>
        <w:jc w:val="left"/>
        <w:rPr>
          <w:lang w:val="en-US" w:eastAsia="lv-LV"/>
        </w:rPr>
      </w:pPr>
      <w:r>
        <w:t xml:space="preserve">Tabula </w:t>
      </w:r>
      <w:r w:rsidR="009B0188">
        <w:fldChar w:fldCharType="begin"/>
      </w:r>
      <w:r w:rsidR="009B0188">
        <w:instrText xml:space="preserve"> STYLEREF 1 \s </w:instrText>
      </w:r>
      <w:r w:rsidR="009B0188">
        <w:fldChar w:fldCharType="separate"/>
      </w:r>
      <w:r w:rsidR="00BE6FC8">
        <w:rPr>
          <w:noProof/>
        </w:rPr>
        <w:t>6</w:t>
      </w:r>
      <w:r w:rsidR="009B0188">
        <w:rPr>
          <w:noProof/>
        </w:rPr>
        <w:fldChar w:fldCharType="end"/>
      </w:r>
      <w:r w:rsidR="00BE6FC8">
        <w:noBreakHyphen/>
      </w:r>
      <w:r w:rsidR="009B0188">
        <w:fldChar w:fldCharType="begin"/>
      </w:r>
      <w:r w:rsidR="009B0188">
        <w:instrText xml:space="preserve"> SEQ Tabula \* ARABIC \s 1 </w:instrText>
      </w:r>
      <w:r w:rsidR="009B0188">
        <w:fldChar w:fldCharType="separate"/>
      </w:r>
      <w:r w:rsidR="00BE6FC8">
        <w:rPr>
          <w:noProof/>
        </w:rPr>
        <w:t>27</w:t>
      </w:r>
      <w:r w:rsidR="009B0188">
        <w:rPr>
          <w:noProof/>
        </w:rPr>
        <w:fldChar w:fldCharType="end"/>
      </w:r>
      <w:r w:rsidRPr="00BE6FC8">
        <w:rPr>
          <w:lang w:val="en-US"/>
        </w:rPr>
        <w:t xml:space="preserve">. </w:t>
      </w:r>
      <w:r w:rsidRPr="00CC3ACB">
        <w:t>VSAOI un IIN samazinājuma prognoze</w:t>
      </w:r>
      <w:r w:rsidR="00BE6FC8">
        <w:t>,</w:t>
      </w:r>
      <w:r w:rsidRPr="00BE6FC8">
        <w:rPr>
          <w:lang w:val="en-US"/>
        </w:rPr>
        <w:t xml:space="preserve"> </w:t>
      </w:r>
      <w:r>
        <w:rPr>
          <w:lang w:eastAsia="lv-LV"/>
        </w:rPr>
        <w:t>2014.-201</w:t>
      </w:r>
      <w:r w:rsidR="00BE6FC8">
        <w:rPr>
          <w:lang w:eastAsia="lv-LV"/>
        </w:rPr>
        <w:t>8</w:t>
      </w:r>
      <w:r>
        <w:rPr>
          <w:lang w:eastAsia="lv-LV"/>
        </w:rPr>
        <w:t>.g., tūkst. LVL (2.variants)</w:t>
      </w:r>
    </w:p>
    <w:tbl>
      <w:tblPr>
        <w:tblStyle w:val="tabulatekstam"/>
        <w:tblW w:w="9019" w:type="dxa"/>
        <w:tblLook w:val="04A0" w:firstRow="1" w:lastRow="0" w:firstColumn="1" w:lastColumn="0" w:noHBand="0" w:noVBand="1"/>
      </w:tblPr>
      <w:tblGrid>
        <w:gridCol w:w="4219"/>
        <w:gridCol w:w="960"/>
        <w:gridCol w:w="960"/>
        <w:gridCol w:w="960"/>
        <w:gridCol w:w="960"/>
        <w:gridCol w:w="960"/>
      </w:tblGrid>
      <w:tr w:rsidR="00CC3ACB" w:rsidRPr="00CC3ACB" w:rsidTr="00BE6FC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i/>
                <w:iCs/>
                <w:color w:val="FF0000"/>
                <w:lang w:eastAsia="lv-LV"/>
              </w:rPr>
            </w:pPr>
            <w:r w:rsidRPr="00CC3ACB">
              <w:rPr>
                <w:rFonts w:asciiTheme="minorHAnsi" w:hAnsiTheme="minorHAnsi"/>
                <w:i/>
                <w:iCs/>
                <w:color w:val="FF0000"/>
                <w:lang w:eastAsia="lv-LV"/>
              </w:rPr>
              <w:t> </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2014</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2015</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2016</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2017</w:t>
            </w:r>
          </w:p>
        </w:tc>
        <w:tc>
          <w:tcPr>
            <w:tcW w:w="960" w:type="dxa"/>
            <w:noWrap/>
            <w:hideMark/>
          </w:tcPr>
          <w:p w:rsidR="00CC3ACB" w:rsidRPr="00CC3ACB" w:rsidRDefault="00CC3ACB" w:rsidP="00CC3A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CC3ACB">
              <w:rPr>
                <w:rFonts w:asciiTheme="minorHAnsi" w:hAnsiTheme="minorHAnsi"/>
                <w:bCs/>
                <w:color w:val="000000"/>
                <w:lang w:eastAsia="lv-LV"/>
              </w:rPr>
              <w:t>2018</w:t>
            </w:r>
          </w:p>
        </w:tc>
      </w:tr>
      <w:tr w:rsidR="00CC3ACB" w:rsidRPr="00CC3ACB" w:rsidTr="00BE6F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color w:val="000000"/>
                <w:lang w:eastAsia="lv-LV"/>
              </w:rPr>
            </w:pPr>
            <w:r w:rsidRPr="00CC3ACB">
              <w:rPr>
                <w:rFonts w:asciiTheme="minorHAnsi" w:hAnsiTheme="minorHAnsi"/>
                <w:color w:val="000000"/>
                <w:lang w:eastAsia="lv-LV"/>
              </w:rPr>
              <w:t>Mazie</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-1300</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-1379</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-1463</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-1551</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-1645</w:t>
            </w:r>
          </w:p>
        </w:tc>
      </w:tr>
      <w:tr w:rsidR="00CC3ACB" w:rsidRPr="00CC3ACB" w:rsidTr="00BE6FC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color w:val="000000"/>
                <w:lang w:eastAsia="lv-LV"/>
              </w:rPr>
            </w:pPr>
            <w:r w:rsidRPr="00CC3ACB">
              <w:rPr>
                <w:rFonts w:asciiTheme="minorHAnsi" w:hAnsiTheme="minorHAnsi"/>
                <w:color w:val="000000"/>
                <w:lang w:eastAsia="lv-LV"/>
              </w:rPr>
              <w:t>Vidējie</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-765</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-815</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-868</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-925</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-986</w:t>
            </w:r>
          </w:p>
        </w:tc>
      </w:tr>
      <w:tr w:rsidR="00CC3ACB" w:rsidRPr="00CC3ACB" w:rsidTr="00BE6F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color w:val="000000"/>
                <w:lang w:eastAsia="lv-LV"/>
              </w:rPr>
            </w:pPr>
            <w:r w:rsidRPr="00CC3ACB">
              <w:rPr>
                <w:rFonts w:asciiTheme="minorHAnsi" w:hAnsiTheme="minorHAnsi"/>
                <w:color w:val="000000"/>
                <w:lang w:eastAsia="lv-LV"/>
              </w:rPr>
              <w:t>Lielie</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-1659</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-1734</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-1813</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-1896</w:t>
            </w:r>
          </w:p>
        </w:tc>
        <w:tc>
          <w:tcPr>
            <w:tcW w:w="960" w:type="dxa"/>
            <w:noWrap/>
            <w:hideMark/>
          </w:tcPr>
          <w:p w:rsidR="00CC3ACB" w:rsidRPr="00CC3ACB" w:rsidRDefault="00CC3ACB" w:rsidP="00CC3A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CC3ACB">
              <w:rPr>
                <w:rFonts w:asciiTheme="minorHAnsi" w:hAnsiTheme="minorHAnsi"/>
                <w:color w:val="000000"/>
                <w:lang w:eastAsia="lv-LV"/>
              </w:rPr>
              <w:t>-1982</w:t>
            </w:r>
          </w:p>
        </w:tc>
      </w:tr>
      <w:tr w:rsidR="00CC3ACB" w:rsidRPr="00CC3ACB" w:rsidTr="00BE6FC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CC3ACB" w:rsidRPr="00CC3ACB" w:rsidRDefault="00CC3ACB" w:rsidP="00CC3ACB">
            <w:pPr>
              <w:spacing w:after="0" w:line="240" w:lineRule="auto"/>
              <w:jc w:val="left"/>
              <w:rPr>
                <w:rFonts w:asciiTheme="minorHAnsi" w:hAnsiTheme="minorHAnsi"/>
                <w:b/>
                <w:bCs/>
                <w:color w:val="000000"/>
                <w:lang w:eastAsia="lv-LV"/>
              </w:rPr>
            </w:pPr>
            <w:r w:rsidRPr="00CC3ACB">
              <w:rPr>
                <w:rFonts w:asciiTheme="minorHAnsi" w:hAnsiTheme="minorHAnsi"/>
                <w:b/>
                <w:bCs/>
                <w:color w:val="000000"/>
                <w:lang w:eastAsia="lv-LV"/>
              </w:rPr>
              <w:t>VSAOI, IIN samazinājums (2.variants)</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-3 724</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-3 928</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-4 144</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-4 372</w:t>
            </w:r>
          </w:p>
        </w:tc>
        <w:tc>
          <w:tcPr>
            <w:tcW w:w="960" w:type="dxa"/>
            <w:noWrap/>
            <w:hideMark/>
          </w:tcPr>
          <w:p w:rsidR="00CC3ACB" w:rsidRPr="00CC3ACB" w:rsidRDefault="00CC3ACB" w:rsidP="00CC3A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CC3ACB">
              <w:rPr>
                <w:rFonts w:asciiTheme="minorHAnsi" w:hAnsiTheme="minorHAnsi"/>
                <w:b/>
                <w:bCs/>
                <w:color w:val="000000"/>
                <w:lang w:eastAsia="lv-LV"/>
              </w:rPr>
              <w:t>-4 613</w:t>
            </w:r>
          </w:p>
        </w:tc>
      </w:tr>
    </w:tbl>
    <w:p w:rsidR="00D40648" w:rsidRPr="00265462" w:rsidRDefault="00D40648" w:rsidP="00D40648">
      <w:pPr>
        <w:rPr>
          <w:i/>
          <w:lang w:eastAsia="lv-LV"/>
        </w:rPr>
      </w:pPr>
      <w:r w:rsidRPr="00265462">
        <w:rPr>
          <w:i/>
          <w:lang w:eastAsia="lv-LV"/>
        </w:rPr>
        <w:t>Avots: Ekspertu vērtējums</w:t>
      </w:r>
    </w:p>
    <w:p w:rsidR="00265462" w:rsidRPr="00265462" w:rsidRDefault="00265462" w:rsidP="00AD6E4F">
      <w:pPr>
        <w:spacing w:before="120" w:after="0"/>
        <w:rPr>
          <w:lang w:eastAsia="lv-LV"/>
        </w:rPr>
      </w:pPr>
      <w:r w:rsidRPr="00265462">
        <w:rPr>
          <w:lang w:eastAsia="lv-LV"/>
        </w:rPr>
        <w:t xml:space="preserve">Kompleksi izmantojot atvieglojumus (3.variants), kopējais nodokļu ieņēmumu (UIN, VSAOI, IIN) samazinājums tiek lēsts diapazonā no 13.7 milj. latu līdz 18 milj. latu prognožu perioda laikā. </w:t>
      </w:r>
    </w:p>
    <w:p w:rsidR="00BE6FC8" w:rsidRDefault="00BE6FC8" w:rsidP="00BE6FC8">
      <w:pPr>
        <w:pStyle w:val="Caption"/>
        <w:jc w:val="left"/>
        <w:rPr>
          <w:lang w:eastAsia="lv-LV"/>
        </w:rPr>
      </w:pPr>
      <w:r>
        <w:t xml:space="preserve">Tabula </w:t>
      </w:r>
      <w:r w:rsidR="009B0188">
        <w:fldChar w:fldCharType="begin"/>
      </w:r>
      <w:r w:rsidR="009B0188">
        <w:instrText xml:space="preserve"> STYLEREF 1 \s </w:instrText>
      </w:r>
      <w:r w:rsidR="009B0188">
        <w:fldChar w:fldCharType="separate"/>
      </w:r>
      <w:r>
        <w:rPr>
          <w:noProof/>
        </w:rPr>
        <w:t>6</w:t>
      </w:r>
      <w:r w:rsidR="009B0188">
        <w:rPr>
          <w:noProof/>
        </w:rPr>
        <w:fldChar w:fldCharType="end"/>
      </w:r>
      <w:r>
        <w:noBreakHyphen/>
      </w:r>
      <w:r w:rsidR="009B0188">
        <w:fldChar w:fldCharType="begin"/>
      </w:r>
      <w:r w:rsidR="009B0188">
        <w:instrText xml:space="preserve"> SEQ Tabula \* ARABIC \s 1 </w:instrText>
      </w:r>
      <w:r w:rsidR="009B0188">
        <w:fldChar w:fldCharType="separate"/>
      </w:r>
      <w:r>
        <w:rPr>
          <w:noProof/>
        </w:rPr>
        <w:t>28</w:t>
      </w:r>
      <w:r w:rsidR="009B0188">
        <w:rPr>
          <w:noProof/>
        </w:rPr>
        <w:fldChar w:fldCharType="end"/>
      </w:r>
      <w:r>
        <w:t xml:space="preserve">. UIN, VSAOI, IIN samazinājuma prognoze, </w:t>
      </w:r>
      <w:r>
        <w:rPr>
          <w:lang w:eastAsia="lv-LV"/>
        </w:rPr>
        <w:t>2014.-2018.g., tūkst. LVL (3.variants)</w:t>
      </w:r>
    </w:p>
    <w:tbl>
      <w:tblPr>
        <w:tblStyle w:val="tabulatekstam"/>
        <w:tblW w:w="9019" w:type="dxa"/>
        <w:tblLook w:val="04A0" w:firstRow="1" w:lastRow="0" w:firstColumn="1" w:lastColumn="0" w:noHBand="0" w:noVBand="1"/>
      </w:tblPr>
      <w:tblGrid>
        <w:gridCol w:w="4219"/>
        <w:gridCol w:w="960"/>
        <w:gridCol w:w="960"/>
        <w:gridCol w:w="960"/>
        <w:gridCol w:w="960"/>
        <w:gridCol w:w="960"/>
      </w:tblGrid>
      <w:tr w:rsidR="00BE6FC8" w:rsidRPr="00BE6FC8" w:rsidTr="00BE6FC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BE6FC8" w:rsidRPr="00BE6FC8" w:rsidRDefault="00BE6FC8" w:rsidP="00BE6FC8">
            <w:pPr>
              <w:spacing w:after="0" w:line="240" w:lineRule="auto"/>
              <w:jc w:val="left"/>
              <w:rPr>
                <w:rFonts w:asciiTheme="minorHAnsi" w:hAnsiTheme="minorHAnsi"/>
                <w:i/>
                <w:iCs/>
                <w:color w:val="FF0000"/>
                <w:lang w:eastAsia="lv-LV"/>
              </w:rPr>
            </w:pPr>
            <w:r w:rsidRPr="00BE6FC8">
              <w:rPr>
                <w:rFonts w:asciiTheme="minorHAnsi" w:hAnsiTheme="minorHAnsi"/>
                <w:i/>
                <w:iCs/>
                <w:color w:val="FF0000"/>
                <w:lang w:eastAsia="lv-LV"/>
              </w:rPr>
              <w:t> </w:t>
            </w:r>
          </w:p>
        </w:tc>
        <w:tc>
          <w:tcPr>
            <w:tcW w:w="960" w:type="dxa"/>
            <w:noWrap/>
            <w:hideMark/>
          </w:tcPr>
          <w:p w:rsidR="00BE6FC8" w:rsidRPr="00BE6FC8" w:rsidRDefault="00BE6FC8" w:rsidP="00BE6FC8">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BE6FC8">
              <w:rPr>
                <w:rFonts w:asciiTheme="minorHAnsi" w:hAnsiTheme="minorHAnsi"/>
                <w:bCs/>
                <w:color w:val="000000"/>
                <w:lang w:eastAsia="lv-LV"/>
              </w:rPr>
              <w:t>2014</w:t>
            </w:r>
          </w:p>
        </w:tc>
        <w:tc>
          <w:tcPr>
            <w:tcW w:w="960" w:type="dxa"/>
            <w:noWrap/>
            <w:hideMark/>
          </w:tcPr>
          <w:p w:rsidR="00BE6FC8" w:rsidRPr="00BE6FC8" w:rsidRDefault="00BE6FC8" w:rsidP="00BE6FC8">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BE6FC8">
              <w:rPr>
                <w:rFonts w:asciiTheme="minorHAnsi" w:hAnsiTheme="minorHAnsi"/>
                <w:bCs/>
                <w:color w:val="000000"/>
                <w:lang w:eastAsia="lv-LV"/>
              </w:rPr>
              <w:t>2015</w:t>
            </w:r>
          </w:p>
        </w:tc>
        <w:tc>
          <w:tcPr>
            <w:tcW w:w="960" w:type="dxa"/>
            <w:noWrap/>
            <w:hideMark/>
          </w:tcPr>
          <w:p w:rsidR="00BE6FC8" w:rsidRPr="00BE6FC8" w:rsidRDefault="00BE6FC8" w:rsidP="00BE6FC8">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BE6FC8">
              <w:rPr>
                <w:rFonts w:asciiTheme="minorHAnsi" w:hAnsiTheme="minorHAnsi"/>
                <w:bCs/>
                <w:color w:val="000000"/>
                <w:lang w:eastAsia="lv-LV"/>
              </w:rPr>
              <w:t>2016</w:t>
            </w:r>
          </w:p>
        </w:tc>
        <w:tc>
          <w:tcPr>
            <w:tcW w:w="960" w:type="dxa"/>
            <w:noWrap/>
            <w:hideMark/>
          </w:tcPr>
          <w:p w:rsidR="00BE6FC8" w:rsidRPr="00BE6FC8" w:rsidRDefault="00BE6FC8" w:rsidP="00BE6FC8">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BE6FC8">
              <w:rPr>
                <w:rFonts w:asciiTheme="minorHAnsi" w:hAnsiTheme="minorHAnsi"/>
                <w:bCs/>
                <w:color w:val="000000"/>
                <w:lang w:eastAsia="lv-LV"/>
              </w:rPr>
              <w:t>2017</w:t>
            </w:r>
          </w:p>
        </w:tc>
        <w:tc>
          <w:tcPr>
            <w:tcW w:w="960" w:type="dxa"/>
            <w:noWrap/>
            <w:hideMark/>
          </w:tcPr>
          <w:p w:rsidR="00BE6FC8" w:rsidRPr="00BE6FC8" w:rsidRDefault="00BE6FC8" w:rsidP="00BE6FC8">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lang w:eastAsia="lv-LV"/>
              </w:rPr>
            </w:pPr>
            <w:r w:rsidRPr="00BE6FC8">
              <w:rPr>
                <w:rFonts w:asciiTheme="minorHAnsi" w:hAnsiTheme="minorHAnsi"/>
                <w:bCs/>
                <w:color w:val="000000"/>
                <w:lang w:eastAsia="lv-LV"/>
              </w:rPr>
              <w:t>2018</w:t>
            </w:r>
          </w:p>
        </w:tc>
      </w:tr>
      <w:tr w:rsidR="00BE6FC8" w:rsidRPr="00BE6FC8" w:rsidTr="00BE6F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BE6FC8" w:rsidRPr="00BE6FC8" w:rsidRDefault="00BE6FC8" w:rsidP="00BE6FC8">
            <w:pPr>
              <w:spacing w:after="0" w:line="240" w:lineRule="auto"/>
              <w:jc w:val="left"/>
              <w:rPr>
                <w:rFonts w:asciiTheme="minorHAnsi" w:hAnsiTheme="minorHAnsi"/>
                <w:color w:val="000000"/>
                <w:lang w:eastAsia="lv-LV"/>
              </w:rPr>
            </w:pPr>
            <w:r w:rsidRPr="00BE6FC8">
              <w:rPr>
                <w:rFonts w:asciiTheme="minorHAnsi" w:hAnsiTheme="minorHAnsi"/>
                <w:color w:val="000000"/>
                <w:lang w:eastAsia="lv-LV"/>
              </w:rPr>
              <w:t>Mazie</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-4 763</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-5 817</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-6 169</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-6 543</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-6 938</w:t>
            </w:r>
          </w:p>
        </w:tc>
      </w:tr>
      <w:tr w:rsidR="00BE6FC8" w:rsidRPr="00BE6FC8" w:rsidTr="00BE6FC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BE6FC8" w:rsidRPr="00BE6FC8" w:rsidRDefault="00BE6FC8" w:rsidP="00BE6FC8">
            <w:pPr>
              <w:spacing w:after="0" w:line="240" w:lineRule="auto"/>
              <w:jc w:val="left"/>
              <w:rPr>
                <w:rFonts w:asciiTheme="minorHAnsi" w:hAnsiTheme="minorHAnsi"/>
                <w:color w:val="000000"/>
                <w:lang w:eastAsia="lv-LV"/>
              </w:rPr>
            </w:pPr>
            <w:r w:rsidRPr="00BE6FC8">
              <w:rPr>
                <w:rFonts w:asciiTheme="minorHAnsi" w:hAnsiTheme="minorHAnsi"/>
                <w:color w:val="000000"/>
                <w:lang w:eastAsia="lv-LV"/>
              </w:rPr>
              <w:t>Vidējie</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-3 324</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-3 543</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-3 776</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-4 024</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-4 289</w:t>
            </w:r>
          </w:p>
        </w:tc>
      </w:tr>
      <w:tr w:rsidR="00BE6FC8" w:rsidRPr="00BE6FC8" w:rsidTr="00BE6F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BE6FC8" w:rsidRPr="00BE6FC8" w:rsidRDefault="00BE6FC8" w:rsidP="00BE6FC8">
            <w:pPr>
              <w:spacing w:after="0" w:line="240" w:lineRule="auto"/>
              <w:jc w:val="left"/>
              <w:rPr>
                <w:rFonts w:asciiTheme="minorHAnsi" w:hAnsiTheme="minorHAnsi"/>
                <w:color w:val="000000"/>
                <w:lang w:eastAsia="lv-LV"/>
              </w:rPr>
            </w:pPr>
            <w:r w:rsidRPr="00BE6FC8">
              <w:rPr>
                <w:rFonts w:asciiTheme="minorHAnsi" w:hAnsiTheme="minorHAnsi"/>
                <w:color w:val="000000"/>
                <w:lang w:eastAsia="lv-LV"/>
              </w:rPr>
              <w:t>Lielie</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-5 635</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-5 892</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-6 160</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-6 440</w:t>
            </w:r>
          </w:p>
        </w:tc>
        <w:tc>
          <w:tcPr>
            <w:tcW w:w="960" w:type="dxa"/>
            <w:noWrap/>
            <w:hideMark/>
          </w:tcPr>
          <w:p w:rsidR="00BE6FC8" w:rsidRPr="00BE6FC8" w:rsidRDefault="00BE6FC8" w:rsidP="00BE6F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lv-LV"/>
              </w:rPr>
            </w:pPr>
            <w:r w:rsidRPr="00BE6FC8">
              <w:rPr>
                <w:rFonts w:asciiTheme="minorHAnsi" w:hAnsiTheme="minorHAnsi"/>
                <w:color w:val="000000"/>
                <w:lang w:eastAsia="lv-LV"/>
              </w:rPr>
              <w:t>-6 733</w:t>
            </w:r>
          </w:p>
        </w:tc>
      </w:tr>
      <w:tr w:rsidR="00BE6FC8" w:rsidRPr="00BE6FC8" w:rsidTr="00BE6FC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noWrap/>
            <w:hideMark/>
          </w:tcPr>
          <w:p w:rsidR="00BE6FC8" w:rsidRPr="00BE6FC8" w:rsidRDefault="00BE6FC8" w:rsidP="00BE6FC8">
            <w:pPr>
              <w:spacing w:after="0" w:line="240" w:lineRule="auto"/>
              <w:jc w:val="left"/>
              <w:rPr>
                <w:rFonts w:asciiTheme="minorHAnsi" w:hAnsiTheme="minorHAnsi"/>
                <w:b/>
                <w:bCs/>
                <w:color w:val="000000"/>
                <w:lang w:eastAsia="lv-LV"/>
              </w:rPr>
            </w:pPr>
            <w:r w:rsidRPr="00BE6FC8">
              <w:rPr>
                <w:rFonts w:asciiTheme="minorHAnsi" w:hAnsiTheme="minorHAnsi"/>
                <w:b/>
                <w:bCs/>
                <w:color w:val="000000"/>
                <w:lang w:eastAsia="lv-LV"/>
              </w:rPr>
              <w:t>UIN, VSAOI, IIN samazinājums (3.variants)</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BE6FC8">
              <w:rPr>
                <w:rFonts w:asciiTheme="minorHAnsi" w:hAnsiTheme="minorHAnsi"/>
                <w:b/>
                <w:bCs/>
                <w:color w:val="000000"/>
                <w:lang w:eastAsia="lv-LV"/>
              </w:rPr>
              <w:t>-13 723</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BE6FC8">
              <w:rPr>
                <w:rFonts w:asciiTheme="minorHAnsi" w:hAnsiTheme="minorHAnsi"/>
                <w:b/>
                <w:bCs/>
                <w:color w:val="000000"/>
                <w:lang w:eastAsia="lv-LV"/>
              </w:rPr>
              <w:t>-15 252</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BE6FC8">
              <w:rPr>
                <w:rFonts w:asciiTheme="minorHAnsi" w:hAnsiTheme="minorHAnsi"/>
                <w:b/>
                <w:bCs/>
                <w:color w:val="000000"/>
                <w:lang w:eastAsia="lv-LV"/>
              </w:rPr>
              <w:t>-16 105</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BE6FC8">
              <w:rPr>
                <w:rFonts w:asciiTheme="minorHAnsi" w:hAnsiTheme="minorHAnsi"/>
                <w:b/>
                <w:bCs/>
                <w:color w:val="000000"/>
                <w:lang w:eastAsia="lv-LV"/>
              </w:rPr>
              <w:t>-17 007</w:t>
            </w:r>
          </w:p>
        </w:tc>
        <w:tc>
          <w:tcPr>
            <w:tcW w:w="960" w:type="dxa"/>
            <w:noWrap/>
            <w:hideMark/>
          </w:tcPr>
          <w:p w:rsidR="00BE6FC8" w:rsidRPr="00BE6FC8" w:rsidRDefault="00BE6FC8" w:rsidP="00BE6F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000000"/>
                <w:lang w:eastAsia="lv-LV"/>
              </w:rPr>
            </w:pPr>
            <w:r w:rsidRPr="00BE6FC8">
              <w:rPr>
                <w:rFonts w:asciiTheme="minorHAnsi" w:hAnsiTheme="minorHAnsi"/>
                <w:b/>
                <w:bCs/>
                <w:color w:val="000000"/>
                <w:lang w:eastAsia="lv-LV"/>
              </w:rPr>
              <w:t>-17 960</w:t>
            </w:r>
          </w:p>
        </w:tc>
      </w:tr>
    </w:tbl>
    <w:p w:rsidR="00D40648" w:rsidRPr="00DB426E" w:rsidRDefault="00D40648" w:rsidP="00D40648">
      <w:pPr>
        <w:rPr>
          <w:i/>
          <w:lang w:eastAsia="lv-LV"/>
        </w:rPr>
      </w:pPr>
      <w:r w:rsidRPr="00DB426E">
        <w:rPr>
          <w:i/>
          <w:lang w:eastAsia="lv-LV"/>
        </w:rPr>
        <w:t>Avots: Ekspertu vērtējums</w:t>
      </w:r>
    </w:p>
    <w:p w:rsidR="00FC2687" w:rsidRDefault="00FC2687" w:rsidP="00FC2687">
      <w:pPr>
        <w:pStyle w:val="Caption"/>
        <w:rPr>
          <w:lang w:val="en-US"/>
        </w:rPr>
      </w:pPr>
      <w:r>
        <w:t xml:space="preserve">Attēls </w:t>
      </w:r>
      <w:r w:rsidR="009B0188">
        <w:fldChar w:fldCharType="begin"/>
      </w:r>
      <w:r w:rsidR="009B0188">
        <w:instrText xml:space="preserve"> STYLEREF 1 \s </w:instrText>
      </w:r>
      <w:r w:rsidR="009B0188">
        <w:fldChar w:fldCharType="separate"/>
      </w:r>
      <w:r>
        <w:rPr>
          <w:noProof/>
        </w:rPr>
        <w:t>6</w:t>
      </w:r>
      <w:r w:rsidR="009B0188">
        <w:rPr>
          <w:noProof/>
        </w:rPr>
        <w:fldChar w:fldCharType="end"/>
      </w:r>
      <w:r>
        <w:noBreakHyphen/>
      </w:r>
      <w:r w:rsidR="009B0188">
        <w:fldChar w:fldCharType="begin"/>
      </w:r>
      <w:r w:rsidR="009B0188">
        <w:instrText xml:space="preserve"> SEQ Attēls \* ARABIC \s 1 </w:instrText>
      </w:r>
      <w:r w:rsidR="009B0188">
        <w:fldChar w:fldCharType="separate"/>
      </w:r>
      <w:r>
        <w:rPr>
          <w:noProof/>
        </w:rPr>
        <w:t>15</w:t>
      </w:r>
      <w:r w:rsidR="009B0188">
        <w:rPr>
          <w:noProof/>
        </w:rPr>
        <w:fldChar w:fldCharType="end"/>
      </w:r>
      <w:r w:rsidRPr="00FC2687">
        <w:rPr>
          <w:lang w:val="en-US"/>
        </w:rPr>
        <w:t xml:space="preserve">. </w:t>
      </w:r>
      <w:r>
        <w:t>Nodokļu samazinājuma prognoze atkarībā no nodokļu atvieglojuma varianta, 2014.-2018.g.</w:t>
      </w:r>
      <w:r w:rsidRPr="00FC2687">
        <w:rPr>
          <w:lang w:val="en-US"/>
        </w:rPr>
        <w:t xml:space="preserve"> </w:t>
      </w:r>
    </w:p>
    <w:p w:rsidR="00FC2687" w:rsidRDefault="00FC2687" w:rsidP="00D40648">
      <w:pPr>
        <w:jc w:val="center"/>
        <w:rPr>
          <w:lang w:val="en-US" w:eastAsia="lv-LV"/>
        </w:rPr>
      </w:pPr>
      <w:r>
        <w:rPr>
          <w:noProof/>
          <w:lang w:eastAsia="lv-LV"/>
        </w:rPr>
        <w:drawing>
          <wp:inline distT="0" distB="0" distL="0" distR="0" wp14:anchorId="283AE1F3" wp14:editId="75FADE59">
            <wp:extent cx="4688378" cy="2535382"/>
            <wp:effectExtent l="0" t="0" r="17145" b="1778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265462" w:rsidRPr="00265462" w:rsidRDefault="00265462" w:rsidP="00D40648">
      <w:pPr>
        <w:rPr>
          <w:lang w:eastAsia="lv-LV"/>
        </w:rPr>
      </w:pPr>
      <w:r w:rsidRPr="00265462">
        <w:rPr>
          <w:lang w:eastAsia="lv-LV"/>
        </w:rPr>
        <w:t xml:space="preserve">Nesaņemtie budžeta līdzekļi, piemērojot nodokļu atvieglojumu zinātniskajām izstrādnēm, paliek uzņēmumu rīcībā. Papildus resursu apjoms (ekonomija uz nodokļiem) ir proporcionāls ZP izmaksām, kas ir stimuls </w:t>
      </w:r>
      <w:r w:rsidR="00933009" w:rsidRPr="00265462">
        <w:rPr>
          <w:lang w:eastAsia="lv-LV"/>
        </w:rPr>
        <w:t xml:space="preserve">sekojošam </w:t>
      </w:r>
      <w:r w:rsidRPr="00265462">
        <w:rPr>
          <w:lang w:eastAsia="lv-LV"/>
        </w:rPr>
        <w:t xml:space="preserve">līdzekļu ieguldījumam inovācijās. Kopējais ekonomiskais pieaugums, ko nosaka inovatīvie procesi ražošanā, kompensē budžeta zaudējumus. </w:t>
      </w:r>
    </w:p>
    <w:p w:rsidR="006D3AB5" w:rsidRPr="00511E6E" w:rsidRDefault="00B24F7E" w:rsidP="00475128">
      <w:pPr>
        <w:pStyle w:val="Heading1"/>
        <w:pageBreakBefore/>
        <w:widowControl/>
        <w:numPr>
          <w:ilvl w:val="0"/>
          <w:numId w:val="4"/>
        </w:numPr>
        <w:tabs>
          <w:tab w:val="clear" w:pos="284"/>
        </w:tabs>
        <w:suppressAutoHyphens w:val="0"/>
        <w:snapToGrid/>
        <w:spacing w:before="240" w:after="60"/>
        <w:ind w:left="431" w:hanging="431"/>
        <w:jc w:val="both"/>
      </w:pPr>
      <w:bookmarkStart w:id="291" w:name="_Toc358978715"/>
      <w:r w:rsidRPr="00511E6E">
        <w:t>Secinājumi</w:t>
      </w:r>
      <w:bookmarkEnd w:id="291"/>
    </w:p>
    <w:p w:rsidR="00E739B2" w:rsidRPr="0063702A" w:rsidRDefault="00E739B2" w:rsidP="00B24F7E">
      <w:pPr>
        <w:pStyle w:val="ListParagraph"/>
        <w:numPr>
          <w:ilvl w:val="0"/>
          <w:numId w:val="113"/>
        </w:numPr>
        <w:spacing w:before="96" w:after="120" w:line="288" w:lineRule="auto"/>
        <w:rPr>
          <w:rFonts w:asciiTheme="minorHAnsi" w:hAnsiTheme="minorHAnsi"/>
          <w:color w:val="000000" w:themeColor="text1"/>
          <w:szCs w:val="22"/>
          <w:lang w:val="lv-LV"/>
        </w:rPr>
      </w:pPr>
      <w:r w:rsidRPr="00511E6E">
        <w:rPr>
          <w:rFonts w:asciiTheme="minorHAnsi" w:eastAsia="Arial" w:hAnsiTheme="minorHAnsi"/>
          <w:szCs w:val="22"/>
          <w:lang w:val="lv-LV"/>
        </w:rPr>
        <w:t xml:space="preserve">Valstu prakse R&amp;D un inovācijas stimulēšanā ir atšķirīga. </w:t>
      </w:r>
      <w:r w:rsidRPr="006C5C1D">
        <w:rPr>
          <w:rFonts w:asciiTheme="minorHAnsi" w:eastAsia="Arial" w:hAnsiTheme="minorHAnsi"/>
          <w:szCs w:val="22"/>
          <w:lang w:val="lv-LV"/>
        </w:rPr>
        <w:t xml:space="preserve">Taču tās (valstis), </w:t>
      </w:r>
      <w:r w:rsidRPr="006C5C1D">
        <w:rPr>
          <w:rFonts w:asciiTheme="minorHAnsi" w:eastAsia="Arial" w:hAnsiTheme="minorHAnsi"/>
          <w:color w:val="000000" w:themeColor="text1"/>
          <w:szCs w:val="22"/>
          <w:lang w:val="lv-LV"/>
        </w:rPr>
        <w:t xml:space="preserve">saskaņā </w:t>
      </w:r>
      <w:proofErr w:type="spellStart"/>
      <w:r w:rsidRPr="006C5C1D">
        <w:rPr>
          <w:rFonts w:asciiTheme="minorHAnsi" w:eastAsia="Arial" w:hAnsiTheme="minorHAnsi"/>
          <w:color w:val="000000" w:themeColor="text1"/>
          <w:szCs w:val="22"/>
          <w:lang w:val="lv-LV"/>
        </w:rPr>
        <w:t>ar OECD</w:t>
      </w:r>
      <w:proofErr w:type="spellEnd"/>
      <w:r w:rsidRPr="006C5C1D">
        <w:rPr>
          <w:rFonts w:asciiTheme="minorHAnsi" w:eastAsia="Arial" w:hAnsiTheme="minorHAnsi"/>
          <w:color w:val="000000" w:themeColor="text1"/>
          <w:szCs w:val="22"/>
          <w:lang w:val="lv-LV"/>
        </w:rPr>
        <w:t xml:space="preserve"> </w:t>
      </w:r>
      <w:proofErr w:type="spellStart"/>
      <w:r w:rsidRPr="006C5C1D">
        <w:rPr>
          <w:rFonts w:asciiTheme="minorHAnsi" w:eastAsia="Arial" w:hAnsiTheme="minorHAnsi"/>
          <w:color w:val="000000" w:themeColor="text1"/>
          <w:szCs w:val="22"/>
          <w:lang w:val="lv-LV"/>
        </w:rPr>
        <w:t>pētījumu var</w:t>
      </w:r>
      <w:proofErr w:type="spellEnd"/>
      <w:r w:rsidRPr="006C5C1D">
        <w:rPr>
          <w:rFonts w:asciiTheme="minorHAnsi" w:eastAsia="Arial" w:hAnsiTheme="minorHAnsi"/>
          <w:color w:val="000000" w:themeColor="text1"/>
          <w:szCs w:val="22"/>
          <w:lang w:val="lv-LV"/>
        </w:rPr>
        <w:t xml:space="preserve"> </w:t>
      </w:r>
      <w:r w:rsidRPr="0063702A">
        <w:rPr>
          <w:rFonts w:asciiTheme="minorHAnsi" w:eastAsia="Arial" w:hAnsiTheme="minorHAnsi"/>
          <w:color w:val="000000" w:themeColor="text1"/>
          <w:szCs w:val="22"/>
          <w:lang w:val="lv-LV"/>
        </w:rPr>
        <w:t>iedalīt trīs galvenajās grupās:</w:t>
      </w:r>
    </w:p>
    <w:p w:rsidR="00E739B2" w:rsidRPr="0063702A" w:rsidRDefault="00E739B2" w:rsidP="00B24F7E">
      <w:pPr>
        <w:pStyle w:val="ListParagraph"/>
        <w:numPr>
          <w:ilvl w:val="1"/>
          <w:numId w:val="113"/>
        </w:numPr>
        <w:spacing w:before="96" w:after="120" w:line="288" w:lineRule="auto"/>
        <w:rPr>
          <w:rFonts w:asciiTheme="minorHAnsi" w:hAnsiTheme="minorHAnsi"/>
          <w:color w:val="000000" w:themeColor="text1"/>
          <w:szCs w:val="22"/>
          <w:lang w:val="lv-LV"/>
        </w:rPr>
      </w:pPr>
      <w:r w:rsidRPr="0063702A">
        <w:rPr>
          <w:rFonts w:asciiTheme="minorHAnsi" w:eastAsia="Arial" w:hAnsiTheme="minorHAnsi"/>
          <w:szCs w:val="22"/>
          <w:lang w:val="lv-LV"/>
        </w:rPr>
        <w:t>Valstis, kas R&amp;D veicināšanu stimulē pārsvarā netieši, pielietojot nodokļu atlaides. Šādas valstis ir retums. Daļēji šajā grupā ieskaitāmas Brazīlija un Kanāda;</w:t>
      </w:r>
    </w:p>
    <w:p w:rsidR="00E739B2" w:rsidRPr="0063702A" w:rsidRDefault="00E739B2" w:rsidP="00B24F7E">
      <w:pPr>
        <w:pStyle w:val="ListParagraph"/>
        <w:numPr>
          <w:ilvl w:val="1"/>
          <w:numId w:val="113"/>
        </w:numPr>
        <w:spacing w:before="96" w:after="120" w:line="288" w:lineRule="auto"/>
        <w:rPr>
          <w:rFonts w:asciiTheme="minorHAnsi" w:hAnsiTheme="minorHAnsi"/>
          <w:color w:val="000000" w:themeColor="text1"/>
          <w:szCs w:val="22"/>
          <w:lang w:val="lv-LV"/>
        </w:rPr>
      </w:pPr>
      <w:r w:rsidRPr="0063702A">
        <w:rPr>
          <w:rFonts w:asciiTheme="minorHAnsi" w:eastAsia="Arial" w:hAnsiTheme="minorHAnsi"/>
          <w:szCs w:val="22"/>
          <w:lang w:val="lv-LV"/>
        </w:rPr>
        <w:t xml:space="preserve">Valstis, kas izmanto tiešus R&amp;D stimulēšanas instrumentus - budžeta finansējumu, </w:t>
      </w:r>
      <w:proofErr w:type="spellStart"/>
      <w:r w:rsidRPr="0063702A">
        <w:rPr>
          <w:rFonts w:asciiTheme="minorHAnsi" w:eastAsia="Arial" w:hAnsiTheme="minorHAnsi"/>
          <w:szCs w:val="22"/>
          <w:lang w:val="lv-LV"/>
        </w:rPr>
        <w:t>grantus</w:t>
      </w:r>
      <w:proofErr w:type="spellEnd"/>
      <w:r w:rsidRPr="0063702A">
        <w:rPr>
          <w:rFonts w:asciiTheme="minorHAnsi" w:eastAsia="Arial" w:hAnsiTheme="minorHAnsi"/>
          <w:szCs w:val="22"/>
          <w:lang w:val="lv-LV"/>
        </w:rPr>
        <w:t>, valsts iepirkumus un tml. Pie šīs grupas pieskaitāms vairums ES inovācijas līderu - Zviedrija, Somija, Vācija, kā arī Igaunija, Krievija, Polija u.c.;</w:t>
      </w:r>
    </w:p>
    <w:p w:rsidR="00E739B2" w:rsidRPr="0063702A" w:rsidRDefault="00E739B2" w:rsidP="00B24F7E">
      <w:pPr>
        <w:pStyle w:val="ListParagraph"/>
        <w:numPr>
          <w:ilvl w:val="1"/>
          <w:numId w:val="113"/>
        </w:numPr>
        <w:spacing w:before="96" w:after="120" w:line="288" w:lineRule="auto"/>
        <w:rPr>
          <w:rFonts w:asciiTheme="minorHAnsi" w:hAnsiTheme="minorHAnsi"/>
          <w:color w:val="000000" w:themeColor="text1"/>
          <w:szCs w:val="22"/>
          <w:lang w:val="lv-LV"/>
        </w:rPr>
      </w:pPr>
      <w:r w:rsidRPr="0063702A">
        <w:rPr>
          <w:rFonts w:asciiTheme="minorHAnsi" w:eastAsia="Arial" w:hAnsiTheme="minorHAnsi"/>
          <w:szCs w:val="22"/>
          <w:lang w:val="lv-LV"/>
        </w:rPr>
        <w:t>Vairums valstu tomēr praktizē kombinētu R&amp;D finansēšanu - daļēji tiek izmantoti tiešie, daļēji netiešie finansēšanas instrumenti.</w:t>
      </w:r>
    </w:p>
    <w:p w:rsidR="00E739B2" w:rsidRPr="0063702A" w:rsidRDefault="00E739B2" w:rsidP="00B24F7E">
      <w:pPr>
        <w:pStyle w:val="ListParagraph"/>
        <w:numPr>
          <w:ilvl w:val="0"/>
          <w:numId w:val="113"/>
        </w:numPr>
        <w:spacing w:before="96" w:after="120" w:line="288" w:lineRule="auto"/>
        <w:rPr>
          <w:rFonts w:asciiTheme="minorHAnsi" w:hAnsiTheme="minorHAnsi"/>
          <w:lang w:val="lv-LV"/>
        </w:rPr>
      </w:pPr>
      <w:bookmarkStart w:id="292" w:name="h.gjdgxs" w:colFirst="0" w:colLast="0"/>
      <w:bookmarkEnd w:id="292"/>
      <w:r w:rsidRPr="0063702A">
        <w:rPr>
          <w:rFonts w:asciiTheme="minorHAnsi" w:eastAsia="Arial" w:hAnsiTheme="minorHAnsi"/>
          <w:lang w:val="lv-LV"/>
        </w:rPr>
        <w:t>Inovācijas reitingi tomēr nedod viennozīmīgu indikāciju par to, kāda R&amp;D finansēšanas metode ir efektīvākā. Lai gan, kā jau iepriekš minēts, ES inovācijas līderi - Zviedrija, Somija un Vācija, izmanto tikai tiešās metodes, taču Dānija, kas arī ir līderu grupā, pielieto kombinētu finansējumu. Tas pats sakāms par tādām līderiem reitingu ziņā tuvām valstīm, kā Dienvidkoreja vai Īrija.</w:t>
      </w:r>
    </w:p>
    <w:p w:rsidR="00E739B2" w:rsidRPr="0063702A" w:rsidRDefault="00E739B2" w:rsidP="00B24F7E">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Kopējo ainu maina jaunas, pasaulē arvien vairāk dominējošas tendences. Viena no tām - nacionālo pētniecības un attīstības programmu un inovāciju sistēmu un centru patstāvības pakāpeniska samazināšanās, dodot vietu starptautiskajiem centriem. Pareizāk pat būtu teikt - starptautisko inovāciju ekosistēmu veidošanās uz dažu atsevišķu agrāko nacionālo centru bāzes. Šādi centri, pateicoties straujai IT attīstībai funkcionē kā atvērts globālais tīmeklis, ļaujot tajā iesaistīties arvien jauniem dalībniekiem.</w:t>
      </w:r>
    </w:p>
    <w:p w:rsidR="00E739B2" w:rsidRPr="0063702A" w:rsidRDefault="00E739B2" w:rsidP="00B24F7E">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 xml:space="preserve">Arī Eiropas Savienībā R&amp;D un inovācija, kā vienota Eiropas </w:t>
      </w:r>
      <w:r w:rsidRPr="0063702A">
        <w:rPr>
          <w:rFonts w:asciiTheme="minorHAnsi" w:eastAsia="Arial" w:hAnsiTheme="minorHAnsi"/>
          <w:color w:val="000000" w:themeColor="text1"/>
          <w:lang w:val="lv-LV"/>
        </w:rPr>
        <w:t>telpa (</w:t>
      </w:r>
      <w:proofErr w:type="spellStart"/>
      <w:r w:rsidRPr="0063702A">
        <w:rPr>
          <w:rFonts w:asciiTheme="minorHAnsi" w:eastAsia="Arial" w:hAnsiTheme="minorHAnsi"/>
          <w:i/>
          <w:color w:val="000000" w:themeColor="text1"/>
          <w:lang w:val="lv-LV"/>
        </w:rPr>
        <w:t>the</w:t>
      </w:r>
      <w:proofErr w:type="spellEnd"/>
      <w:r w:rsidRPr="0063702A">
        <w:rPr>
          <w:rFonts w:asciiTheme="minorHAnsi" w:eastAsia="Arial" w:hAnsiTheme="minorHAnsi"/>
          <w:i/>
          <w:color w:val="000000" w:themeColor="text1"/>
          <w:lang w:val="lv-LV"/>
        </w:rPr>
        <w:t xml:space="preserve"> </w:t>
      </w:r>
      <w:proofErr w:type="spellStart"/>
      <w:r w:rsidRPr="0063702A">
        <w:rPr>
          <w:rFonts w:asciiTheme="minorHAnsi" w:eastAsia="Arial" w:hAnsiTheme="minorHAnsi"/>
          <w:i/>
          <w:color w:val="000000" w:themeColor="text1"/>
          <w:lang w:val="lv-LV"/>
        </w:rPr>
        <w:t>European</w:t>
      </w:r>
      <w:proofErr w:type="spellEnd"/>
      <w:r w:rsidRPr="0063702A">
        <w:rPr>
          <w:rFonts w:asciiTheme="minorHAnsi" w:eastAsia="Arial" w:hAnsiTheme="minorHAnsi"/>
          <w:i/>
          <w:color w:val="000000" w:themeColor="text1"/>
          <w:lang w:val="lv-LV"/>
        </w:rPr>
        <w:t xml:space="preserve"> </w:t>
      </w:r>
      <w:proofErr w:type="spellStart"/>
      <w:r w:rsidRPr="0063702A">
        <w:rPr>
          <w:rFonts w:asciiTheme="minorHAnsi" w:eastAsia="Arial" w:hAnsiTheme="minorHAnsi"/>
          <w:i/>
          <w:color w:val="000000" w:themeColor="text1"/>
          <w:lang w:val="lv-LV"/>
        </w:rPr>
        <w:t>Research</w:t>
      </w:r>
      <w:proofErr w:type="spellEnd"/>
      <w:r w:rsidRPr="0063702A">
        <w:rPr>
          <w:rFonts w:asciiTheme="minorHAnsi" w:eastAsia="Arial" w:hAnsiTheme="minorHAnsi"/>
          <w:i/>
          <w:color w:val="000000" w:themeColor="text1"/>
          <w:lang w:val="lv-LV"/>
        </w:rPr>
        <w:t xml:space="preserve"> </w:t>
      </w:r>
      <w:proofErr w:type="spellStart"/>
      <w:r w:rsidRPr="0063702A">
        <w:rPr>
          <w:rFonts w:asciiTheme="minorHAnsi" w:eastAsia="Arial" w:hAnsiTheme="minorHAnsi"/>
          <w:i/>
          <w:color w:val="000000" w:themeColor="text1"/>
          <w:lang w:val="lv-LV"/>
        </w:rPr>
        <w:t>Area</w:t>
      </w:r>
      <w:proofErr w:type="spellEnd"/>
      <w:r w:rsidRPr="0063702A">
        <w:rPr>
          <w:rFonts w:asciiTheme="minorHAnsi" w:eastAsia="Arial" w:hAnsiTheme="minorHAnsi"/>
          <w:color w:val="000000" w:themeColor="text1"/>
          <w:lang w:val="lv-LV"/>
        </w:rPr>
        <w:t>) ir viens no galvenajiem Kopienas attīstības virzieniem un mērķiem</w:t>
      </w:r>
      <w:r w:rsidRPr="0063702A">
        <w:rPr>
          <w:rFonts w:asciiTheme="minorHAnsi" w:eastAsia="Arial" w:hAnsiTheme="minorHAnsi"/>
          <w:lang w:val="lv-LV"/>
        </w:rPr>
        <w:t xml:space="preserve">. Ar tehnoloģiju šeit saprotam daudz ko vairāk, nekā tradicionālo rūpniecisko tehnoloģiju, kas asociējās ar mašīnām, iekārtām, konveijeru līnijām un tml. Tehnoloģija, kā mērķtiecīgi plānots un organizēts process vai objekts, ir iespiedusies visdažādākajās dzīves sfērās, sākot </w:t>
      </w:r>
      <w:proofErr w:type="spellStart"/>
      <w:r w:rsidRPr="0063702A">
        <w:rPr>
          <w:rFonts w:asciiTheme="minorHAnsi" w:eastAsia="Arial" w:hAnsiTheme="minorHAnsi"/>
          <w:lang w:val="lv-LV"/>
        </w:rPr>
        <w:t>no izglītības</w:t>
      </w:r>
      <w:proofErr w:type="spellEnd"/>
      <w:r w:rsidRPr="0063702A">
        <w:rPr>
          <w:rFonts w:asciiTheme="minorHAnsi" w:eastAsia="Arial" w:hAnsiTheme="minorHAnsi"/>
          <w:lang w:val="lv-LV"/>
        </w:rPr>
        <w:t>, beidzot ar ikdienas sadzīvi un, protams, arī tautsaimniecību kopumā.</w:t>
      </w:r>
    </w:p>
    <w:p w:rsidR="00E739B2" w:rsidRPr="0063702A" w:rsidRDefault="00E739B2" w:rsidP="002E0A12">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Mūsdienu R&amp;D raksturīgas arī citas iezīmes:</w:t>
      </w:r>
    </w:p>
    <w:p w:rsidR="00E739B2" w:rsidRPr="0063702A" w:rsidRDefault="00E739B2" w:rsidP="002E0A1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zinātnisko pētījumu procesi ir arvien sarežģītāki, arvien biežāk tiem ir plašs starpdisciplinārs raksturs;</w:t>
      </w:r>
    </w:p>
    <w:p w:rsidR="00E739B2" w:rsidRPr="0063702A" w:rsidRDefault="00E739B2" w:rsidP="002E0A1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zinātnisko pētījumu izmaksas ir arvien augstākas;</w:t>
      </w:r>
    </w:p>
    <w:p w:rsidR="00E739B2" w:rsidRPr="0063702A" w:rsidRDefault="00E739B2" w:rsidP="002E0A12">
      <w:pPr>
        <w:pStyle w:val="ListParagraph"/>
        <w:numPr>
          <w:ilvl w:val="1"/>
          <w:numId w:val="113"/>
        </w:numPr>
        <w:spacing w:before="96" w:after="120" w:line="288" w:lineRule="auto"/>
        <w:rPr>
          <w:rFonts w:asciiTheme="minorHAnsi" w:hAnsiTheme="minorHAnsi"/>
          <w:lang w:val="lv-LV"/>
        </w:rPr>
      </w:pPr>
      <w:r w:rsidRPr="0063702A">
        <w:rPr>
          <w:rFonts w:asciiTheme="minorHAnsi" w:eastAsia="Arial" w:hAnsiTheme="minorHAnsi"/>
          <w:lang w:val="lv-LV"/>
        </w:rPr>
        <w:t xml:space="preserve">zinātnisko pētījumu veiksmīgai (rezultatīvai) īstenošanai nepieciešama arvien lielāka resursu, t.sk. intelektuālo, </w:t>
      </w:r>
      <w:r w:rsidR="009F22E7">
        <w:rPr>
          <w:rFonts w:asciiTheme="minorHAnsi" w:eastAsia="Arial" w:hAnsiTheme="minorHAnsi"/>
          <w:lang w:val="lv-LV"/>
        </w:rPr>
        <w:t>„</w:t>
      </w:r>
      <w:r w:rsidRPr="0063702A">
        <w:rPr>
          <w:rFonts w:asciiTheme="minorHAnsi" w:eastAsia="Arial" w:hAnsiTheme="minorHAnsi"/>
          <w:lang w:val="lv-LV"/>
        </w:rPr>
        <w:t>kritiskā masa</w:t>
      </w:r>
      <w:r w:rsidR="009F22E7">
        <w:rPr>
          <w:rFonts w:asciiTheme="minorHAnsi" w:eastAsia="Arial" w:hAnsiTheme="minorHAnsi"/>
          <w:lang w:val="lv-LV"/>
        </w:rPr>
        <w:t>”</w:t>
      </w:r>
      <w:r w:rsidRPr="0063702A">
        <w:rPr>
          <w:rFonts w:asciiTheme="minorHAnsi" w:eastAsia="Arial" w:hAnsiTheme="minorHAnsi"/>
          <w:lang w:val="lv-LV"/>
        </w:rPr>
        <w:t>.</w:t>
      </w:r>
    </w:p>
    <w:p w:rsidR="00E739B2" w:rsidRPr="0063702A" w:rsidRDefault="00E739B2" w:rsidP="002E0A12">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Tas nozīmē, ka arvien retāk nozīmīgus pētījumus spēj veikt atsevišķa zinātnieku grupa, pat atsevišķs institūts, laboratorija vai uzņēmums. Arvien biežāk pat atsevišķas valsts resursi ir nepietiekami, lai tajā vai citā jomā radītu komerciāli gatavas tehnoloģijas. Tādēļ R&amp;D procesu organizatoriskais pamats ir starptautiska sadarbība un kooperācija, zinātnieku, ekspertu un to ideju mobilitāte. Tas, protams, neizslēdz zinātnisko pētījumu tēmas arī nacionālā līmenī un vietējām vajadzībām. Taču spēkā ir princips - domāt globāli, rīkoties lokāli.</w:t>
      </w:r>
    </w:p>
    <w:p w:rsidR="00511E6E" w:rsidRPr="0063702A" w:rsidRDefault="00511E6E" w:rsidP="002E0A12">
      <w:pPr>
        <w:pStyle w:val="ListParagraph"/>
        <w:numPr>
          <w:ilvl w:val="0"/>
          <w:numId w:val="113"/>
        </w:numPr>
        <w:spacing w:before="96" w:after="120" w:line="288" w:lineRule="auto"/>
        <w:rPr>
          <w:rFonts w:asciiTheme="minorHAnsi" w:hAnsiTheme="minorHAnsi"/>
          <w:lang w:val="lv-LV"/>
        </w:rPr>
      </w:pPr>
      <w:r w:rsidRPr="0063702A">
        <w:rPr>
          <w:rFonts w:asciiTheme="minorHAnsi" w:eastAsia="Arial" w:hAnsiTheme="minorHAnsi"/>
          <w:lang w:val="lv-LV"/>
        </w:rPr>
        <w:t>Rekomendācijas Latvijas R&amp;D ieguldījumu stimulēšanai:</w:t>
      </w:r>
    </w:p>
    <w:p w:rsidR="00511E6E" w:rsidRPr="0063702A" w:rsidRDefault="00E739B2" w:rsidP="00511E6E">
      <w:pPr>
        <w:pStyle w:val="ListParagraph"/>
        <w:numPr>
          <w:ilvl w:val="1"/>
          <w:numId w:val="113"/>
        </w:numPr>
        <w:spacing w:before="96" w:after="120" w:line="288" w:lineRule="auto"/>
        <w:rPr>
          <w:rFonts w:asciiTheme="minorHAnsi" w:hAnsiTheme="minorHAnsi"/>
          <w:szCs w:val="22"/>
          <w:lang w:val="lv-LV"/>
        </w:rPr>
      </w:pPr>
      <w:r w:rsidRPr="0063702A">
        <w:rPr>
          <w:rFonts w:asciiTheme="minorHAnsi" w:hAnsiTheme="minorHAnsi"/>
          <w:szCs w:val="22"/>
          <w:lang w:val="lv-LV"/>
        </w:rPr>
        <w:t>Pētījumi un tehnoloģiskā attīstība ir skatāmi kā inovācijas procesa organiska sastāvdaļa. Inovācijas gala rezultāts – jauns vai būtiski uzlabots, tirgus akceptēts produkts vai pakalpojums, ir arī galvenais R&amp;D rezultāts.</w:t>
      </w:r>
    </w:p>
    <w:p w:rsidR="00511E6E" w:rsidRPr="0063702A" w:rsidRDefault="00E739B2" w:rsidP="00511E6E">
      <w:pPr>
        <w:pStyle w:val="ListParagraph"/>
        <w:numPr>
          <w:ilvl w:val="1"/>
          <w:numId w:val="113"/>
        </w:numPr>
        <w:spacing w:before="96" w:after="120" w:line="288" w:lineRule="auto"/>
        <w:rPr>
          <w:rFonts w:asciiTheme="minorHAnsi" w:hAnsiTheme="minorHAnsi"/>
          <w:szCs w:val="22"/>
          <w:lang w:val="lv-LV"/>
        </w:rPr>
      </w:pPr>
      <w:r w:rsidRPr="0063702A">
        <w:rPr>
          <w:rFonts w:asciiTheme="minorHAnsi" w:eastAsia="Arial" w:hAnsiTheme="minorHAnsi"/>
          <w:szCs w:val="22"/>
          <w:lang w:val="lv-LV"/>
        </w:rPr>
        <w:t>Latvijā nepieciešams radikāli pārskatīt inovācijas stratēģiju. Tā vairs nevar būt balstīta uz nozaru, pat ne arī uz tehnoloģiju pieeju, kā tas bija līdz šim. Stratēģijas pamata mērķim jābūt uz inovāciju balstītai darba ražīguma un produktivitātes izaugsmei visā tautsaimniecībā, t.i.</w:t>
      </w:r>
      <w:r w:rsidR="009F22E7">
        <w:rPr>
          <w:rFonts w:asciiTheme="minorHAnsi" w:eastAsia="Arial" w:hAnsiTheme="minorHAnsi"/>
          <w:szCs w:val="22"/>
          <w:lang w:val="lv-LV"/>
        </w:rPr>
        <w:t>,</w:t>
      </w:r>
      <w:r w:rsidRPr="0063702A">
        <w:rPr>
          <w:rFonts w:asciiTheme="minorHAnsi" w:eastAsia="Arial" w:hAnsiTheme="minorHAnsi"/>
          <w:szCs w:val="22"/>
          <w:lang w:val="lv-LV"/>
        </w:rPr>
        <w:t xml:space="preserve"> kā privātajā, tā arī publiskajā sektoros. Tas nozīmē, ka R&amp;D stratēģija radikāli mainās - tā no piedāvājuma (</w:t>
      </w:r>
      <w:proofErr w:type="spellStart"/>
      <w:r w:rsidRPr="0063702A">
        <w:rPr>
          <w:rFonts w:asciiTheme="minorHAnsi" w:eastAsia="Arial" w:hAnsiTheme="minorHAnsi"/>
          <w:i/>
          <w:szCs w:val="22"/>
          <w:lang w:val="lv-LV"/>
        </w:rPr>
        <w:t>supply-side</w:t>
      </w:r>
      <w:r w:rsidRPr="0063702A">
        <w:rPr>
          <w:rFonts w:asciiTheme="minorHAnsi" w:eastAsia="Arial" w:hAnsiTheme="minorHAnsi"/>
          <w:szCs w:val="22"/>
          <w:lang w:val="lv-LV"/>
        </w:rPr>
        <w:t>)</w:t>
      </w:r>
      <w:proofErr w:type="spellEnd"/>
      <w:r w:rsidRPr="0063702A">
        <w:rPr>
          <w:rFonts w:asciiTheme="minorHAnsi" w:eastAsia="Arial" w:hAnsiTheme="minorHAnsi"/>
          <w:szCs w:val="22"/>
          <w:lang w:val="lv-LV"/>
        </w:rPr>
        <w:t xml:space="preserve"> pieejas, kas tipiska Latvijā, jāpārorientē uz pieprasījuma (</w:t>
      </w:r>
      <w:proofErr w:type="spellStart"/>
      <w:r w:rsidRPr="0063702A">
        <w:rPr>
          <w:rFonts w:asciiTheme="minorHAnsi" w:eastAsia="Arial" w:hAnsiTheme="minorHAnsi"/>
          <w:i/>
          <w:szCs w:val="22"/>
          <w:lang w:val="lv-LV"/>
        </w:rPr>
        <w:t>demand-side</w:t>
      </w:r>
      <w:r w:rsidRPr="0063702A">
        <w:rPr>
          <w:rFonts w:asciiTheme="minorHAnsi" w:eastAsia="Arial" w:hAnsiTheme="minorHAnsi"/>
          <w:szCs w:val="22"/>
          <w:lang w:val="lv-LV"/>
        </w:rPr>
        <w:t>)</w:t>
      </w:r>
      <w:proofErr w:type="spellEnd"/>
      <w:r w:rsidRPr="0063702A">
        <w:rPr>
          <w:rFonts w:asciiTheme="minorHAnsi" w:eastAsia="Arial" w:hAnsiTheme="minorHAnsi"/>
          <w:szCs w:val="22"/>
          <w:lang w:val="lv-LV"/>
        </w:rPr>
        <w:t xml:space="preserve"> pieeju, kur svarīgs ir nacionāla līmeņa problēmas risinājums vai nepieciešamais gala rezultāts, atspoguļots tehniskā, ekonomiskā vai sociālā rādītājā (darba ražīgums, kvalitātes standarti, izglītības kvalitāte u.c.).</w:t>
      </w:r>
    </w:p>
    <w:p w:rsidR="00511E6E" w:rsidRPr="00511E6E" w:rsidRDefault="00E739B2" w:rsidP="00511E6E">
      <w:pPr>
        <w:pStyle w:val="ListParagraph"/>
        <w:numPr>
          <w:ilvl w:val="1"/>
          <w:numId w:val="113"/>
        </w:numPr>
        <w:spacing w:before="96" w:after="120" w:line="288" w:lineRule="auto"/>
        <w:rPr>
          <w:rFonts w:asciiTheme="minorHAnsi" w:hAnsiTheme="minorHAnsi"/>
          <w:szCs w:val="22"/>
          <w:lang w:val="lv-LV"/>
        </w:rPr>
      </w:pPr>
      <w:r w:rsidRPr="0063702A">
        <w:rPr>
          <w:rFonts w:asciiTheme="minorHAnsi" w:eastAsia="Arial" w:hAnsiTheme="minorHAnsi"/>
          <w:szCs w:val="22"/>
          <w:lang w:val="lv-LV"/>
        </w:rPr>
        <w:t>Nacionālajam vai lokālajam R&amp;D un inovācijas procesam kopumā ir jēga tikai, ja tas īstenojas globālā kontekstā. Tas nozīmē</w:t>
      </w:r>
      <w:r w:rsidRPr="00511E6E">
        <w:rPr>
          <w:rFonts w:asciiTheme="minorHAnsi" w:eastAsia="Arial" w:hAnsiTheme="minorHAnsi"/>
          <w:szCs w:val="22"/>
          <w:lang w:val="lv-LV"/>
        </w:rPr>
        <w:t xml:space="preserve">, ka pat šķietami maznozīmīga inovācija lielākā vai mazākā mērā ir saistīta ar kādu globālu pievienotās vērtības ķēdi. Šīs ķēdes dalībnieki vai operatori ir savstarpēji saistīti ar ideju, patentu, tehnoloģiju, jaunu produktu vai to komponentu, </w:t>
      </w:r>
      <w:proofErr w:type="spellStart"/>
      <w:r w:rsidRPr="00511E6E">
        <w:rPr>
          <w:rFonts w:asciiTheme="minorHAnsi" w:eastAsia="Arial" w:hAnsiTheme="minorHAnsi"/>
          <w:i/>
          <w:szCs w:val="22"/>
          <w:lang w:val="lv-LV"/>
        </w:rPr>
        <w:t>know-how</w:t>
      </w:r>
      <w:proofErr w:type="spellEnd"/>
      <w:r w:rsidRPr="00511E6E">
        <w:rPr>
          <w:rFonts w:asciiTheme="minorHAnsi" w:eastAsia="Arial" w:hAnsiTheme="minorHAnsi"/>
          <w:szCs w:val="22"/>
          <w:lang w:val="lv-LV"/>
        </w:rPr>
        <w:t xml:space="preserve"> un tml. ķēdes posmiem. Līdz ar to Latvijai ir būtiski kļūt par šādu procesu atzītu, līdzvērtīgu dalībnieku un partneri.</w:t>
      </w:r>
    </w:p>
    <w:p w:rsidR="00E739B2" w:rsidRPr="006C5C1D" w:rsidRDefault="00E739B2" w:rsidP="00511E6E">
      <w:pPr>
        <w:pStyle w:val="ListParagraph"/>
        <w:numPr>
          <w:ilvl w:val="1"/>
          <w:numId w:val="113"/>
        </w:numPr>
        <w:spacing w:before="96" w:after="120" w:line="288" w:lineRule="auto"/>
        <w:rPr>
          <w:rFonts w:asciiTheme="minorHAnsi" w:hAnsiTheme="minorHAnsi"/>
          <w:szCs w:val="22"/>
          <w:lang w:val="lv-LV"/>
        </w:rPr>
      </w:pPr>
      <w:r w:rsidRPr="00511E6E">
        <w:rPr>
          <w:rFonts w:asciiTheme="minorHAnsi" w:eastAsia="Arial" w:hAnsiTheme="minorHAnsi"/>
          <w:szCs w:val="22"/>
          <w:lang w:val="lv-LV"/>
        </w:rPr>
        <w:t xml:space="preserve">Latvijā ir jānosaka ierobežots skaits (5-7) nacionālo R&amp;D un inovācijas prioritāšu. To īstenošanai nepieciešams noteikt vienu koordinējošo institūciju, pēc Somijas </w:t>
      </w:r>
      <w:proofErr w:type="spellStart"/>
      <w:r w:rsidRPr="00511E6E">
        <w:rPr>
          <w:rFonts w:asciiTheme="minorHAnsi" w:eastAsia="Arial" w:hAnsiTheme="minorHAnsi"/>
          <w:szCs w:val="22"/>
          <w:lang w:val="lv-LV"/>
        </w:rPr>
        <w:t>Tekes</w:t>
      </w:r>
      <w:proofErr w:type="spellEnd"/>
      <w:r w:rsidRPr="00511E6E">
        <w:rPr>
          <w:rFonts w:asciiTheme="minorHAnsi" w:eastAsia="Arial" w:hAnsiTheme="minorHAnsi"/>
          <w:szCs w:val="22"/>
          <w:lang w:val="lv-LV"/>
        </w:rPr>
        <w:t xml:space="preserve">, Zviedrijas </w:t>
      </w:r>
      <w:proofErr w:type="spellStart"/>
      <w:r w:rsidRPr="00511E6E">
        <w:rPr>
          <w:rFonts w:asciiTheme="minorHAnsi" w:eastAsia="Arial" w:hAnsiTheme="minorHAnsi"/>
          <w:szCs w:val="22"/>
          <w:lang w:val="lv-LV"/>
        </w:rPr>
        <w:t>Vinnovas</w:t>
      </w:r>
      <w:proofErr w:type="spellEnd"/>
      <w:r w:rsidRPr="00511E6E">
        <w:rPr>
          <w:rFonts w:asciiTheme="minorHAnsi" w:eastAsia="Arial" w:hAnsiTheme="minorHAnsi"/>
          <w:szCs w:val="22"/>
          <w:lang w:val="lv-LV"/>
        </w:rPr>
        <w:t>, Dānijas Inovācijas centra vai citas pieredzes, ar mērķi, daudzo pašreizējo programmu un aktivitāšu vietā tajā koncentrēt finanšu, ekspertīzes un administratīvos resursus. Vienlaicīgi būtiski vienkāršojamas</w:t>
      </w:r>
      <w:r w:rsidRPr="006C5C1D">
        <w:rPr>
          <w:rFonts w:asciiTheme="minorHAnsi" w:eastAsia="Arial" w:hAnsiTheme="minorHAnsi"/>
          <w:szCs w:val="22"/>
          <w:lang w:val="lv-LV"/>
        </w:rPr>
        <w:t xml:space="preserve"> attiecīgās valsts atbalsta procedūras - nodokļu atvieglojumi privātajam sektoram un citi stimulēšanas instrumenti.</w:t>
      </w:r>
    </w:p>
    <w:p w:rsidR="006D3AB5" w:rsidRPr="00DB426E" w:rsidRDefault="006D3AB5" w:rsidP="006D3AB5">
      <w:pPr>
        <w:rPr>
          <w:lang w:eastAsia="lv-LV"/>
        </w:rPr>
      </w:pPr>
    </w:p>
    <w:p w:rsidR="006D3AB5" w:rsidRPr="00DB426E" w:rsidRDefault="006D3AB5" w:rsidP="006D3AB5">
      <w:pPr>
        <w:rPr>
          <w:lang w:eastAsia="lv-LV"/>
        </w:rPr>
      </w:pPr>
    </w:p>
    <w:p w:rsidR="006D3AB5" w:rsidRPr="00DB426E" w:rsidRDefault="006D3AB5" w:rsidP="006D3AB5">
      <w:pPr>
        <w:rPr>
          <w:lang w:eastAsia="lv-LV"/>
        </w:rPr>
      </w:pPr>
    </w:p>
    <w:p w:rsidR="006D3AB5" w:rsidRPr="00DB426E" w:rsidRDefault="006D3AB5" w:rsidP="00475128">
      <w:pPr>
        <w:pStyle w:val="Heading1"/>
        <w:pageBreakBefore/>
        <w:widowControl/>
        <w:numPr>
          <w:ilvl w:val="0"/>
          <w:numId w:val="4"/>
        </w:numPr>
        <w:tabs>
          <w:tab w:val="clear" w:pos="284"/>
        </w:tabs>
        <w:suppressAutoHyphens w:val="0"/>
        <w:snapToGrid/>
        <w:spacing w:before="240" w:after="60"/>
        <w:ind w:left="431" w:hanging="431"/>
        <w:jc w:val="both"/>
        <w:rPr>
          <w:lang w:eastAsia="lv-LV"/>
        </w:rPr>
      </w:pPr>
      <w:bookmarkStart w:id="293" w:name="_Toc356472873"/>
      <w:bookmarkStart w:id="294" w:name="_Toc358978716"/>
      <w:r w:rsidRPr="00DB426E">
        <w:rPr>
          <w:lang w:eastAsia="lv-LV"/>
        </w:rPr>
        <w:t>Pielikumi</w:t>
      </w:r>
      <w:bookmarkEnd w:id="293"/>
      <w:bookmarkEnd w:id="294"/>
    </w:p>
    <w:p w:rsidR="006D3AB5" w:rsidRPr="00DB426E" w:rsidRDefault="006D3AB5" w:rsidP="00475128">
      <w:pPr>
        <w:pStyle w:val="Heading2"/>
        <w:numPr>
          <w:ilvl w:val="1"/>
          <w:numId w:val="4"/>
        </w:numPr>
        <w:suppressAutoHyphens w:val="0"/>
        <w:spacing w:before="240" w:after="60"/>
        <w:jc w:val="both"/>
      </w:pPr>
      <w:bookmarkStart w:id="295" w:name="_Toc356472874"/>
      <w:bookmarkStart w:id="296" w:name="_Toc358978717"/>
      <w:r w:rsidRPr="00DB426E">
        <w:t>Tieša ietekme uz privātajām investīcijām R&amp;D (1.kategorija)</w:t>
      </w:r>
      <w:bookmarkEnd w:id="295"/>
      <w:bookmarkEnd w:id="296"/>
    </w:p>
    <w:p w:rsidR="006D3AB5" w:rsidRPr="00DB426E" w:rsidRDefault="006D3AB5" w:rsidP="00475128">
      <w:pPr>
        <w:pStyle w:val="Heading3"/>
        <w:numPr>
          <w:ilvl w:val="2"/>
          <w:numId w:val="4"/>
        </w:numPr>
      </w:pPr>
      <w:bookmarkStart w:id="297" w:name="_Toc356472875"/>
      <w:bookmarkStart w:id="298" w:name="_Toc358978718"/>
      <w:r w:rsidRPr="00DB426E">
        <w:t>Likums „Par UIN”</w:t>
      </w:r>
      <w:bookmarkEnd w:id="297"/>
      <w:bookmarkEnd w:id="298"/>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960"/>
        <w:gridCol w:w="4050"/>
      </w:tblGrid>
      <w:tr w:rsidR="006D3AB5" w:rsidRPr="005B06E0" w:rsidTr="00475128">
        <w:tc>
          <w:tcPr>
            <w:tcW w:w="558" w:type="dxa"/>
            <w:shd w:val="clear" w:color="auto" w:fill="F2F2F2"/>
            <w:vAlign w:val="center"/>
          </w:tcPr>
          <w:p w:rsidR="006D3AB5" w:rsidRPr="005B06E0" w:rsidRDefault="006D3AB5" w:rsidP="002A30A0">
            <w:pPr>
              <w:spacing w:after="60"/>
              <w:jc w:val="center"/>
              <w:rPr>
                <w:b/>
                <w:sz w:val="20"/>
                <w:szCs w:val="20"/>
              </w:rPr>
            </w:pPr>
            <w:proofErr w:type="spellStart"/>
            <w:r w:rsidRPr="005B06E0">
              <w:rPr>
                <w:b/>
                <w:sz w:val="20"/>
                <w:szCs w:val="20"/>
              </w:rPr>
              <w:t>Nr.p.k</w:t>
            </w:r>
            <w:proofErr w:type="spellEnd"/>
            <w:r w:rsidRPr="005B06E0">
              <w:rPr>
                <w:b/>
                <w:sz w:val="20"/>
                <w:szCs w:val="20"/>
              </w:rPr>
              <w:t>.</w:t>
            </w:r>
          </w:p>
        </w:tc>
        <w:tc>
          <w:tcPr>
            <w:tcW w:w="396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apraksts</w:t>
            </w:r>
          </w:p>
        </w:tc>
        <w:tc>
          <w:tcPr>
            <w:tcW w:w="405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piemērošanas ierobežojumi</w:t>
            </w:r>
          </w:p>
        </w:tc>
      </w:tr>
      <w:tr w:rsidR="006D3AB5" w:rsidRPr="005B06E0" w:rsidTr="002A30A0">
        <w:trPr>
          <w:trHeight w:val="3950"/>
        </w:trPr>
        <w:tc>
          <w:tcPr>
            <w:tcW w:w="558" w:type="dxa"/>
            <w:vAlign w:val="center"/>
          </w:tcPr>
          <w:p w:rsidR="006D3AB5" w:rsidRPr="005B06E0" w:rsidRDefault="006D3AB5" w:rsidP="002A30A0">
            <w:pPr>
              <w:spacing w:after="60"/>
              <w:jc w:val="center"/>
              <w:rPr>
                <w:sz w:val="20"/>
                <w:szCs w:val="20"/>
              </w:rPr>
            </w:pPr>
            <w:r w:rsidRPr="005B06E0">
              <w:rPr>
                <w:sz w:val="20"/>
                <w:szCs w:val="20"/>
              </w:rPr>
              <w:t>1.</w:t>
            </w:r>
          </w:p>
        </w:tc>
        <w:tc>
          <w:tcPr>
            <w:tcW w:w="3960" w:type="dxa"/>
          </w:tcPr>
          <w:p w:rsidR="006D3AB5" w:rsidRPr="005B06E0" w:rsidRDefault="006D3AB5" w:rsidP="002A30A0">
            <w:pPr>
              <w:spacing w:after="60"/>
              <w:rPr>
                <w:rFonts w:eastAsia="Times New Roman"/>
                <w:b/>
                <w:sz w:val="20"/>
                <w:szCs w:val="20"/>
              </w:rPr>
            </w:pPr>
            <w:r w:rsidRPr="005B06E0">
              <w:rPr>
                <w:rFonts w:eastAsia="Times New Roman"/>
                <w:b/>
                <w:sz w:val="20"/>
                <w:szCs w:val="20"/>
              </w:rPr>
              <w:t>Īpaša izdevumu atzīšanas kārtība R&amp;D izmaksām.</w:t>
            </w:r>
          </w:p>
          <w:p w:rsidR="006D3AB5" w:rsidRPr="005B06E0" w:rsidRDefault="006D3AB5" w:rsidP="002A30A0">
            <w:pPr>
              <w:spacing w:after="60"/>
              <w:rPr>
                <w:rFonts w:eastAsia="Times New Roman"/>
                <w:sz w:val="20"/>
                <w:szCs w:val="20"/>
              </w:rPr>
            </w:pPr>
            <w:r w:rsidRPr="005B06E0">
              <w:rPr>
                <w:rFonts w:eastAsia="Times New Roman"/>
                <w:sz w:val="20"/>
                <w:szCs w:val="20"/>
              </w:rPr>
              <w:t>Pirms to nemateriālo ieguldījumu izveidošanas vai iegādes izmaksu norakstīšanas, kuru rezultātā pēc 2009.gada 1.janvāra reģistrēta preču zīme vai patents, šo ieguldījumu izveidošanas vai iegādes vērtību palielina, reizinot ar koeficientu 1,5.</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(13.panta </w:t>
            </w:r>
            <w:r w:rsidRPr="005B06E0">
              <w:rPr>
                <w:sz w:val="20"/>
                <w:szCs w:val="20"/>
              </w:rPr>
              <w:t>4.</w:t>
            </w:r>
            <w:r w:rsidRPr="005B06E0">
              <w:rPr>
                <w:sz w:val="20"/>
                <w:szCs w:val="20"/>
                <w:vertAlign w:val="superscript"/>
              </w:rPr>
              <w:t xml:space="preserve">1 </w:t>
            </w:r>
            <w:r w:rsidRPr="005B06E0">
              <w:rPr>
                <w:rFonts w:eastAsia="Times New Roman"/>
                <w:sz w:val="20"/>
                <w:szCs w:val="20"/>
              </w:rPr>
              <w:t>daļa)</w:t>
            </w:r>
          </w:p>
          <w:p w:rsidR="006D3AB5" w:rsidRPr="005B06E0" w:rsidRDefault="006D3AB5" w:rsidP="002A30A0">
            <w:pPr>
              <w:spacing w:after="60"/>
              <w:rPr>
                <w:rFonts w:eastAsia="Times New Roman"/>
                <w:sz w:val="20"/>
                <w:szCs w:val="20"/>
              </w:rPr>
            </w:pPr>
            <w:r w:rsidRPr="005B06E0">
              <w:rPr>
                <w:rFonts w:eastAsia="Times New Roman"/>
                <w:sz w:val="20"/>
                <w:szCs w:val="20"/>
              </w:rPr>
              <w:t>Pētniecības un attīstības izmaksas (arī tās, kas saistītas ar nerealizēto projektu tehnisko dokumentāciju, ja šo projektu vērtība nav iekļauta pamatlīdzekļos), kas attiecas uz nodokļa maksātāja saimniecisko darbību, izņemot izmaksas par derīgo izrakteņu atrašanās vietas, daudzuma un kvalitātes noteikšanu, noraksta tajā gadā, kad šīs izmaksas radušās.</w:t>
            </w:r>
          </w:p>
          <w:p w:rsidR="006D3AB5" w:rsidRPr="005B06E0" w:rsidRDefault="006D3AB5" w:rsidP="002A30A0">
            <w:pPr>
              <w:spacing w:after="60"/>
              <w:rPr>
                <w:sz w:val="20"/>
                <w:szCs w:val="20"/>
              </w:rPr>
            </w:pPr>
            <w:r w:rsidRPr="005B06E0">
              <w:rPr>
                <w:sz w:val="20"/>
                <w:szCs w:val="20"/>
              </w:rPr>
              <w:t>(13.panta 5.daļa)</w:t>
            </w:r>
          </w:p>
        </w:tc>
        <w:tc>
          <w:tcPr>
            <w:tcW w:w="4050" w:type="dxa"/>
          </w:tcPr>
          <w:p w:rsidR="006D3AB5" w:rsidRPr="005B06E0" w:rsidRDefault="006D3AB5" w:rsidP="002A30A0">
            <w:pPr>
              <w:spacing w:after="60"/>
              <w:rPr>
                <w:rFonts w:eastAsia="Times New Roman"/>
                <w:sz w:val="20"/>
                <w:szCs w:val="20"/>
              </w:rPr>
            </w:pPr>
            <w:r w:rsidRPr="005B06E0">
              <w:rPr>
                <w:rFonts w:eastAsia="Times New Roman"/>
                <w:sz w:val="20"/>
                <w:szCs w:val="20"/>
              </w:rPr>
              <w:t>Ja iegādātā preču zīme vai patents ir izmantots komercdarbībā un tā vērtības norakstīšanai piemērots palielinošais koeficients, tad attiecībā uz šo patentu vai preču zīmi atkārtoti iegādes vērtību palielinošo koeficientu nepiemēro.</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(13.panta </w:t>
            </w:r>
            <w:r w:rsidRPr="005B06E0">
              <w:rPr>
                <w:sz w:val="20"/>
                <w:szCs w:val="20"/>
              </w:rPr>
              <w:t>4.</w:t>
            </w:r>
            <w:r w:rsidRPr="005B06E0">
              <w:rPr>
                <w:sz w:val="20"/>
                <w:szCs w:val="20"/>
                <w:vertAlign w:val="superscript"/>
              </w:rPr>
              <w:t xml:space="preserve">1 </w:t>
            </w:r>
            <w:r w:rsidRPr="005B06E0">
              <w:rPr>
                <w:rFonts w:eastAsia="Times New Roman"/>
                <w:sz w:val="20"/>
                <w:szCs w:val="20"/>
              </w:rPr>
              <w:t>daļa)</w:t>
            </w:r>
          </w:p>
        </w:tc>
      </w:tr>
    </w:tbl>
    <w:p w:rsidR="006D3AB5" w:rsidRPr="00DB426E" w:rsidRDefault="006D3AB5" w:rsidP="00475128">
      <w:pPr>
        <w:pStyle w:val="Heading2"/>
        <w:numPr>
          <w:ilvl w:val="1"/>
          <w:numId w:val="4"/>
        </w:numPr>
        <w:suppressAutoHyphens w:val="0"/>
        <w:spacing w:before="240" w:after="60"/>
        <w:jc w:val="both"/>
      </w:pPr>
      <w:r w:rsidRPr="00DB426E">
        <w:t xml:space="preserve"> </w:t>
      </w:r>
      <w:bookmarkStart w:id="299" w:name="_Toc356472876"/>
      <w:bookmarkStart w:id="300" w:name="_Toc358978719"/>
      <w:r w:rsidRPr="00DB426E">
        <w:t>Netieša ietekme uz privātajām investīcijām R&amp;D (2.kategorija)</w:t>
      </w:r>
      <w:bookmarkEnd w:id="299"/>
      <w:bookmarkEnd w:id="300"/>
    </w:p>
    <w:p w:rsidR="006D3AB5" w:rsidRPr="00DB426E" w:rsidRDefault="006D3AB5" w:rsidP="00475128">
      <w:pPr>
        <w:pStyle w:val="Heading3"/>
        <w:numPr>
          <w:ilvl w:val="2"/>
          <w:numId w:val="4"/>
        </w:numPr>
      </w:pPr>
      <w:bookmarkStart w:id="301" w:name="_Toc356472877"/>
      <w:bookmarkStart w:id="302" w:name="_Toc358978720"/>
      <w:r w:rsidRPr="00DB426E">
        <w:t>Likums „Par UIN” un likuma „Par UIN” normu piemērošanas noteikumi</w:t>
      </w:r>
      <w:bookmarkEnd w:id="301"/>
      <w:bookmarkEnd w:id="302"/>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870"/>
        <w:gridCol w:w="4140"/>
      </w:tblGrid>
      <w:tr w:rsidR="006D3AB5" w:rsidRPr="00475128" w:rsidTr="00475128">
        <w:tc>
          <w:tcPr>
            <w:tcW w:w="558" w:type="dxa"/>
            <w:shd w:val="clear" w:color="auto" w:fill="F2F2F2"/>
            <w:vAlign w:val="center"/>
          </w:tcPr>
          <w:p w:rsidR="006D3AB5" w:rsidRPr="00475128" w:rsidRDefault="006D3AB5" w:rsidP="002A30A0">
            <w:pPr>
              <w:spacing w:after="60"/>
              <w:jc w:val="center"/>
              <w:rPr>
                <w:b/>
                <w:sz w:val="20"/>
                <w:szCs w:val="20"/>
              </w:rPr>
            </w:pPr>
            <w:proofErr w:type="spellStart"/>
            <w:r w:rsidRPr="00475128">
              <w:rPr>
                <w:b/>
                <w:sz w:val="20"/>
                <w:szCs w:val="20"/>
              </w:rPr>
              <w:t>Nr.p.k</w:t>
            </w:r>
            <w:proofErr w:type="spellEnd"/>
            <w:r w:rsidRPr="00475128">
              <w:rPr>
                <w:b/>
                <w:sz w:val="20"/>
                <w:szCs w:val="20"/>
              </w:rPr>
              <w:t>.</w:t>
            </w:r>
          </w:p>
        </w:tc>
        <w:tc>
          <w:tcPr>
            <w:tcW w:w="3870" w:type="dxa"/>
            <w:shd w:val="clear" w:color="auto" w:fill="F2F2F2"/>
            <w:vAlign w:val="center"/>
          </w:tcPr>
          <w:p w:rsidR="006D3AB5" w:rsidRPr="00475128" w:rsidRDefault="006D3AB5" w:rsidP="002A30A0">
            <w:pPr>
              <w:spacing w:after="60"/>
              <w:jc w:val="center"/>
              <w:rPr>
                <w:b/>
                <w:sz w:val="20"/>
                <w:szCs w:val="20"/>
              </w:rPr>
            </w:pPr>
            <w:r w:rsidRPr="00475128">
              <w:rPr>
                <w:b/>
                <w:sz w:val="20"/>
                <w:szCs w:val="20"/>
              </w:rPr>
              <w:t>Atvieglojuma apraksts</w:t>
            </w:r>
          </w:p>
        </w:tc>
        <w:tc>
          <w:tcPr>
            <w:tcW w:w="4140" w:type="dxa"/>
            <w:shd w:val="clear" w:color="auto" w:fill="F2F2F2"/>
            <w:vAlign w:val="center"/>
          </w:tcPr>
          <w:p w:rsidR="006D3AB5" w:rsidRPr="00475128" w:rsidRDefault="006D3AB5" w:rsidP="002A30A0">
            <w:pPr>
              <w:spacing w:after="60"/>
              <w:jc w:val="center"/>
              <w:rPr>
                <w:b/>
                <w:sz w:val="20"/>
                <w:szCs w:val="20"/>
              </w:rPr>
            </w:pPr>
            <w:r w:rsidRPr="00475128">
              <w:rPr>
                <w:b/>
                <w:sz w:val="20"/>
                <w:szCs w:val="20"/>
              </w:rPr>
              <w:t>Atvieglojuma piemērošanas ierobežojumi</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w:t>
            </w:r>
          </w:p>
        </w:tc>
        <w:tc>
          <w:tcPr>
            <w:tcW w:w="3870" w:type="dxa"/>
          </w:tcPr>
          <w:p w:rsidR="006D3AB5" w:rsidRPr="00475128" w:rsidRDefault="006D3AB5" w:rsidP="002A30A0">
            <w:pPr>
              <w:spacing w:after="60"/>
              <w:rPr>
                <w:rFonts w:eastAsia="Times New Roman"/>
                <w:b/>
                <w:sz w:val="20"/>
                <w:szCs w:val="20"/>
              </w:rPr>
            </w:pPr>
            <w:r w:rsidRPr="00475128">
              <w:rPr>
                <w:rFonts w:eastAsia="Times New Roman"/>
                <w:b/>
                <w:sz w:val="20"/>
                <w:szCs w:val="20"/>
              </w:rPr>
              <w:t>Atvieglojums ražošanas veicināšanai, iegādājoties vai izveidojot jaunas ražošanas tehnoloģiskās iekārtas.</w:t>
            </w:r>
          </w:p>
          <w:p w:rsidR="006D3AB5" w:rsidRPr="00475128" w:rsidRDefault="006D3AB5" w:rsidP="002A30A0">
            <w:pPr>
              <w:spacing w:after="60"/>
              <w:rPr>
                <w:rFonts w:eastAsia="Times New Roman"/>
                <w:sz w:val="20"/>
                <w:szCs w:val="20"/>
              </w:rPr>
            </w:pPr>
            <w:r w:rsidRPr="00475128">
              <w:rPr>
                <w:rFonts w:eastAsia="Times New Roman"/>
                <w:sz w:val="20"/>
                <w:szCs w:val="20"/>
              </w:rPr>
              <w:t>Pirms taksācijas perioda nolietojuma summas aprēķināšanas katras jaunas ražošanas tehnoloģiskās iekārtas iegādes vērtību vai izveidošanas vērtību tajā taksācijas periodā, kurā attiecīgā iekārta iegādāta vai izveidota, palielina, reizinot to ar šādiem koeficientiem:</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1) pamatlīdzekļiem, kas iegādāti vai izveidoti taksācijas periodā, kas sākas 2006.gadā, — 1,5;</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2) pamatlīdzekļiem, kas iegādāti vai izveidoti taksācijas periodā, kas sākas 2007.gadā, — 1,4;</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3) pamatlīdzekļiem, kas iegādāti vai izveidoti taksācijas periodā, kas sākas 2008.gadā, — 1,3;</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4) pamatlīdzekļiem, kas iegādāti vai izveidoti taksācijas periodā, kas sākas 2009.gadā, — 1,5;</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5) pamatlīdzekļiem, kas iegādāti vai izveidoti taksācijas periodā, kas sākas 2010.gadā, — 1,5;</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6) pamatlīdzekļiem, kas iegādāti vai izveidoti taksācijas periodā, kas sākas 2011.gadā, — 1,5;</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7) pamatlīdzekļiem, kas iegādāti vai izveidoti taksācijas periodā, kas sākas 2012.gadā, — 1,5;</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8) pamatlīdzekļiem, kas iegādāti vai izveidoti taksācijas periodā, kas sākas 2013.gadā, — 1,5.</w:t>
            </w:r>
          </w:p>
          <w:p w:rsidR="006D3AB5" w:rsidRPr="00475128" w:rsidRDefault="006D3AB5" w:rsidP="002A30A0">
            <w:pPr>
              <w:spacing w:after="60"/>
              <w:rPr>
                <w:sz w:val="20"/>
                <w:szCs w:val="20"/>
              </w:rPr>
            </w:pPr>
            <w:r w:rsidRPr="00475128">
              <w:rPr>
                <w:sz w:val="20"/>
                <w:szCs w:val="20"/>
              </w:rPr>
              <w:t xml:space="preserve">(13.panta </w:t>
            </w:r>
            <w:r w:rsidRPr="00475128">
              <w:rPr>
                <w:rFonts w:eastAsia="Times New Roman"/>
                <w:sz w:val="20"/>
                <w:szCs w:val="20"/>
              </w:rPr>
              <w:t>1.</w:t>
            </w:r>
            <w:r w:rsidRPr="00475128">
              <w:rPr>
                <w:rFonts w:eastAsia="Times New Roman"/>
                <w:sz w:val="20"/>
                <w:szCs w:val="20"/>
                <w:vertAlign w:val="superscript"/>
              </w:rPr>
              <w:t xml:space="preserve">2 </w:t>
            </w:r>
            <w:r w:rsidRPr="00475128">
              <w:rPr>
                <w:sz w:val="20"/>
                <w:szCs w:val="20"/>
              </w:rPr>
              <w:t>daļa)</w:t>
            </w:r>
          </w:p>
        </w:tc>
        <w:tc>
          <w:tcPr>
            <w:tcW w:w="4140" w:type="dxa"/>
          </w:tcPr>
          <w:p w:rsidR="006D3AB5" w:rsidRPr="00475128" w:rsidRDefault="006D3AB5" w:rsidP="002A30A0">
            <w:pPr>
              <w:spacing w:after="60"/>
              <w:rPr>
                <w:rFonts w:eastAsia="Times New Roman"/>
                <w:sz w:val="20"/>
                <w:szCs w:val="20"/>
              </w:rPr>
            </w:pPr>
            <w:r w:rsidRPr="00475128">
              <w:rPr>
                <w:rFonts w:eastAsia="Times New Roman"/>
                <w:sz w:val="20"/>
                <w:szCs w:val="20"/>
              </w:rPr>
              <w:t>Piemērojams jaunām ražošanas tehnoloģiskajām iekārtām, kuras iegādātas vai izveidotas taksācijas periodā, kas sākas 2006.gadā, un turpmākajos taksācijas periodos un kuras izmanto saimnieciskajā darbībā.</w:t>
            </w:r>
          </w:p>
          <w:p w:rsidR="006D3AB5" w:rsidRPr="00475128" w:rsidRDefault="006D3AB5" w:rsidP="002A30A0">
            <w:pPr>
              <w:spacing w:after="60"/>
              <w:rPr>
                <w:rFonts w:eastAsia="Times New Roman"/>
                <w:sz w:val="20"/>
                <w:szCs w:val="20"/>
              </w:rPr>
            </w:pPr>
            <w:r w:rsidRPr="00475128">
              <w:rPr>
                <w:rFonts w:eastAsia="Times New Roman"/>
                <w:sz w:val="20"/>
                <w:szCs w:val="20"/>
              </w:rPr>
              <w:t>(13.panta 1.</w:t>
            </w:r>
            <w:r w:rsidRPr="00475128">
              <w:rPr>
                <w:rFonts w:eastAsia="Times New Roman"/>
                <w:sz w:val="20"/>
                <w:szCs w:val="20"/>
                <w:vertAlign w:val="superscript"/>
              </w:rPr>
              <w:t xml:space="preserve">1 </w:t>
            </w:r>
            <w:r w:rsidRPr="00475128">
              <w:rPr>
                <w:rFonts w:eastAsia="Times New Roman"/>
                <w:sz w:val="20"/>
                <w:szCs w:val="20"/>
              </w:rPr>
              <w:t>daļa)</w:t>
            </w:r>
          </w:p>
          <w:p w:rsidR="006D3AB5" w:rsidRPr="00475128" w:rsidRDefault="006D3AB5" w:rsidP="002A30A0">
            <w:pPr>
              <w:spacing w:after="60"/>
              <w:rPr>
                <w:rFonts w:eastAsia="Times New Roman"/>
                <w:sz w:val="20"/>
                <w:szCs w:val="20"/>
              </w:rPr>
            </w:pPr>
            <w:r w:rsidRPr="00475128">
              <w:rPr>
                <w:rFonts w:eastAsia="Times New Roman"/>
                <w:sz w:val="20"/>
                <w:szCs w:val="20"/>
              </w:rPr>
              <w:t>Ja minētais pamatlīdzeklis (kuram ir veikta pamatlīdzekļa nolietojuma norakstīšana nodokļu vajadzībām) tiek atsavināts piecu taksācijas periodu laikā kopš šāda pamatlīdzekļa iegādes vai izveidošanas, apliekamo ienākumu palielina par saskaņā ar šā panta prasībām aprēķināto pamatlīdzekļu nolietojuma vērtību summu, par kuru iepriekšējos piecos taksācijas periodos tika samazināts apliekamais ienākums, un samazina par uzņēmuma gada pārskatā minēto šā pamatlīdzekļa nolietojuma vērtību summu. Šo normu nepiemēro, ja minētais pamatlīdzeklis tiek zaudēts stihisku nelaimju rezultātā vai citādā piespiedu kārtā un tiek nomainīts atbilstoši likuma “Par UIN” 10.pantā noteiktajam.</w:t>
            </w:r>
          </w:p>
          <w:p w:rsidR="006D3AB5" w:rsidRPr="00475128" w:rsidRDefault="006D3AB5" w:rsidP="002A30A0">
            <w:pPr>
              <w:spacing w:after="60"/>
              <w:rPr>
                <w:rFonts w:eastAsia="Times New Roman"/>
                <w:sz w:val="20"/>
                <w:szCs w:val="20"/>
              </w:rPr>
            </w:pPr>
            <w:r w:rsidRPr="00475128">
              <w:rPr>
                <w:rFonts w:eastAsia="Times New Roman"/>
                <w:sz w:val="20"/>
                <w:szCs w:val="20"/>
              </w:rPr>
              <w:t>(13.panta 1.</w:t>
            </w:r>
            <w:r w:rsidRPr="00475128">
              <w:rPr>
                <w:rFonts w:eastAsia="Times New Roman"/>
                <w:sz w:val="20"/>
                <w:szCs w:val="20"/>
                <w:vertAlign w:val="superscript"/>
              </w:rPr>
              <w:t xml:space="preserve">4 </w:t>
            </w:r>
            <w:r w:rsidRPr="00475128">
              <w:rPr>
                <w:rFonts w:eastAsia="Times New Roman"/>
                <w:sz w:val="20"/>
                <w:szCs w:val="20"/>
              </w:rPr>
              <w:t>daļa)</w:t>
            </w:r>
          </w:p>
          <w:p w:rsidR="006D3AB5" w:rsidRPr="00475128" w:rsidRDefault="006D3AB5" w:rsidP="002A30A0">
            <w:pPr>
              <w:spacing w:after="60"/>
              <w:rPr>
                <w:rFonts w:eastAsia="Times New Roman"/>
                <w:sz w:val="20"/>
                <w:szCs w:val="20"/>
              </w:rPr>
            </w:pPr>
            <w:r w:rsidRPr="00475128">
              <w:rPr>
                <w:rFonts w:eastAsia="Times New Roman"/>
                <w:sz w:val="20"/>
                <w:szCs w:val="20"/>
              </w:rPr>
              <w:t>Ja nodokļa maksātājs pamatlīdzekļu iegādes vai izveidošanas gadījumā var piemērot gan šā panta pirmās daļas 9.punktā noteikto pamatlīdzekļu vērtību palielinošo koeficientu, gan šā panta 1.</w:t>
            </w:r>
            <w:r w:rsidRPr="00475128">
              <w:rPr>
                <w:rFonts w:eastAsia="Times New Roman"/>
                <w:sz w:val="20"/>
                <w:szCs w:val="20"/>
                <w:vertAlign w:val="superscript"/>
              </w:rPr>
              <w:t>2</w:t>
            </w:r>
            <w:r w:rsidRPr="00475128">
              <w:rPr>
                <w:rFonts w:eastAsia="Times New Roman"/>
                <w:sz w:val="20"/>
                <w:szCs w:val="20"/>
              </w:rPr>
              <w:t xml:space="preserve"> daļā noteikto koeficientu, tad nodokļa maksātājam ir tiesības izvēlēties, kuru no normām piemērot. Nodokļa maksātājam nav atļauts vienlaikus vienam pamatlīdzeklim piemērot šā panta pirmās daļas 9.punktā noteikto pamatlīdzekļu vērtību palielinošo koeficientu un šā panta 1.</w:t>
            </w:r>
            <w:r w:rsidRPr="00475128">
              <w:rPr>
                <w:rFonts w:eastAsia="Times New Roman"/>
                <w:sz w:val="20"/>
                <w:szCs w:val="20"/>
                <w:vertAlign w:val="superscript"/>
              </w:rPr>
              <w:t>2</w:t>
            </w:r>
            <w:r w:rsidRPr="00475128">
              <w:rPr>
                <w:rFonts w:eastAsia="Times New Roman"/>
                <w:sz w:val="20"/>
                <w:szCs w:val="20"/>
              </w:rPr>
              <w:t xml:space="preserve"> daļā noteikto koeficientu.</w:t>
            </w:r>
          </w:p>
          <w:p w:rsidR="006D3AB5" w:rsidRPr="00475128" w:rsidRDefault="006D3AB5" w:rsidP="002A30A0">
            <w:pPr>
              <w:spacing w:after="60"/>
              <w:rPr>
                <w:rFonts w:eastAsia="Times New Roman"/>
                <w:sz w:val="20"/>
                <w:szCs w:val="20"/>
              </w:rPr>
            </w:pPr>
            <w:r w:rsidRPr="00475128">
              <w:rPr>
                <w:rFonts w:eastAsia="Times New Roman"/>
                <w:sz w:val="20"/>
                <w:szCs w:val="20"/>
              </w:rPr>
              <w:t>(13.panta 1.</w:t>
            </w:r>
            <w:r w:rsidRPr="00475128">
              <w:rPr>
                <w:rFonts w:eastAsia="Times New Roman"/>
                <w:sz w:val="20"/>
                <w:szCs w:val="20"/>
                <w:vertAlign w:val="superscript"/>
              </w:rPr>
              <w:t xml:space="preserve">5 </w:t>
            </w:r>
            <w:r w:rsidRPr="00475128">
              <w:rPr>
                <w:rFonts w:eastAsia="Times New Roman"/>
                <w:sz w:val="20"/>
                <w:szCs w:val="20"/>
              </w:rPr>
              <w:t>daļa)</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w:t>
            </w:r>
          </w:p>
        </w:tc>
        <w:tc>
          <w:tcPr>
            <w:tcW w:w="3870" w:type="dxa"/>
          </w:tcPr>
          <w:p w:rsidR="006D3AB5" w:rsidRPr="00475128" w:rsidRDefault="006D3AB5" w:rsidP="002A30A0">
            <w:pPr>
              <w:spacing w:after="60"/>
              <w:rPr>
                <w:b/>
                <w:sz w:val="20"/>
                <w:szCs w:val="20"/>
              </w:rPr>
            </w:pPr>
            <w:r w:rsidRPr="00475128">
              <w:rPr>
                <w:b/>
                <w:sz w:val="20"/>
                <w:szCs w:val="20"/>
              </w:rPr>
              <w:t>Atvieglojums investīciju veikšanai pamatlīdzekļos īpaši atbalstāmajās teritorijās, iegādājoties vai izveidojot pamatlīdzekļus, kurus izmanto īpaši atbalstāmajās teritorijās.</w:t>
            </w:r>
          </w:p>
          <w:p w:rsidR="006D3AB5" w:rsidRPr="00475128" w:rsidRDefault="006D3AB5" w:rsidP="002A30A0">
            <w:pPr>
              <w:spacing w:after="60"/>
              <w:rPr>
                <w:rFonts w:eastAsia="Times New Roman"/>
                <w:sz w:val="20"/>
                <w:szCs w:val="20"/>
              </w:rPr>
            </w:pPr>
            <w:r w:rsidRPr="00475128">
              <w:rPr>
                <w:sz w:val="20"/>
                <w:szCs w:val="20"/>
              </w:rPr>
              <w:t>N</w:t>
            </w:r>
            <w:r w:rsidRPr="00475128">
              <w:rPr>
                <w:rFonts w:eastAsia="Times New Roman"/>
                <w:sz w:val="20"/>
                <w:szCs w:val="20"/>
              </w:rPr>
              <w:t xml:space="preserve">odokļa maksātājs, kas reģistrēts un darbojas saskaņā ar </w:t>
            </w:r>
            <w:hyperlink r:id="rId87" w:tgtFrame="_blank" w:history="1">
              <w:r w:rsidRPr="00475128">
                <w:rPr>
                  <w:rFonts w:eastAsia="Times New Roman"/>
                  <w:sz w:val="20"/>
                  <w:szCs w:val="20"/>
                </w:rPr>
                <w:t>Reģionālās attīstības likumu</w:t>
              </w:r>
            </w:hyperlink>
            <w:r w:rsidRPr="00475128">
              <w:rPr>
                <w:rFonts w:eastAsia="Times New Roman"/>
                <w:sz w:val="20"/>
                <w:szCs w:val="20"/>
              </w:rPr>
              <w:t xml:space="preserve"> noteiktā īpaši atbalstāmajā teritorijā, pamatlīdzekļiem, kuri iegādāti laika posmā, sākot ar to taksācijas periodu, kurā attiecīgajai teritorijai ir īpaši atbalstāmās teritorijas statuss, un kuri tiek izmantoti saimnieciskajā darbībā šajā teritorijā, iegādes vērtību vai izveidošanas vērtību pirms attiecīgās pamatlīdzekļu kategorijas taksācijas perioda kopējās nolietojuma summas aprēķināšanas var palielināt, reizinot to ar šādiem koeficientiem:</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a) pirmās kategorijas pamatlīdzekļiem — 1,5,</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b) otrās kategorijas pamatlīdzekļiem, izņemot dzelzceļa ritošo sastāvu un jūras un upju flotes transportlīdzekļus, — 1,3,</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c) trešās kategorijas pamatlīdzekļiem — 1,8,</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d) ceturtās kategorijas pamatlīdzekļiem, izņemot vieglos automobiļus, motociklus, jūras un upes transporta līdzekļus un gaisa transporta līdzekļus, — 2;</w:t>
            </w:r>
          </w:p>
          <w:p w:rsidR="006D3AB5" w:rsidRPr="00475128" w:rsidRDefault="006D3AB5" w:rsidP="002A30A0">
            <w:pPr>
              <w:spacing w:after="60"/>
              <w:rPr>
                <w:b/>
                <w:sz w:val="20"/>
                <w:szCs w:val="20"/>
              </w:rPr>
            </w:pPr>
            <w:r w:rsidRPr="00475128">
              <w:rPr>
                <w:sz w:val="20"/>
                <w:szCs w:val="20"/>
              </w:rPr>
              <w:t>(13.panta 1.daļas 9.punkts)</w:t>
            </w:r>
          </w:p>
        </w:tc>
        <w:tc>
          <w:tcPr>
            <w:tcW w:w="4140" w:type="dxa"/>
          </w:tcPr>
          <w:p w:rsidR="006D3AB5" w:rsidRPr="00475128" w:rsidRDefault="006D3AB5" w:rsidP="002A30A0">
            <w:pPr>
              <w:spacing w:after="60"/>
              <w:rPr>
                <w:rFonts w:eastAsia="Times New Roman"/>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3.</w:t>
            </w:r>
          </w:p>
        </w:tc>
        <w:tc>
          <w:tcPr>
            <w:tcW w:w="3870" w:type="dxa"/>
          </w:tcPr>
          <w:p w:rsidR="006D3AB5" w:rsidRPr="00475128" w:rsidRDefault="006D3AB5" w:rsidP="002A30A0">
            <w:pPr>
              <w:spacing w:after="60"/>
              <w:rPr>
                <w:b/>
                <w:sz w:val="20"/>
                <w:szCs w:val="20"/>
              </w:rPr>
            </w:pPr>
            <w:r w:rsidRPr="00475128">
              <w:rPr>
                <w:b/>
                <w:sz w:val="20"/>
                <w:szCs w:val="20"/>
              </w:rPr>
              <w:t>Paātrināta pamatlīdzekļu norakstīšanas kārtība.</w:t>
            </w:r>
          </w:p>
          <w:p w:rsidR="006D3AB5" w:rsidRPr="00475128" w:rsidRDefault="006D3AB5" w:rsidP="002A30A0">
            <w:pPr>
              <w:spacing w:after="60"/>
              <w:rPr>
                <w:sz w:val="20"/>
                <w:szCs w:val="20"/>
              </w:rPr>
            </w:pPr>
            <w:r w:rsidRPr="00475128">
              <w:rPr>
                <w:sz w:val="20"/>
                <w:szCs w:val="20"/>
              </w:rPr>
              <w:t>Nodokļa maksātāja pamatlīdzekļiem taksācijas perioda nolietojuma summu aprēķina no katras pamatlīdzekļu kategorijas atlikušās vērtības pirms taksācijas perioda nolietojuma atskaitīšanas, piemērojot attiecīgajai pamatlīdzekļu kategorijai noteikto nolietojuma likmi divkāršā apmērā.</w:t>
            </w:r>
          </w:p>
          <w:p w:rsidR="006D3AB5" w:rsidRPr="00475128" w:rsidRDefault="006D3AB5" w:rsidP="002A30A0">
            <w:pPr>
              <w:spacing w:after="60"/>
              <w:rPr>
                <w:sz w:val="20"/>
                <w:szCs w:val="20"/>
              </w:rPr>
            </w:pPr>
            <w:r w:rsidRPr="00475128">
              <w:rPr>
                <w:sz w:val="20"/>
                <w:szCs w:val="20"/>
              </w:rPr>
              <w:t>(13.panta 1.daļas 3.punkts)</w:t>
            </w:r>
          </w:p>
        </w:tc>
        <w:tc>
          <w:tcPr>
            <w:tcW w:w="4140" w:type="dxa"/>
          </w:tcPr>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4.</w:t>
            </w:r>
          </w:p>
        </w:tc>
        <w:tc>
          <w:tcPr>
            <w:tcW w:w="3870" w:type="dxa"/>
          </w:tcPr>
          <w:p w:rsidR="006D3AB5" w:rsidRPr="00475128" w:rsidRDefault="006D3AB5" w:rsidP="002A30A0">
            <w:pPr>
              <w:spacing w:after="60"/>
              <w:rPr>
                <w:b/>
                <w:sz w:val="20"/>
                <w:szCs w:val="20"/>
              </w:rPr>
            </w:pPr>
            <w:r w:rsidRPr="00475128">
              <w:rPr>
                <w:b/>
                <w:sz w:val="20"/>
                <w:szCs w:val="20"/>
              </w:rPr>
              <w:t>Apliekamā ienākuma samazinājums par nosacītu kredītprocentu summu.</w:t>
            </w:r>
          </w:p>
          <w:p w:rsidR="006D3AB5" w:rsidRPr="00475128" w:rsidRDefault="006D3AB5" w:rsidP="002A30A0">
            <w:pPr>
              <w:spacing w:after="60"/>
              <w:rPr>
                <w:sz w:val="20"/>
                <w:szCs w:val="20"/>
              </w:rPr>
            </w:pPr>
            <w:r w:rsidRPr="00475128">
              <w:rPr>
                <w:sz w:val="20"/>
                <w:szCs w:val="20"/>
              </w:rPr>
              <w:t>Nosakot apliekamo ienākumu, nodokļa maksātājs peļņu samazina par taksācijas periodā iekšzemes nefinanšu uzņēmumiem latos izsniegto kredītu gada vidējās svērtās procentu likmes un pirms</w:t>
            </w:r>
            <w:r w:rsidRPr="00475128">
              <w:rPr>
                <w:sz w:val="20"/>
                <w:szCs w:val="20"/>
              </w:rPr>
              <w:softHyphen/>
              <w:t>taksācijas periodu nesadalītās peļņas reizinājumu. Šajā daļā noteikto pirmstaksācijas periodu nesadalīto peļņu aprēķina, summējot to taksācijas periodu nesadalīto peļņu, kuri sākas pēc 2008.gada 31.decembra.</w:t>
            </w:r>
          </w:p>
          <w:p w:rsidR="006D3AB5" w:rsidRPr="00475128" w:rsidRDefault="006D3AB5" w:rsidP="002A30A0">
            <w:pPr>
              <w:spacing w:after="60"/>
              <w:rPr>
                <w:sz w:val="20"/>
                <w:szCs w:val="20"/>
              </w:rPr>
            </w:pPr>
            <w:r w:rsidRPr="00475128">
              <w:rPr>
                <w:sz w:val="20"/>
                <w:szCs w:val="20"/>
              </w:rPr>
              <w:t>(6.panta 17.daļa)</w:t>
            </w:r>
          </w:p>
        </w:tc>
        <w:tc>
          <w:tcPr>
            <w:tcW w:w="4140" w:type="dxa"/>
          </w:tcPr>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5.</w:t>
            </w:r>
          </w:p>
        </w:tc>
        <w:tc>
          <w:tcPr>
            <w:tcW w:w="3870" w:type="dxa"/>
          </w:tcPr>
          <w:p w:rsidR="006D3AB5" w:rsidRPr="00475128" w:rsidRDefault="006D3AB5" w:rsidP="002A30A0">
            <w:pPr>
              <w:pStyle w:val="tv2131"/>
              <w:spacing w:before="0" w:after="60" w:line="276" w:lineRule="auto"/>
              <w:ind w:firstLine="0"/>
              <w:rPr>
                <w:rFonts w:ascii="Calibri" w:hAnsi="Calibri"/>
                <w:b/>
                <w:sz w:val="20"/>
                <w:szCs w:val="20"/>
                <w:lang w:val="lv-LV"/>
              </w:rPr>
            </w:pPr>
            <w:r w:rsidRPr="00475128">
              <w:rPr>
                <w:rFonts w:ascii="Calibri" w:hAnsi="Calibri"/>
                <w:b/>
                <w:sz w:val="20"/>
                <w:szCs w:val="20"/>
                <w:lang w:val="lv-LV"/>
              </w:rPr>
              <w:t>Atvieglojums pamatlīdzekļu aizstāšanas gadījumā.</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Apliekamo ienākumu var samazināt par ienākumu no pamatlīdzekļa atsavināšanas, ja 12 mēnešu laikā pirms vai pēc atsavināšanas dienas tiek iegādāts funkcionāli līdzīgi izmantojams pamatlīdzeklis.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w:t>
            </w:r>
            <w:r w:rsidRPr="00475128">
              <w:rPr>
                <w:rFonts w:ascii="Calibri" w:hAnsi="Calibri"/>
                <w:bCs/>
                <w:sz w:val="20"/>
                <w:szCs w:val="20"/>
                <w:lang w:val="lv-LV"/>
              </w:rPr>
              <w:t>10.</w:t>
            </w:r>
            <w:r w:rsidRPr="00475128">
              <w:rPr>
                <w:rFonts w:ascii="Calibri" w:hAnsi="Calibri"/>
                <w:bCs/>
                <w:sz w:val="20"/>
                <w:szCs w:val="20"/>
                <w:vertAlign w:val="superscript"/>
                <w:lang w:val="lv-LV"/>
              </w:rPr>
              <w:t>1</w:t>
            </w:r>
            <w:r w:rsidRPr="00475128">
              <w:rPr>
                <w:rFonts w:ascii="Calibri" w:hAnsi="Calibri"/>
                <w:bCs/>
                <w:sz w:val="20"/>
                <w:szCs w:val="20"/>
                <w:lang w:val="lv-LV"/>
              </w:rPr>
              <w:t xml:space="preserve"> panta 1.daļa</w:t>
            </w:r>
            <w:r w:rsidRPr="00475128">
              <w:rPr>
                <w:rFonts w:ascii="Calibri" w:hAnsi="Calibri"/>
                <w:sz w:val="20"/>
                <w:szCs w:val="20"/>
                <w:lang w:val="lv-LV"/>
              </w:rPr>
              <w:t>)</w:t>
            </w:r>
          </w:p>
          <w:p w:rsidR="006D3AB5" w:rsidRPr="00475128" w:rsidRDefault="006D3AB5" w:rsidP="002A30A0">
            <w:pPr>
              <w:spacing w:after="60"/>
              <w:rPr>
                <w:sz w:val="20"/>
                <w:szCs w:val="20"/>
              </w:rPr>
            </w:pPr>
          </w:p>
        </w:tc>
        <w:tc>
          <w:tcPr>
            <w:tcW w:w="4140" w:type="dxa"/>
          </w:tcPr>
          <w:p w:rsidR="006D3AB5" w:rsidRPr="00475128" w:rsidRDefault="006D3AB5" w:rsidP="002A30A0">
            <w:pPr>
              <w:spacing w:after="60"/>
              <w:rPr>
                <w:sz w:val="20"/>
                <w:szCs w:val="20"/>
              </w:rPr>
            </w:pPr>
            <w:r w:rsidRPr="00475128">
              <w:rPr>
                <w:sz w:val="20"/>
                <w:szCs w:val="20"/>
              </w:rPr>
              <w:t>Atvieglojums nav attiecināms uz:</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1) mākslas darbiem, antīkiem priekšmetiem, juvelierizstrādājumiem;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2) ieguldījuma īpašumiem, pārdošanai turētiem ilgtermiņa ieguldījumiem;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3) motocikliem, jūras un upes transporta līdzekļiem, gaisa transporta līdzekļiem un automobiļiem.</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w:t>
            </w:r>
            <w:r w:rsidRPr="00475128">
              <w:rPr>
                <w:rFonts w:ascii="Calibri" w:hAnsi="Calibri"/>
                <w:bCs/>
                <w:sz w:val="20"/>
                <w:szCs w:val="20"/>
                <w:lang w:val="lv-LV"/>
              </w:rPr>
              <w:t>10.</w:t>
            </w:r>
            <w:r w:rsidRPr="00475128">
              <w:rPr>
                <w:rFonts w:ascii="Calibri" w:hAnsi="Calibri"/>
                <w:bCs/>
                <w:sz w:val="20"/>
                <w:szCs w:val="20"/>
                <w:vertAlign w:val="superscript"/>
                <w:lang w:val="lv-LV"/>
              </w:rPr>
              <w:t>1</w:t>
            </w:r>
            <w:r w:rsidRPr="00475128">
              <w:rPr>
                <w:rFonts w:ascii="Calibri" w:hAnsi="Calibri"/>
                <w:bCs/>
                <w:sz w:val="20"/>
                <w:szCs w:val="20"/>
                <w:lang w:val="lv-LV"/>
              </w:rPr>
              <w:t xml:space="preserve"> panta 4.daļa</w:t>
            </w:r>
            <w:r w:rsidRPr="00475128">
              <w:rPr>
                <w:rFonts w:ascii="Calibri" w:hAnsi="Calibri"/>
                <w:sz w:val="20"/>
                <w:szCs w:val="20"/>
                <w:lang w:val="lv-LV"/>
              </w:rPr>
              <w:t>)</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6.</w:t>
            </w:r>
          </w:p>
        </w:tc>
        <w:tc>
          <w:tcPr>
            <w:tcW w:w="3870" w:type="dxa"/>
          </w:tcPr>
          <w:p w:rsidR="006D3AB5" w:rsidRPr="00475128" w:rsidRDefault="006D3AB5" w:rsidP="002A30A0">
            <w:pPr>
              <w:spacing w:after="60"/>
              <w:rPr>
                <w:rFonts w:eastAsia="Times New Roman"/>
                <w:b/>
                <w:sz w:val="20"/>
                <w:szCs w:val="20"/>
              </w:rPr>
            </w:pPr>
            <w:r w:rsidRPr="00475128">
              <w:rPr>
                <w:rFonts w:eastAsia="Times New Roman"/>
                <w:b/>
                <w:sz w:val="20"/>
                <w:szCs w:val="20"/>
              </w:rPr>
              <w:t>Atlaides realizējot atbalstāmo investīciju projektus.</w:t>
            </w:r>
          </w:p>
          <w:p w:rsidR="006D3AB5" w:rsidRPr="00475128" w:rsidRDefault="006D3AB5" w:rsidP="002A30A0">
            <w:pPr>
              <w:spacing w:after="60"/>
              <w:rPr>
                <w:rFonts w:eastAsia="Times New Roman"/>
                <w:sz w:val="20"/>
                <w:szCs w:val="20"/>
              </w:rPr>
            </w:pPr>
            <w:r w:rsidRPr="00475128">
              <w:rPr>
                <w:rFonts w:eastAsia="Times New Roman"/>
                <w:sz w:val="20"/>
                <w:szCs w:val="20"/>
              </w:rPr>
              <w:t>Nodokļa maksātājam ir tiesības par atbalstāmo investīciju projekta ietvaros veiktajiem sākotnējiem ilgtermiņa ieguldījumiem piemērot nodokļa atlaidi:</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1) 25% apmērā no kopējās sākotnējās ilgtermiņa ieguldījumu summas līdz 35 miljoniem latu;</w:t>
            </w:r>
          </w:p>
          <w:p w:rsidR="006D3AB5" w:rsidRPr="00475128" w:rsidRDefault="006D3AB5" w:rsidP="002A30A0">
            <w:pPr>
              <w:spacing w:after="60"/>
              <w:ind w:firstLine="300"/>
              <w:rPr>
                <w:rFonts w:eastAsia="Times New Roman"/>
                <w:sz w:val="20"/>
                <w:szCs w:val="20"/>
              </w:rPr>
            </w:pPr>
            <w:r w:rsidRPr="00475128">
              <w:rPr>
                <w:rFonts w:eastAsia="Times New Roman"/>
                <w:sz w:val="20"/>
                <w:szCs w:val="20"/>
              </w:rPr>
              <w:t xml:space="preserve">2) 15% apmērā no kopējās sākotnējās ilgtermiņa ieguldījumu summas daļai, kas pārsniedz 35 miljonus latu. </w:t>
            </w:r>
          </w:p>
          <w:p w:rsidR="006D3AB5" w:rsidRPr="00475128" w:rsidRDefault="006D3AB5" w:rsidP="002A30A0">
            <w:pPr>
              <w:spacing w:after="60"/>
              <w:rPr>
                <w:bCs/>
                <w:sz w:val="20"/>
                <w:szCs w:val="20"/>
              </w:rPr>
            </w:pPr>
            <w:r w:rsidRPr="00475128">
              <w:rPr>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1.daļa)</w:t>
            </w:r>
          </w:p>
          <w:p w:rsidR="006D3AB5" w:rsidRPr="00475128" w:rsidRDefault="006D3AB5" w:rsidP="002A30A0">
            <w:pPr>
              <w:spacing w:after="60"/>
              <w:rPr>
                <w:rFonts w:eastAsia="Times New Roman"/>
                <w:sz w:val="20"/>
                <w:szCs w:val="20"/>
              </w:rPr>
            </w:pPr>
          </w:p>
          <w:p w:rsidR="006D3AB5" w:rsidRPr="00475128" w:rsidRDefault="006D3AB5" w:rsidP="002A30A0">
            <w:pPr>
              <w:spacing w:after="60"/>
              <w:rPr>
                <w:rFonts w:eastAsia="Times New Roman"/>
                <w:sz w:val="20"/>
                <w:szCs w:val="20"/>
              </w:rPr>
            </w:pPr>
            <w:r w:rsidRPr="00475128">
              <w:rPr>
                <w:rFonts w:eastAsia="Times New Roman"/>
                <w:sz w:val="20"/>
                <w:szCs w:val="20"/>
              </w:rPr>
              <w:t>Nodokļa atlaidi piemēro taksācijas periodā, kurā pabeigts atbalstāmo investīciju projekts.</w:t>
            </w:r>
          </w:p>
          <w:p w:rsidR="006D3AB5" w:rsidRPr="00475128" w:rsidRDefault="006D3AB5" w:rsidP="002A30A0">
            <w:pPr>
              <w:spacing w:after="60"/>
              <w:rPr>
                <w:bCs/>
                <w:sz w:val="20"/>
                <w:szCs w:val="20"/>
              </w:rPr>
            </w:pPr>
            <w:r w:rsidRPr="00475128">
              <w:rPr>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2.daļa)</w:t>
            </w:r>
          </w:p>
          <w:p w:rsidR="006D3AB5" w:rsidRPr="00475128" w:rsidRDefault="006D3AB5" w:rsidP="002A30A0">
            <w:pPr>
              <w:spacing w:after="60"/>
              <w:rPr>
                <w:bCs/>
                <w:sz w:val="20"/>
                <w:szCs w:val="20"/>
              </w:rPr>
            </w:pPr>
          </w:p>
          <w:p w:rsidR="006D3AB5" w:rsidRPr="00475128" w:rsidRDefault="006D3AB5" w:rsidP="002A30A0">
            <w:pPr>
              <w:spacing w:after="60"/>
              <w:rPr>
                <w:rFonts w:eastAsia="Times New Roman"/>
                <w:sz w:val="20"/>
                <w:szCs w:val="20"/>
              </w:rPr>
            </w:pPr>
            <w:r w:rsidRPr="00475128">
              <w:rPr>
                <w:rFonts w:eastAsia="Times New Roman"/>
                <w:sz w:val="20"/>
                <w:szCs w:val="20"/>
              </w:rPr>
              <w:t>Ja nodokļa maksātāja taksācijas periodā aprēķinātais nodoklis ir mazāks nekā aprēķinātā nodokļa atlaide, nodokļa maksātājs par nodokļa atlaides neizmantoto daļu var samazināt nākamajos taksācijas periodos aprēķināto nodokli, līdz nodokļa atlaide ir izmantota pilnībā, taču ne ilgāk kā 16 nākamajos taksācijas periodos hronoloģiskā secībā.</w:t>
            </w:r>
          </w:p>
          <w:p w:rsidR="006D3AB5" w:rsidRPr="00475128" w:rsidRDefault="006D3AB5" w:rsidP="002A30A0">
            <w:pPr>
              <w:spacing w:after="60"/>
              <w:rPr>
                <w:bCs/>
                <w:sz w:val="20"/>
                <w:szCs w:val="20"/>
              </w:rPr>
            </w:pPr>
            <w:r w:rsidRPr="00475128">
              <w:rPr>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3.daļa)</w:t>
            </w:r>
          </w:p>
          <w:p w:rsidR="006D3AB5" w:rsidRPr="00475128" w:rsidRDefault="006D3AB5" w:rsidP="002A30A0">
            <w:pPr>
              <w:spacing w:after="60"/>
              <w:rPr>
                <w:bCs/>
                <w:sz w:val="20"/>
                <w:szCs w:val="20"/>
              </w:rPr>
            </w:pPr>
          </w:p>
          <w:p w:rsidR="006D3AB5" w:rsidRPr="00475128" w:rsidRDefault="006D3AB5" w:rsidP="002A30A0">
            <w:pPr>
              <w:spacing w:after="60"/>
              <w:rPr>
                <w:rFonts w:eastAsia="Times New Roman"/>
                <w:sz w:val="20"/>
                <w:szCs w:val="20"/>
              </w:rPr>
            </w:pPr>
            <w:r w:rsidRPr="00475128">
              <w:rPr>
                <w:rFonts w:eastAsia="Times New Roman"/>
                <w:sz w:val="20"/>
                <w:szCs w:val="20"/>
              </w:rPr>
              <w:t>Šajā pantā noteikto nodokļa atlaidi ir tiesības piemērot nodokļa maksātājam, kas atbilst visiem šajā daļā minētajiem nosacījumiem:</w:t>
            </w:r>
          </w:p>
          <w:p w:rsidR="006D3AB5" w:rsidRPr="00475128" w:rsidRDefault="006D3AB5" w:rsidP="002A30A0">
            <w:pPr>
              <w:spacing w:after="60"/>
              <w:rPr>
                <w:rFonts w:eastAsia="Times New Roman"/>
                <w:sz w:val="20"/>
                <w:szCs w:val="20"/>
              </w:rPr>
            </w:pPr>
            <w:r w:rsidRPr="00475128">
              <w:rPr>
                <w:rFonts w:eastAsia="Times New Roman"/>
                <w:sz w:val="20"/>
                <w:szCs w:val="20"/>
              </w:rPr>
              <w:t>1) nodokļa maksātājs atbalstāmo investīciju projekta ietvaros veicis sākotnējos ilgtermiņa ieguldījumus, kuru kopējā summa pārsniedz 3 miljonus latu;</w:t>
            </w:r>
          </w:p>
          <w:p w:rsidR="006D3AB5" w:rsidRPr="00475128" w:rsidRDefault="006D3AB5" w:rsidP="002A30A0">
            <w:pPr>
              <w:spacing w:after="60"/>
              <w:rPr>
                <w:rFonts w:eastAsia="Times New Roman"/>
                <w:sz w:val="20"/>
                <w:szCs w:val="20"/>
              </w:rPr>
            </w:pPr>
            <w:r w:rsidRPr="00475128">
              <w:rPr>
                <w:rFonts w:eastAsia="Times New Roman"/>
                <w:sz w:val="20"/>
                <w:szCs w:val="20"/>
              </w:rPr>
              <w:t>2) kopējā sākotnējo ilgtermiņa ieguldījumu summa tiek ieguldīta piecu gadu laikā, sākot no dienas, kurā Ministru kabinets ir pieņēmis lēmumu par atbalstāmo investīciju projekta atbalstīšanu;</w:t>
            </w:r>
          </w:p>
          <w:p w:rsidR="006D3AB5" w:rsidRPr="00475128" w:rsidRDefault="006D3AB5" w:rsidP="002A30A0">
            <w:pPr>
              <w:spacing w:after="60"/>
              <w:rPr>
                <w:rFonts w:eastAsia="Times New Roman"/>
                <w:sz w:val="20"/>
                <w:szCs w:val="20"/>
              </w:rPr>
            </w:pPr>
            <w:r w:rsidRPr="00475128">
              <w:rPr>
                <w:rFonts w:eastAsia="Times New Roman"/>
                <w:sz w:val="20"/>
                <w:szCs w:val="20"/>
              </w:rPr>
              <w:t>3) nodokļa maksātājs veicis sākotnējos ilgtermiņa ieguldījumus kādā no šā panta astotajā daļā minētajām atbalstāmajām prioritārajām nozarēm;</w:t>
            </w:r>
          </w:p>
          <w:p w:rsidR="006D3AB5" w:rsidRPr="00475128" w:rsidRDefault="006D3AB5" w:rsidP="002A30A0">
            <w:pPr>
              <w:spacing w:after="60"/>
              <w:rPr>
                <w:rFonts w:eastAsia="Times New Roman"/>
                <w:sz w:val="20"/>
                <w:szCs w:val="20"/>
              </w:rPr>
            </w:pPr>
            <w:r w:rsidRPr="00475128">
              <w:rPr>
                <w:rFonts w:eastAsia="Times New Roman"/>
                <w:sz w:val="20"/>
                <w:szCs w:val="20"/>
              </w:rPr>
              <w:t>4) sākotnējie ilgtermiņa ieguldījumi nodrošina jauna darbības profila uzsākšanu vai esošās darbības modernizāciju vai paplašināšanu, kas ietver jaunu produktu ražošanu, esošās darbības maiņu, pārejot no viena produktu veida ražošanas uz cita produktu veida ražošanu vai no viena pakalpojumu veida sniegšanas uz cita pakalpojumu veida sniegšanu, vai vispārēju darbības procesu būtisku maiņu;</w:t>
            </w:r>
          </w:p>
          <w:p w:rsidR="006D3AB5" w:rsidRPr="00475128" w:rsidRDefault="006D3AB5" w:rsidP="002A30A0">
            <w:pPr>
              <w:spacing w:after="60"/>
              <w:rPr>
                <w:rFonts w:eastAsia="Times New Roman"/>
                <w:sz w:val="20"/>
                <w:szCs w:val="20"/>
              </w:rPr>
            </w:pPr>
            <w:r w:rsidRPr="00475128">
              <w:rPr>
                <w:rFonts w:eastAsia="Times New Roman"/>
                <w:sz w:val="20"/>
                <w:szCs w:val="20"/>
              </w:rPr>
              <w:t>5) nekustamais īpašums, kurā veic un izmanto ilgtermiņa sākotnējos ieguldījumus, ir nodokļa maksātāja īpašums vai nodokļa maksātājam uz to ir ilgtermiņa nomas tiesības (vismaz vēl 13 gadu pēc projekta uzsākšanas), un tās ir nostiprinātas zemesgrāmatā. Ja nekustamais īpašums tiek nomāts no valsts vai pašvaldības, ilgtermiņa nomas tiesībām jābūt vismaz vēl 13 gadu pēc projekta uzsākšanas;</w:t>
            </w:r>
          </w:p>
          <w:p w:rsidR="006D3AB5" w:rsidRPr="00475128" w:rsidRDefault="006D3AB5" w:rsidP="002A30A0">
            <w:pPr>
              <w:spacing w:after="60"/>
              <w:rPr>
                <w:rFonts w:eastAsia="Times New Roman"/>
                <w:sz w:val="20"/>
                <w:szCs w:val="20"/>
              </w:rPr>
            </w:pPr>
            <w:r w:rsidRPr="00475128">
              <w:rPr>
                <w:rFonts w:eastAsia="Times New Roman"/>
                <w:sz w:val="20"/>
                <w:szCs w:val="20"/>
              </w:rPr>
              <w:t>6) ir sagatavots atbalstāmo investīciju projekts. Ekonomikas ministrija ir izvērtējusi atbalstāmo investīciju projekta ietekmi uz valsts ekonomiku, kā arī to, vai minētais projekts, kura sākotnējo ilgtermiņa ieguldījumu summa pārsniedz 35 miljonus latu, neradīs konkurences ierobežojumus, un uz šā izvērtējuma pamata Ministru kabinets ir pieņēmis lēmumu par atbalstāmo investīciju projekta atbalstīšanu. Ministru kabinets lēmumu par atbalstāmo investīciju projekta atbalstīšanu vai atteikumu pieņem divu mēnešu laikā no dienas, kad atbalstāmo investīciju projekts ir saņemts Ekonomikas ministrijā.</w:t>
            </w:r>
          </w:p>
          <w:p w:rsidR="006D3AB5" w:rsidRPr="00475128" w:rsidRDefault="006D3AB5" w:rsidP="002A30A0">
            <w:pPr>
              <w:spacing w:after="60"/>
              <w:rPr>
                <w:rFonts w:eastAsia="Times New Roman"/>
                <w:sz w:val="20"/>
                <w:szCs w:val="20"/>
              </w:rPr>
            </w:pPr>
            <w:r w:rsidRPr="00475128">
              <w:rPr>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4.daļa)</w:t>
            </w:r>
          </w:p>
        </w:tc>
        <w:tc>
          <w:tcPr>
            <w:tcW w:w="4140" w:type="dxa"/>
          </w:tcPr>
          <w:p w:rsidR="006D3AB5" w:rsidRPr="00475128" w:rsidRDefault="006D3AB5" w:rsidP="002A30A0">
            <w:pPr>
              <w:spacing w:after="60"/>
              <w:rPr>
                <w:rFonts w:eastAsia="Times New Roman"/>
                <w:sz w:val="20"/>
                <w:szCs w:val="20"/>
              </w:rPr>
            </w:pPr>
            <w:r w:rsidRPr="00475128">
              <w:rPr>
                <w:rFonts w:eastAsia="Times New Roman"/>
                <w:sz w:val="20"/>
                <w:szCs w:val="20"/>
              </w:rPr>
              <w:t>Ja nodokļa maksātājs papildus šajā pantā noteiktajam atbalstam saņem citu valsts atbalstu, Ministru kabinets nosaka maksimāli pieļaujamos procentus, kādus drīkst sasniegt nodokļa atlaižu summa attiecībā pret sākotnējo ilgtermiņa ieguldījumu summu.</w:t>
            </w:r>
          </w:p>
          <w:p w:rsidR="006D3AB5" w:rsidRPr="00475128" w:rsidRDefault="006D3AB5" w:rsidP="002A30A0">
            <w:pPr>
              <w:spacing w:after="60"/>
              <w:rPr>
                <w:bCs/>
                <w:sz w:val="20"/>
                <w:szCs w:val="20"/>
              </w:rPr>
            </w:pPr>
            <w:r w:rsidRPr="00475128">
              <w:rPr>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w:t>
            </w:r>
            <w:r w:rsidRPr="00475128">
              <w:rPr>
                <w:rFonts w:eastAsia="Times New Roman"/>
                <w:sz w:val="20"/>
                <w:szCs w:val="20"/>
              </w:rPr>
              <w:t>1.</w:t>
            </w:r>
            <w:r w:rsidRPr="00475128">
              <w:rPr>
                <w:rFonts w:eastAsia="Times New Roman"/>
                <w:sz w:val="20"/>
                <w:szCs w:val="20"/>
                <w:vertAlign w:val="superscript"/>
              </w:rPr>
              <w:t xml:space="preserve">1 </w:t>
            </w:r>
            <w:r w:rsidRPr="00475128">
              <w:rPr>
                <w:bCs/>
                <w:sz w:val="20"/>
                <w:szCs w:val="20"/>
              </w:rPr>
              <w:t>daļa)</w:t>
            </w:r>
          </w:p>
          <w:p w:rsidR="006D3AB5" w:rsidRPr="00475128" w:rsidRDefault="006D3AB5" w:rsidP="002A30A0">
            <w:pPr>
              <w:spacing w:after="60"/>
              <w:rPr>
                <w:rFonts w:eastAsia="Times New Roman"/>
                <w:sz w:val="20"/>
                <w:szCs w:val="20"/>
              </w:rPr>
            </w:pPr>
          </w:p>
          <w:p w:rsidR="006D3AB5" w:rsidRPr="00475128" w:rsidRDefault="006D3AB5" w:rsidP="002A30A0">
            <w:pPr>
              <w:spacing w:after="60"/>
              <w:rPr>
                <w:rFonts w:eastAsia="Times New Roman"/>
                <w:sz w:val="20"/>
                <w:szCs w:val="20"/>
              </w:rPr>
            </w:pPr>
            <w:r w:rsidRPr="00475128">
              <w:rPr>
                <w:rFonts w:eastAsia="Times New Roman"/>
                <w:sz w:val="20"/>
                <w:szCs w:val="20"/>
              </w:rPr>
              <w:t xml:space="preserve">Nodokļa maksātājs, kurš piemēro šā panta pirmajā daļā noteikto nodokļa atlaidi vai samazina nodokļa summu šā panta trešajā daļā noteiktajā kārtībā, nepiemēro šā likuma </w:t>
            </w:r>
            <w:hyperlink r:id="rId88" w:anchor="p13" w:history="1">
              <w:r w:rsidRPr="00475128">
                <w:rPr>
                  <w:rFonts w:eastAsia="Times New Roman"/>
                  <w:sz w:val="20"/>
                  <w:szCs w:val="20"/>
                </w:rPr>
                <w:t>13.panta</w:t>
              </w:r>
            </w:hyperlink>
            <w:r w:rsidRPr="00475128">
              <w:rPr>
                <w:rFonts w:eastAsia="Times New Roman"/>
                <w:sz w:val="20"/>
                <w:szCs w:val="20"/>
              </w:rPr>
              <w:t xml:space="preserve"> pirmās daļas 9.punktā un 1.</w:t>
            </w:r>
            <w:r w:rsidRPr="00475128">
              <w:rPr>
                <w:rFonts w:eastAsia="Times New Roman"/>
                <w:sz w:val="20"/>
                <w:szCs w:val="20"/>
                <w:vertAlign w:val="superscript"/>
              </w:rPr>
              <w:t>2</w:t>
            </w:r>
            <w:r w:rsidRPr="00475128">
              <w:rPr>
                <w:rFonts w:eastAsia="Times New Roman"/>
                <w:sz w:val="20"/>
                <w:szCs w:val="20"/>
              </w:rPr>
              <w:t xml:space="preserve"> daļā noteiktos atvieglojumus attiecībā uz atbalstāmo investīciju projekta ietvaros veiktajiem sākotnējiem ilgtermiņa ieguldījumiem un 18. un 21.pantā noteiktās nodokļa atlaides, kā arī likumā “</w:t>
            </w:r>
            <w:hyperlink r:id="rId89" w:tgtFrame="_blank" w:history="1">
              <w:r w:rsidRPr="00475128">
                <w:rPr>
                  <w:rFonts w:eastAsia="Times New Roman"/>
                  <w:sz w:val="20"/>
                  <w:szCs w:val="20"/>
                </w:rPr>
                <w:t>Par nodokļu piemērošanu BO un SEZ</w:t>
              </w:r>
            </w:hyperlink>
            <w:r w:rsidRPr="00475128">
              <w:rPr>
                <w:rFonts w:eastAsia="Times New Roman"/>
                <w:sz w:val="20"/>
                <w:szCs w:val="20"/>
              </w:rPr>
              <w:t xml:space="preserve">” noteikto uzņēmumu ienākuma nodokļa atlaidi. </w:t>
            </w:r>
          </w:p>
          <w:p w:rsidR="006D3AB5" w:rsidRPr="00475128" w:rsidRDefault="006D3AB5" w:rsidP="002A30A0">
            <w:pPr>
              <w:spacing w:after="60"/>
              <w:rPr>
                <w:rFonts w:eastAsia="Times New Roman"/>
                <w:sz w:val="20"/>
                <w:szCs w:val="20"/>
              </w:rPr>
            </w:pPr>
            <w:r w:rsidRPr="00475128">
              <w:rPr>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5.daļa)</w:t>
            </w:r>
          </w:p>
          <w:p w:rsidR="006D3AB5" w:rsidRPr="00475128" w:rsidRDefault="006D3AB5" w:rsidP="002A30A0">
            <w:pPr>
              <w:spacing w:after="60"/>
              <w:rPr>
                <w:rFonts w:eastAsia="Times New Roman"/>
                <w:sz w:val="20"/>
                <w:szCs w:val="20"/>
              </w:rPr>
            </w:pPr>
            <w:r w:rsidRPr="00475128">
              <w:rPr>
                <w:rFonts w:eastAsia="Times New Roman"/>
                <w:sz w:val="20"/>
                <w:szCs w:val="20"/>
              </w:rPr>
              <w:t>Šajā pantā noteikto nodokļa atlaidi nepiemēro nodokļa maksātājs:</w:t>
            </w:r>
          </w:p>
          <w:p w:rsidR="006D3AB5" w:rsidRPr="00475128" w:rsidRDefault="006D3AB5" w:rsidP="002A30A0">
            <w:pPr>
              <w:spacing w:after="60"/>
              <w:rPr>
                <w:rFonts w:eastAsia="Times New Roman"/>
                <w:sz w:val="20"/>
                <w:szCs w:val="20"/>
              </w:rPr>
            </w:pPr>
            <w:r w:rsidRPr="00475128">
              <w:rPr>
                <w:rFonts w:eastAsia="Times New Roman"/>
                <w:sz w:val="20"/>
                <w:szCs w:val="20"/>
              </w:rPr>
              <w:t>1) sākot ar taksācijas periodu, kurā nodokļa maksātājs ar tiesas lēmumu ir atzīts par maksātnespējīgu, tai skaitā atrodas sanācijas procesā, tiesiskās aizsardzības procesā (arī ārpustiesas tiesiskās aizsardzības procesā), tā saimnieciskā darbība ir izbeigta vai tas atrodas likvidācijas procesā;</w:t>
            </w:r>
          </w:p>
          <w:p w:rsidR="006D3AB5" w:rsidRPr="00475128" w:rsidRDefault="006D3AB5" w:rsidP="002A30A0">
            <w:pPr>
              <w:spacing w:after="60"/>
              <w:rPr>
                <w:rFonts w:eastAsia="Times New Roman"/>
                <w:sz w:val="20"/>
                <w:szCs w:val="20"/>
              </w:rPr>
            </w:pPr>
            <w:r w:rsidRPr="00475128">
              <w:rPr>
                <w:rFonts w:eastAsia="Times New Roman"/>
                <w:sz w:val="20"/>
                <w:szCs w:val="20"/>
              </w:rPr>
              <w:t xml:space="preserve">2) sākot ar taksācijas periodu, kurā nodokļa maksātāja pamatkapitāls ir samazinājies vairāk nekā uz pusi un vairāk nekā ceturtā daļa no šā pamatkapitāla samazinājuma ir samazināta pēdējo 12 mēnešu laikā pirms projekta iesniegšanas Ekonomikas ministrijai. Šis punkts neattiecas uz komersantiem, kuri atbilst Komisijas 2008.gada 6.augusta regulas (EK) Nr. </w:t>
            </w:r>
            <w:hyperlink r:id="rId90" w:tgtFrame="_blank" w:tooltip="Atvērt regulu latviešu valodā" w:history="1">
              <w:r w:rsidRPr="00475128">
                <w:rPr>
                  <w:rFonts w:eastAsia="Times New Roman"/>
                  <w:sz w:val="20"/>
                  <w:szCs w:val="20"/>
                </w:rPr>
                <w:t>800/2008</w:t>
              </w:r>
            </w:hyperlink>
            <w:r w:rsidRPr="00475128">
              <w:rPr>
                <w:rFonts w:eastAsia="Times New Roman"/>
                <w:sz w:val="20"/>
                <w:szCs w:val="20"/>
              </w:rPr>
              <w:t xml:space="preserve">, kas atzīst noteiktas atbalsta kategorijas par saderīgām ar kopējo tirgu, piemērojot Līguma 87. un 88.pantu (vispārējā grupu atbrīvojuma regula) (Dokuments attiecas uz EEZ) 1.pielikumā ietvertajai definīcijai, ja tie reģistrēti mazāk nekā pirms trim gadiem; </w:t>
            </w:r>
          </w:p>
          <w:p w:rsidR="006D3AB5" w:rsidRPr="00475128" w:rsidRDefault="006D3AB5" w:rsidP="002A30A0">
            <w:pPr>
              <w:spacing w:after="60"/>
              <w:rPr>
                <w:rFonts w:eastAsia="Times New Roman"/>
                <w:sz w:val="20"/>
                <w:szCs w:val="20"/>
              </w:rPr>
            </w:pPr>
            <w:r w:rsidRPr="00475128">
              <w:rPr>
                <w:rFonts w:eastAsia="Times New Roman"/>
                <w:sz w:val="20"/>
                <w:szCs w:val="20"/>
              </w:rPr>
              <w:t>3) kuram taksācijas perioda pēdējā dienā ir nodokļu parādi;</w:t>
            </w:r>
          </w:p>
          <w:p w:rsidR="006D3AB5" w:rsidRPr="00475128" w:rsidRDefault="006D3AB5" w:rsidP="002A30A0">
            <w:pPr>
              <w:spacing w:after="60"/>
              <w:rPr>
                <w:rFonts w:eastAsia="Times New Roman"/>
                <w:sz w:val="20"/>
                <w:szCs w:val="20"/>
              </w:rPr>
            </w:pPr>
            <w:r w:rsidRPr="00475128">
              <w:rPr>
                <w:rFonts w:eastAsia="Times New Roman"/>
                <w:sz w:val="20"/>
                <w:szCs w:val="20"/>
              </w:rPr>
              <w:t>4) uz kuru attiecas līdzekļu atgūšanas rīkojums saskaņā ar Eiropas Komisijas lēmumu, ar ko valsts vai Eiropas Savienības atbalsts tiek atzīts par nelikumīgu un nesaderīgu ar kopējo tirgu.</w:t>
            </w:r>
          </w:p>
          <w:p w:rsidR="006D3AB5" w:rsidRPr="00475128" w:rsidRDefault="006D3AB5" w:rsidP="002A30A0">
            <w:pPr>
              <w:spacing w:after="60"/>
              <w:rPr>
                <w:rFonts w:eastAsia="Times New Roman"/>
                <w:sz w:val="20"/>
                <w:szCs w:val="20"/>
              </w:rPr>
            </w:pPr>
            <w:r w:rsidRPr="00475128">
              <w:rPr>
                <w:rFonts w:eastAsia="Times New Roman"/>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6.daļa)</w:t>
            </w:r>
          </w:p>
          <w:p w:rsidR="006D3AB5" w:rsidRPr="00475128" w:rsidRDefault="006D3AB5" w:rsidP="002A30A0">
            <w:pPr>
              <w:spacing w:after="60"/>
              <w:rPr>
                <w:rFonts w:eastAsia="Times New Roman"/>
                <w:sz w:val="20"/>
                <w:szCs w:val="20"/>
              </w:rPr>
            </w:pPr>
            <w:r w:rsidRPr="00475128">
              <w:rPr>
                <w:rFonts w:eastAsia="Times New Roman"/>
                <w:sz w:val="20"/>
                <w:szCs w:val="20"/>
              </w:rPr>
              <w:t>Ēkas un būves, kurās veikti sākotnējie ilgtermiņa ieguldījumi, paliek nodokļa maksātāja īpašumā un netiek pārceltas uz citu valsti, kā arī tiek izmantotas tā saimnieciskajā darbībā ne mazāk kā 10 taksācijas periodus, tehnoloģiskās iekārtas un mašīnas — piecus taksācijas periodus, sākot ar taksācijas periodu, kurā pabeigts atbalstāmo investīciju projekts.</w:t>
            </w:r>
          </w:p>
          <w:p w:rsidR="006D3AB5" w:rsidRPr="00475128" w:rsidRDefault="006D3AB5" w:rsidP="002A30A0">
            <w:pPr>
              <w:spacing w:after="60"/>
              <w:rPr>
                <w:rFonts w:eastAsia="Times New Roman"/>
                <w:sz w:val="20"/>
                <w:szCs w:val="20"/>
              </w:rPr>
            </w:pPr>
            <w:r w:rsidRPr="00475128">
              <w:rPr>
                <w:rFonts w:eastAsia="Times New Roman"/>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9.daļa)</w:t>
            </w:r>
          </w:p>
          <w:p w:rsidR="006D3AB5" w:rsidRPr="00475128" w:rsidRDefault="006D3AB5" w:rsidP="002A30A0">
            <w:pPr>
              <w:spacing w:after="60"/>
              <w:rPr>
                <w:rFonts w:eastAsia="Times New Roman"/>
                <w:sz w:val="20"/>
                <w:szCs w:val="20"/>
              </w:rPr>
            </w:pPr>
            <w:r w:rsidRPr="00475128">
              <w:rPr>
                <w:rFonts w:eastAsia="Times New Roman"/>
                <w:sz w:val="20"/>
                <w:szCs w:val="20"/>
              </w:rPr>
              <w:t xml:space="preserve">Nodokļa maksātājs nodokļa atlaidi ir tiesīgs saņemt ne vairāk kā vienu reizi 10 taksācijas periodos. </w:t>
            </w:r>
          </w:p>
          <w:p w:rsidR="006D3AB5" w:rsidRPr="00475128" w:rsidRDefault="006D3AB5" w:rsidP="002A30A0">
            <w:pPr>
              <w:spacing w:after="60"/>
              <w:rPr>
                <w:rFonts w:eastAsia="Times New Roman"/>
                <w:sz w:val="20"/>
                <w:szCs w:val="20"/>
              </w:rPr>
            </w:pPr>
            <w:r w:rsidRPr="00475128">
              <w:rPr>
                <w:rFonts w:eastAsia="Times New Roman"/>
                <w:sz w:val="20"/>
                <w:szCs w:val="20"/>
              </w:rPr>
              <w:t>(</w:t>
            </w:r>
            <w:r w:rsidRPr="00475128">
              <w:rPr>
                <w:bCs/>
                <w:sz w:val="20"/>
                <w:szCs w:val="20"/>
              </w:rPr>
              <w:t>17.</w:t>
            </w:r>
            <w:r w:rsidRPr="00475128">
              <w:rPr>
                <w:bCs/>
                <w:sz w:val="20"/>
                <w:szCs w:val="20"/>
                <w:vertAlign w:val="superscript"/>
              </w:rPr>
              <w:t>2</w:t>
            </w:r>
            <w:r w:rsidRPr="00475128">
              <w:rPr>
                <w:bCs/>
                <w:sz w:val="20"/>
                <w:szCs w:val="20"/>
              </w:rPr>
              <w:t xml:space="preserve"> panta 12.daļa)</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7.</w:t>
            </w:r>
          </w:p>
        </w:tc>
        <w:tc>
          <w:tcPr>
            <w:tcW w:w="3870" w:type="dxa"/>
          </w:tcPr>
          <w:p w:rsidR="006D3AB5" w:rsidRPr="00475128" w:rsidRDefault="006D3AB5" w:rsidP="002A30A0">
            <w:pPr>
              <w:spacing w:after="60"/>
              <w:rPr>
                <w:b/>
                <w:sz w:val="20"/>
                <w:szCs w:val="20"/>
              </w:rPr>
            </w:pPr>
            <w:r w:rsidRPr="00475128">
              <w:rPr>
                <w:b/>
                <w:sz w:val="20"/>
                <w:szCs w:val="20"/>
              </w:rPr>
              <w:t>Ienākumi vai zaudējumi no akciju atsavināšanas netiek ņemti vērā nosakot apliekamo ienākumu.</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Nodokļa maksātāja apliekamo ienākumu palielina</w:t>
            </w:r>
            <w:r w:rsidRPr="00475128">
              <w:rPr>
                <w:rFonts w:ascii="Calibri" w:hAnsi="Calibri"/>
                <w:b/>
                <w:sz w:val="20"/>
                <w:szCs w:val="20"/>
                <w:lang w:val="lv-LV"/>
              </w:rPr>
              <w:t xml:space="preserve"> </w:t>
            </w:r>
            <w:r w:rsidRPr="00475128">
              <w:rPr>
                <w:rFonts w:ascii="Calibri" w:hAnsi="Calibri"/>
                <w:sz w:val="20"/>
                <w:szCs w:val="20"/>
                <w:lang w:val="lv-LV"/>
              </w:rPr>
              <w:t xml:space="preserve">par: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8) zaudējumiem, kas radušies no akciju atsavināšanas;</w:t>
            </w:r>
          </w:p>
          <w:p w:rsidR="006D3AB5" w:rsidRPr="00475128" w:rsidRDefault="006D3AB5" w:rsidP="002A30A0">
            <w:pPr>
              <w:spacing w:after="60"/>
              <w:rPr>
                <w:sz w:val="20"/>
                <w:szCs w:val="20"/>
              </w:rPr>
            </w:pPr>
            <w:r w:rsidRPr="00475128">
              <w:rPr>
                <w:sz w:val="20"/>
                <w:szCs w:val="20"/>
              </w:rPr>
              <w:t>(6.panta 1.daļas 8.punkts)</w:t>
            </w:r>
          </w:p>
          <w:p w:rsidR="006D3AB5" w:rsidRPr="00475128" w:rsidRDefault="006D3AB5" w:rsidP="002A30A0">
            <w:pPr>
              <w:pStyle w:val="tv2131"/>
              <w:spacing w:before="0" w:after="60" w:line="276" w:lineRule="auto"/>
              <w:ind w:firstLine="0"/>
              <w:rPr>
                <w:rFonts w:ascii="Calibri" w:eastAsia="Calibri" w:hAnsi="Calibri"/>
                <w:sz w:val="20"/>
                <w:szCs w:val="20"/>
                <w:lang w:val="lv-LV"/>
              </w:rPr>
            </w:pP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Nosakot apliekamo ienākumu, nodokļa maksātāja peļņu samazina: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9) par ienākumu no akciju atsavināšanas</w:t>
            </w:r>
          </w:p>
          <w:p w:rsidR="006D3AB5" w:rsidRPr="00475128" w:rsidRDefault="006D3AB5" w:rsidP="002A30A0">
            <w:pPr>
              <w:spacing w:after="60"/>
              <w:rPr>
                <w:sz w:val="20"/>
                <w:szCs w:val="20"/>
              </w:rPr>
            </w:pPr>
            <w:r w:rsidRPr="00475128">
              <w:rPr>
                <w:sz w:val="20"/>
                <w:szCs w:val="20"/>
              </w:rPr>
              <w:t>(6.panta 4.daļas 9.punkts)</w:t>
            </w:r>
          </w:p>
        </w:tc>
        <w:tc>
          <w:tcPr>
            <w:tcW w:w="4140" w:type="dxa"/>
          </w:tcPr>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Nodokļa maksātāja peļņu nesamazina par ienākumu no akciju atsavināšanas, ja kapitālsabiedrība, kuras akciju atsavināšana notikusi, ir tādas valsts vai teritorijas rezidents, kura saskaņā ar normatīvo aktu noteikumiem ir atzīta par zemu nodokļu vai beznodokļu valsti vai teritoriju;</w:t>
            </w:r>
          </w:p>
          <w:p w:rsidR="006D3AB5" w:rsidRPr="00475128" w:rsidRDefault="006D3AB5" w:rsidP="002A30A0">
            <w:pPr>
              <w:spacing w:after="60"/>
              <w:rPr>
                <w:sz w:val="20"/>
                <w:szCs w:val="20"/>
              </w:rPr>
            </w:pPr>
            <w:r w:rsidRPr="00475128">
              <w:rPr>
                <w:sz w:val="20"/>
                <w:szCs w:val="20"/>
              </w:rPr>
              <w:t>(6.panta 4.daļas 9.punkts)</w:t>
            </w:r>
          </w:p>
          <w:p w:rsidR="006D3AB5" w:rsidRPr="00475128" w:rsidRDefault="006D3AB5" w:rsidP="002A30A0">
            <w:pPr>
              <w:pStyle w:val="tv2131"/>
              <w:spacing w:before="0" w:after="60" w:line="276" w:lineRule="auto"/>
              <w:ind w:firstLine="0"/>
              <w:rPr>
                <w:rFonts w:ascii="Calibri" w:hAnsi="Calibri"/>
                <w:sz w:val="20"/>
                <w:szCs w:val="20"/>
                <w:lang w:val="lv-LV"/>
              </w:rPr>
            </w:pPr>
          </w:p>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8.</w:t>
            </w:r>
          </w:p>
        </w:tc>
        <w:tc>
          <w:tcPr>
            <w:tcW w:w="3870" w:type="dxa"/>
          </w:tcPr>
          <w:p w:rsidR="006D3AB5" w:rsidRPr="00475128" w:rsidRDefault="006D3AB5" w:rsidP="002A30A0">
            <w:pPr>
              <w:pStyle w:val="tv2131"/>
              <w:spacing w:before="0" w:after="60" w:line="276" w:lineRule="auto"/>
              <w:ind w:firstLine="0"/>
              <w:rPr>
                <w:rFonts w:ascii="Calibri" w:hAnsi="Calibri"/>
                <w:b/>
                <w:sz w:val="20"/>
                <w:szCs w:val="20"/>
                <w:lang w:val="lv-LV"/>
              </w:rPr>
            </w:pPr>
            <w:r w:rsidRPr="00475128">
              <w:rPr>
                <w:rFonts w:ascii="Calibri" w:hAnsi="Calibri"/>
                <w:b/>
                <w:sz w:val="20"/>
                <w:szCs w:val="20"/>
                <w:lang w:val="lv-LV"/>
              </w:rPr>
              <w:t>Apliekamā ienākuma samazinājums par saņemamo dividenžu summu.</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Nodokļa maksātāja apliekamo ienākumu samazina par uzņēmuma gada pārskata peļņas vai zaudējumu aprēķinā uzrādīto saņemamo dividenžu summu. </w:t>
            </w:r>
          </w:p>
          <w:p w:rsidR="006D3AB5" w:rsidRPr="00475128" w:rsidRDefault="006D3AB5" w:rsidP="002A30A0">
            <w:pPr>
              <w:spacing w:after="60"/>
              <w:rPr>
                <w:sz w:val="20"/>
                <w:szCs w:val="20"/>
              </w:rPr>
            </w:pPr>
            <w:r w:rsidRPr="00475128">
              <w:rPr>
                <w:sz w:val="20"/>
                <w:szCs w:val="20"/>
              </w:rPr>
              <w:t>(11.panta 1.daļa)</w:t>
            </w:r>
          </w:p>
        </w:tc>
        <w:tc>
          <w:tcPr>
            <w:tcW w:w="4140" w:type="dxa"/>
          </w:tcPr>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Nodokļa maksātāja apliekamo ienākumu palielina par dividenžu summu, kas saņemama no dividenžu izmaksātāja, kurš ir tādas valsts vai teritorijas rezidents, kura saskaņā ar normatīvo aktu noteikumiem ir atzīta par zemu nodokļu vai beznodokļu valsti vai teritoriju.</w:t>
            </w:r>
          </w:p>
          <w:p w:rsidR="006D3AB5" w:rsidRPr="00475128" w:rsidRDefault="006D3AB5" w:rsidP="002A30A0">
            <w:pPr>
              <w:spacing w:after="60"/>
              <w:rPr>
                <w:sz w:val="20"/>
                <w:szCs w:val="20"/>
              </w:rPr>
            </w:pPr>
            <w:r w:rsidRPr="00475128">
              <w:rPr>
                <w:sz w:val="20"/>
                <w:szCs w:val="20"/>
              </w:rPr>
              <w:t>(11.panta 2.daļa)</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9.</w:t>
            </w:r>
          </w:p>
        </w:tc>
        <w:tc>
          <w:tcPr>
            <w:tcW w:w="3870" w:type="dxa"/>
          </w:tcPr>
          <w:p w:rsidR="006D3AB5" w:rsidRPr="00475128" w:rsidRDefault="006D3AB5" w:rsidP="002A30A0">
            <w:pPr>
              <w:spacing w:after="60"/>
              <w:rPr>
                <w:b/>
                <w:sz w:val="20"/>
                <w:szCs w:val="20"/>
              </w:rPr>
            </w:pPr>
            <w:r w:rsidRPr="00475128">
              <w:rPr>
                <w:b/>
                <w:sz w:val="20"/>
                <w:szCs w:val="20"/>
              </w:rPr>
              <w:t>Izmaksājamo dividenžu atbrīvojums no nodokļa.</w:t>
            </w:r>
          </w:p>
          <w:p w:rsidR="006D3AB5" w:rsidRPr="00475128" w:rsidRDefault="006D3AB5" w:rsidP="002A30A0">
            <w:pPr>
              <w:spacing w:after="60"/>
              <w:rPr>
                <w:sz w:val="20"/>
                <w:szCs w:val="20"/>
              </w:rPr>
            </w:pPr>
            <w:r w:rsidRPr="00475128">
              <w:rPr>
                <w:sz w:val="20"/>
                <w:szCs w:val="20"/>
              </w:rPr>
              <w:t>3.panta 4.daļas 1.punkts ir izslēgts no 01.01.2013., kas nozīmē, ka ar 2013.gadu vairs netiek ar uzņēmumu ienākuma nodokli apliktas dividendes, ko Latvijas rezidenti un pastāvīgās pārstāvniecības izmaksā nerezidentiem.</w:t>
            </w:r>
          </w:p>
          <w:p w:rsidR="006D3AB5" w:rsidRPr="00475128" w:rsidRDefault="006D3AB5" w:rsidP="002A30A0">
            <w:pPr>
              <w:spacing w:after="60"/>
              <w:rPr>
                <w:sz w:val="20"/>
                <w:szCs w:val="20"/>
              </w:rPr>
            </w:pPr>
            <w:r w:rsidRPr="00475128">
              <w:rPr>
                <w:sz w:val="20"/>
                <w:szCs w:val="20"/>
              </w:rPr>
              <w:t>(100.pārejas punkts)</w:t>
            </w:r>
          </w:p>
        </w:tc>
        <w:tc>
          <w:tcPr>
            <w:tcW w:w="4140" w:type="dxa"/>
          </w:tcPr>
          <w:p w:rsidR="006D3AB5" w:rsidRPr="00475128" w:rsidRDefault="006D3AB5" w:rsidP="002A30A0">
            <w:pPr>
              <w:spacing w:after="60"/>
              <w:rPr>
                <w:sz w:val="20"/>
                <w:szCs w:val="20"/>
              </w:rPr>
            </w:pPr>
            <w:r w:rsidRPr="00475128">
              <w:rPr>
                <w:sz w:val="20"/>
                <w:szCs w:val="20"/>
              </w:rPr>
              <w:t>Neatkarīgi no jebkuriem šā likuma noteikumiem uzņēmumu ienākuma nodokli ietur pēc 15% likmes no visiem maksājumiem, ko Latvijas rezidenti vai nerezidentu pastāvīgās pārstāvniecības izmaksā juridiskajām, fiziskajām un citām personām, kuras atrodas, ir izveidotas vai nodibinātas Ministru kabineta noteikumos minētajās zemu nodokļu un beznodokļu valstīs vai teritorijās, ieskaitot maksājumus šo personu pārstāvjiem vai trešo personu banku kontos un maksājumus, kas veikti savstarpēja norēķinu ieskaita veidā.</w:t>
            </w:r>
          </w:p>
          <w:p w:rsidR="006D3AB5" w:rsidRPr="00475128" w:rsidRDefault="006D3AB5" w:rsidP="002A30A0">
            <w:pPr>
              <w:spacing w:after="60"/>
              <w:rPr>
                <w:sz w:val="20"/>
                <w:szCs w:val="20"/>
              </w:rPr>
            </w:pPr>
            <w:r w:rsidRPr="00475128">
              <w:rPr>
                <w:sz w:val="20"/>
                <w:szCs w:val="20"/>
              </w:rPr>
              <w:t>(3.panta 8.daļa)</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10.</w:t>
            </w:r>
          </w:p>
        </w:tc>
        <w:tc>
          <w:tcPr>
            <w:tcW w:w="3870" w:type="dxa"/>
          </w:tcPr>
          <w:p w:rsidR="006D3AB5" w:rsidRPr="00475128" w:rsidRDefault="006D3AB5" w:rsidP="002A30A0">
            <w:pPr>
              <w:spacing w:after="60"/>
              <w:rPr>
                <w:b/>
                <w:sz w:val="20"/>
                <w:szCs w:val="20"/>
              </w:rPr>
            </w:pPr>
            <w:r w:rsidRPr="00475128">
              <w:rPr>
                <w:b/>
                <w:sz w:val="20"/>
                <w:szCs w:val="20"/>
              </w:rPr>
              <w:t>Procentu maksājumu un maksājumu par intelektuālo īpašumu atbrīvojums no uzņēmumu ienākuma nodokļa.</w:t>
            </w:r>
          </w:p>
          <w:p w:rsidR="006D3AB5" w:rsidRPr="00475128" w:rsidRDefault="006D3AB5" w:rsidP="002A30A0">
            <w:pPr>
              <w:spacing w:after="60"/>
              <w:rPr>
                <w:sz w:val="20"/>
                <w:szCs w:val="20"/>
              </w:rPr>
            </w:pPr>
            <w:r w:rsidRPr="00475128">
              <w:rPr>
                <w:sz w:val="20"/>
                <w:szCs w:val="20"/>
              </w:rPr>
              <w:t xml:space="preserve">Grozījumi paredz neieturēt uzņēmumu ienākuma nodokli no procentu maksājumiem un maksājumiem par intelektuālo īpašumu (grozījumu spēkā stāšanās datumus </w:t>
            </w:r>
            <w:proofErr w:type="spellStart"/>
            <w:r w:rsidRPr="00475128">
              <w:rPr>
                <w:sz w:val="20"/>
                <w:szCs w:val="20"/>
              </w:rPr>
              <w:t>skat.zemāk</w:t>
            </w:r>
            <w:proofErr w:type="spellEnd"/>
            <w:r w:rsidRPr="00475128">
              <w:rPr>
                <w:sz w:val="20"/>
                <w:szCs w:val="20"/>
              </w:rPr>
              <w:t>):</w:t>
            </w:r>
          </w:p>
          <w:p w:rsidR="006D3AB5" w:rsidRPr="00475128" w:rsidRDefault="006D3AB5" w:rsidP="002A30A0">
            <w:pPr>
              <w:spacing w:after="60"/>
              <w:rPr>
                <w:sz w:val="20"/>
                <w:szCs w:val="20"/>
              </w:rPr>
            </w:pPr>
            <w:r w:rsidRPr="00475128">
              <w:rPr>
                <w:sz w:val="20"/>
                <w:szCs w:val="20"/>
              </w:rPr>
              <w:t>Grozījumi attiecībā uz likuma 3.panta ceturtās daļas 3. un 4.punkta, 4.</w:t>
            </w:r>
            <w:r w:rsidRPr="00475128">
              <w:rPr>
                <w:sz w:val="20"/>
                <w:szCs w:val="20"/>
                <w:vertAlign w:val="superscript"/>
              </w:rPr>
              <w:t>3</w:t>
            </w:r>
            <w:r w:rsidRPr="00475128">
              <w:rPr>
                <w:sz w:val="20"/>
                <w:szCs w:val="20"/>
              </w:rPr>
              <w:t>, 4.</w:t>
            </w:r>
            <w:r w:rsidRPr="00475128">
              <w:rPr>
                <w:sz w:val="20"/>
                <w:szCs w:val="20"/>
                <w:vertAlign w:val="superscript"/>
              </w:rPr>
              <w:t>4</w:t>
            </w:r>
            <w:r w:rsidRPr="00475128">
              <w:rPr>
                <w:sz w:val="20"/>
                <w:szCs w:val="20"/>
              </w:rPr>
              <w:t xml:space="preserve"> un 4.</w:t>
            </w:r>
            <w:r w:rsidRPr="00475128">
              <w:rPr>
                <w:sz w:val="20"/>
                <w:szCs w:val="20"/>
                <w:vertAlign w:val="superscript"/>
              </w:rPr>
              <w:t>6</w:t>
            </w:r>
            <w:r w:rsidRPr="00475128">
              <w:rPr>
                <w:sz w:val="20"/>
                <w:szCs w:val="20"/>
              </w:rPr>
              <w:t xml:space="preserve"> daļas un 24.panta 1.</w:t>
            </w:r>
            <w:r w:rsidRPr="00475128">
              <w:rPr>
                <w:sz w:val="20"/>
                <w:szCs w:val="20"/>
                <w:vertAlign w:val="superscript"/>
              </w:rPr>
              <w:t>2</w:t>
            </w:r>
            <w:r w:rsidRPr="00475128">
              <w:rPr>
                <w:sz w:val="20"/>
                <w:szCs w:val="20"/>
              </w:rPr>
              <w:t xml:space="preserve"> daļas izslēgšanu stājas spēkā 2013.gada 1.jūlijā un ir piemērojami tiem procentu un samaksas par intelektuālo īpašumu maksājumiem, kas tiek veikti Eiropas Savienības dalībvalstu saistītai sabiedrībai vai tās pastāvīgajai pārstāvniecībai pēc 2013.gada 30.jūnija, bet no 2014.gada 1.janvāra šie grozījumi ir piemērojami visiem procentu un samaksas par intelektuālo īpašumu maksājumiem, kas tiek veikti pēc 2013.gada 31.decembra.</w:t>
            </w:r>
          </w:p>
          <w:p w:rsidR="006D3AB5" w:rsidRPr="00475128" w:rsidRDefault="006D3AB5" w:rsidP="002A30A0">
            <w:pPr>
              <w:spacing w:after="60"/>
              <w:rPr>
                <w:sz w:val="20"/>
                <w:szCs w:val="20"/>
              </w:rPr>
            </w:pPr>
            <w:r w:rsidRPr="00475128">
              <w:rPr>
                <w:sz w:val="20"/>
                <w:szCs w:val="20"/>
              </w:rPr>
              <w:t>(101.pārejas punkts)</w:t>
            </w:r>
          </w:p>
          <w:p w:rsidR="006D3AB5" w:rsidRPr="00475128" w:rsidRDefault="006D3AB5" w:rsidP="002A30A0">
            <w:pPr>
              <w:spacing w:after="60"/>
              <w:rPr>
                <w:sz w:val="20"/>
                <w:szCs w:val="20"/>
              </w:rPr>
            </w:pPr>
          </w:p>
          <w:p w:rsidR="006D3AB5" w:rsidRPr="00475128" w:rsidRDefault="006D3AB5" w:rsidP="002A30A0">
            <w:pPr>
              <w:spacing w:after="60"/>
              <w:rPr>
                <w:rFonts w:eastAsia="Times New Roman"/>
                <w:sz w:val="20"/>
                <w:szCs w:val="20"/>
              </w:rPr>
            </w:pPr>
            <w:r w:rsidRPr="00475128">
              <w:rPr>
                <w:rFonts w:eastAsia="Times New Roman"/>
                <w:sz w:val="20"/>
                <w:szCs w:val="20"/>
              </w:rPr>
              <w:t>Grozījumi attiecībā uz likuma 3.panta vienpadsmitās, divpadsmitās, trīspadsmitās un četrpadsmitās daļas izslēgšanu stājas spēkā 2014.gada 1.janvārī. No 2013.gada 1.janvāra līdz 2013.gada 31.decembrim attiecībā uz šā likuma 3.panta trīspadsmitajā un četrpadsmitajā daļā minēto piemēro šādu regulējumu:</w:t>
            </w:r>
          </w:p>
          <w:p w:rsidR="006D3AB5" w:rsidRPr="00475128" w:rsidRDefault="006D3AB5" w:rsidP="002A30A0">
            <w:pPr>
              <w:spacing w:after="60"/>
              <w:rPr>
                <w:rFonts w:eastAsia="Times New Roman"/>
                <w:sz w:val="20"/>
                <w:szCs w:val="20"/>
              </w:rPr>
            </w:pPr>
            <w:r w:rsidRPr="00475128">
              <w:rPr>
                <w:rFonts w:eastAsia="Times New Roman"/>
                <w:sz w:val="20"/>
                <w:szCs w:val="20"/>
              </w:rPr>
              <w:t>1) ja procentu vai samaksas par intelektuālo īpašumu izmaksas brīdī izmaksātāja rīcībā nav bijusi attiecīgā ienākuma saņēmēja rezidences valsts nodokļu administrācijas izsniegta izziņa vai to aizvietojošie šā likuma 3.panta četrpadsmitajā daļā minētie dokumenti un 3.panta ceturtās daļas 3. vai 4.punktā noteiktais atbrīvojums nav ticis piemērots ienākuma izmaksas brīdī, bet ienākuma saņēmējs uzskata, ka ir tiesīgs to izmantot, tad pārmaksātās nodokļa summas atgūšanai ienākuma saņēmējs triju gadu laikā no maksājumu izmaksas dienas iesniedz Valsts ieņēmumu dienestam ienākuma saņēmēja rezidences valsts nodokļu administrācijas izsniegtu izziņu vai to aizvietojošos šā likuma 3.panta četrpadsmitajā daļā minētos dokumentus, kas apstiprina, ka ienākuma izmaksas brīdī sabiedrība - ienākuma saņēmēja atbilst visām šā likuma 1.panta 19.</w:t>
            </w:r>
            <w:r w:rsidRPr="00475128">
              <w:rPr>
                <w:rFonts w:eastAsia="Times New Roman"/>
                <w:sz w:val="20"/>
                <w:szCs w:val="20"/>
                <w:vertAlign w:val="superscript"/>
              </w:rPr>
              <w:t>1</w:t>
            </w:r>
            <w:r w:rsidRPr="00475128">
              <w:rPr>
                <w:rFonts w:eastAsia="Times New Roman"/>
                <w:sz w:val="20"/>
                <w:szCs w:val="20"/>
              </w:rPr>
              <w:t xml:space="preserve"> daļas prasībām. Pēc tam, kad pieņemts lēmums par pārmaksātā nodokļa atmaksāšanu, Valsts ieņēmumu dienests atmaksā papildus iekasēto summu likumā "</w:t>
            </w:r>
            <w:hyperlink r:id="rId91" w:tgtFrame="_blank" w:history="1">
              <w:r w:rsidRPr="00475128">
                <w:rPr>
                  <w:rFonts w:eastAsia="Times New Roman"/>
                  <w:sz w:val="20"/>
                  <w:szCs w:val="20"/>
                </w:rPr>
                <w:t>Par nodokļiem un nodevām</w:t>
              </w:r>
            </w:hyperlink>
            <w:r w:rsidRPr="00475128">
              <w:rPr>
                <w:rFonts w:eastAsia="Times New Roman"/>
                <w:sz w:val="20"/>
                <w:szCs w:val="20"/>
              </w:rPr>
              <w:t>" noteiktajā kārtībā un termiņos. Šā apakšpunkta piemērošanai ienākuma saņēmēja rezidences valsts nodokļu administrācijas izsniegta izziņa vai to aizvietojošie dokumenti ir derīgi tikai tā pārmaksātā nodokļa atmaksāšanai, kas ieturēts no ienākuma, kura izmaksas brīdī tie apstiprina, ka sabiedrība - ienākuma saņēmēja atbilst visām šā likuma 1.panta 19.</w:t>
            </w:r>
            <w:r w:rsidRPr="00475128">
              <w:rPr>
                <w:rFonts w:eastAsia="Times New Roman"/>
                <w:sz w:val="20"/>
                <w:szCs w:val="20"/>
                <w:vertAlign w:val="superscript"/>
              </w:rPr>
              <w:t>1</w:t>
            </w:r>
            <w:r w:rsidRPr="00475128">
              <w:rPr>
                <w:rFonts w:eastAsia="Times New Roman"/>
                <w:sz w:val="20"/>
                <w:szCs w:val="20"/>
              </w:rPr>
              <w:t xml:space="preserve"> daļas prasībām;</w:t>
            </w:r>
          </w:p>
          <w:p w:rsidR="006D3AB5" w:rsidRPr="00475128" w:rsidRDefault="006D3AB5" w:rsidP="002A30A0">
            <w:pPr>
              <w:spacing w:after="60"/>
              <w:rPr>
                <w:rFonts w:eastAsia="Times New Roman"/>
                <w:sz w:val="20"/>
                <w:szCs w:val="20"/>
              </w:rPr>
            </w:pPr>
            <w:r w:rsidRPr="00475128">
              <w:rPr>
                <w:rFonts w:eastAsia="Times New Roman"/>
                <w:sz w:val="20"/>
                <w:szCs w:val="20"/>
              </w:rPr>
              <w:t>2) ja sabiedrības - procentu vai samaksas par intelektuālo īpašumu saņēmējas rezidences valsts nodokļu administrācija neizsniedz atsevišķu izziņu, kas apstiprina, ka sabiedrība atbilst visām šā likuma 1.panta 19.</w:t>
            </w:r>
            <w:r w:rsidRPr="00475128">
              <w:rPr>
                <w:rFonts w:eastAsia="Times New Roman"/>
                <w:sz w:val="20"/>
                <w:szCs w:val="20"/>
                <w:vertAlign w:val="superscript"/>
              </w:rPr>
              <w:t>1</w:t>
            </w:r>
            <w:r w:rsidRPr="00475128">
              <w:rPr>
                <w:rFonts w:eastAsia="Times New Roman"/>
                <w:sz w:val="20"/>
                <w:szCs w:val="20"/>
              </w:rPr>
              <w:t xml:space="preserve"> daļas prasībām, tad šā likuma 3.panta ceturtās daļas 3. vai 4.punktā noteiktais atbrīvojums no nodokļa ieturēšanas ir piemērojams, pamatojoties uz rezidences apliecību, ko attiecīgās valsts nodokļu administrācija izsniegusi šīs valsts un Latvijas Republikas līguma par nodokļu dubultās uzlikšanas novēršanu piemērošanai, un uz sabiedrības - procentu vai samaksas par intelektuālo īpašumu saņēmējas - pilnvarota pārstāvja rakstveida apliecinājumu Valsts ieņēmumu dienestam, ka sabiedrība - ienākuma saņēmēja atbilst pārējām šā likuma 1.panta 19.</w:t>
            </w:r>
            <w:r w:rsidRPr="00475128">
              <w:rPr>
                <w:rFonts w:eastAsia="Times New Roman"/>
                <w:sz w:val="20"/>
                <w:szCs w:val="20"/>
                <w:vertAlign w:val="superscript"/>
              </w:rPr>
              <w:t>1</w:t>
            </w:r>
            <w:r w:rsidRPr="00475128">
              <w:rPr>
                <w:rFonts w:eastAsia="Times New Roman"/>
                <w:sz w:val="20"/>
                <w:szCs w:val="20"/>
              </w:rPr>
              <w:t xml:space="preserve"> daļas prasībām.</w:t>
            </w:r>
          </w:p>
          <w:p w:rsidR="006D3AB5" w:rsidRPr="00475128" w:rsidRDefault="006D3AB5" w:rsidP="002A30A0">
            <w:pPr>
              <w:spacing w:after="60"/>
              <w:rPr>
                <w:rFonts w:eastAsia="Times New Roman"/>
                <w:sz w:val="20"/>
                <w:szCs w:val="20"/>
              </w:rPr>
            </w:pPr>
            <w:r w:rsidRPr="00475128">
              <w:rPr>
                <w:rFonts w:eastAsia="Times New Roman"/>
                <w:sz w:val="20"/>
                <w:szCs w:val="20"/>
              </w:rPr>
              <w:t>(102.pārejas punkts)</w:t>
            </w:r>
          </w:p>
        </w:tc>
        <w:tc>
          <w:tcPr>
            <w:tcW w:w="4140" w:type="dxa"/>
          </w:tcPr>
          <w:p w:rsidR="006D3AB5" w:rsidRPr="00475128" w:rsidRDefault="006D3AB5" w:rsidP="002A30A0">
            <w:pPr>
              <w:spacing w:after="60"/>
              <w:rPr>
                <w:sz w:val="20"/>
                <w:szCs w:val="20"/>
              </w:rPr>
            </w:pPr>
            <w:r w:rsidRPr="00475128">
              <w:rPr>
                <w:sz w:val="20"/>
                <w:szCs w:val="20"/>
              </w:rPr>
              <w:t>Neatkarīgi no jebkuriem šā likuma noteikumiem uzņēmumu ienākuma nodokli ietur pēc 15% likmes no visiem maksājumiem, ko Latvijas rezidenti vai nerezidentu pastāvīgās pārstāvniecības izmaksā juridiskajām, fiziskajām un citām personām, kuras atrodas, ir izveidotas vai nodibinātas Ministru kabineta noteikumos minētajās zemu nodokļu un beznodokļu valstīs vai teritorijās, ieskaitot maksājumus šo personu pārstāvjiem vai trešo personu banku kontos un maksājumus, kas veikti savstarpēja norēķinu ieskaita veidā.</w:t>
            </w:r>
          </w:p>
          <w:p w:rsidR="006D3AB5" w:rsidRPr="00475128" w:rsidRDefault="006D3AB5" w:rsidP="002A30A0">
            <w:pPr>
              <w:spacing w:after="60"/>
              <w:rPr>
                <w:sz w:val="20"/>
                <w:szCs w:val="20"/>
              </w:rPr>
            </w:pPr>
            <w:r w:rsidRPr="00475128">
              <w:rPr>
                <w:sz w:val="20"/>
                <w:szCs w:val="20"/>
              </w:rPr>
              <w:t>(3.panta 8.daļa)</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11.</w:t>
            </w:r>
          </w:p>
        </w:tc>
        <w:tc>
          <w:tcPr>
            <w:tcW w:w="3870" w:type="dxa"/>
          </w:tcPr>
          <w:p w:rsidR="006D3AB5" w:rsidRPr="00475128" w:rsidRDefault="006D3AB5" w:rsidP="002A30A0">
            <w:pPr>
              <w:spacing w:after="60"/>
              <w:rPr>
                <w:b/>
                <w:sz w:val="20"/>
                <w:szCs w:val="20"/>
              </w:rPr>
            </w:pPr>
            <w:r w:rsidRPr="00475128">
              <w:rPr>
                <w:b/>
                <w:sz w:val="20"/>
                <w:szCs w:val="20"/>
              </w:rPr>
              <w:t>Iespēja segt taksācijas perioda zaudējumus 8 gadus/neierobežoti.</w:t>
            </w:r>
          </w:p>
          <w:p w:rsidR="006D3AB5" w:rsidRPr="00475128" w:rsidRDefault="006D3AB5" w:rsidP="002A30A0">
            <w:pPr>
              <w:spacing w:after="60"/>
              <w:rPr>
                <w:sz w:val="20"/>
                <w:szCs w:val="20"/>
              </w:rPr>
            </w:pPr>
            <w:r w:rsidRPr="00475128">
              <w:rPr>
                <w:sz w:val="20"/>
                <w:szCs w:val="20"/>
              </w:rPr>
              <w:t>Ja taksācijas perioda peļņas vai zaudējumu koriģēšanas rezultāts ir zaudējumi, kas radušies līdz 2007.gadam, tos var segt hronoloģiskā secībā no nākamo astoņu taksācijas periodu apliekamā ienākuma. Ja saskaņā ar šo likumu izdarītās nodokļa maksātāja taksācijas perioda peļņas vai zaudējumu koriģēšanas rezultāts ir zaudējumi, kas radušies taksācijas periodā, kas sākās 2008.gadā, vai pēc tam, tos var segt hronoloģiskā secībā no nākamo taksācijas periodu apliekamā ienākuma.</w:t>
            </w:r>
          </w:p>
          <w:p w:rsidR="006D3AB5" w:rsidRPr="00475128" w:rsidRDefault="006D3AB5" w:rsidP="002A30A0">
            <w:pPr>
              <w:spacing w:after="60"/>
              <w:rPr>
                <w:sz w:val="20"/>
                <w:szCs w:val="20"/>
              </w:rPr>
            </w:pPr>
            <w:r w:rsidRPr="00475128">
              <w:rPr>
                <w:sz w:val="20"/>
                <w:szCs w:val="20"/>
              </w:rPr>
              <w:t>(14.panta 1.daļa)</w:t>
            </w:r>
          </w:p>
        </w:tc>
        <w:tc>
          <w:tcPr>
            <w:tcW w:w="4140" w:type="dxa"/>
          </w:tcPr>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12.</w:t>
            </w:r>
          </w:p>
        </w:tc>
        <w:tc>
          <w:tcPr>
            <w:tcW w:w="3870" w:type="dxa"/>
          </w:tcPr>
          <w:p w:rsidR="006D3AB5" w:rsidRPr="00475128" w:rsidRDefault="006D3AB5" w:rsidP="002A30A0">
            <w:pPr>
              <w:spacing w:after="60"/>
              <w:rPr>
                <w:b/>
                <w:sz w:val="20"/>
                <w:szCs w:val="20"/>
              </w:rPr>
            </w:pPr>
            <w:r w:rsidRPr="00475128">
              <w:rPr>
                <w:b/>
                <w:sz w:val="20"/>
                <w:szCs w:val="20"/>
              </w:rPr>
              <w:t>Iespēja pārnest zaudējumus uzņēmumu grupā.</w:t>
            </w:r>
          </w:p>
          <w:p w:rsidR="006D3AB5" w:rsidRPr="00475128" w:rsidRDefault="006D3AB5" w:rsidP="002A30A0">
            <w:pPr>
              <w:spacing w:after="60"/>
              <w:rPr>
                <w:sz w:val="20"/>
                <w:szCs w:val="20"/>
              </w:rPr>
            </w:pPr>
            <w:r w:rsidRPr="00475128">
              <w:rPr>
                <w:sz w:val="20"/>
                <w:szCs w:val="20"/>
              </w:rPr>
              <w:t>Ja nodokļu maksātājs ir uzņēmumu grupas dalībnieks — Latvijas rezidents (vai grupas dalībnieka pastāvīgā pārstāvniecība Latvijas Republikā), kura taksācijas perioda peļņas vai zaudējumu koriģēšanas rezultāts ir zaudējumi, tad cita šīs uzņēmumu grupas dalībnieka — Latvijas rezidenta (vai grupas dalībnieka pastāvīgās pārstāvniecības Latvijas Republikā) vai vairāku šādu dalībnieku tā paša taksācijas perioda apliekamo ienākumu var samazināt par summu, kas kopumā nepārsniedz pirmā minētā uzņēmuma (vai grupas dalībnieka pastāvīgās pārstāvniecības Latvijas Republikā) zaudējumu summu.</w:t>
            </w:r>
          </w:p>
          <w:p w:rsidR="006D3AB5" w:rsidRPr="00475128" w:rsidRDefault="006D3AB5" w:rsidP="002A30A0">
            <w:pPr>
              <w:spacing w:after="60"/>
              <w:rPr>
                <w:sz w:val="20"/>
                <w:szCs w:val="20"/>
              </w:rPr>
            </w:pPr>
            <w:r w:rsidRPr="00475128">
              <w:rPr>
                <w:sz w:val="20"/>
                <w:szCs w:val="20"/>
              </w:rPr>
              <w:t>(14.</w:t>
            </w:r>
            <w:r w:rsidRPr="00475128">
              <w:rPr>
                <w:sz w:val="20"/>
                <w:szCs w:val="20"/>
                <w:vertAlign w:val="superscript"/>
              </w:rPr>
              <w:t>1</w:t>
            </w:r>
            <w:r w:rsidRPr="00475128">
              <w:rPr>
                <w:sz w:val="20"/>
                <w:szCs w:val="20"/>
              </w:rPr>
              <w:t xml:space="preserve"> panta 6.daļa)</w:t>
            </w:r>
          </w:p>
        </w:tc>
        <w:tc>
          <w:tcPr>
            <w:tcW w:w="4140" w:type="dxa"/>
          </w:tcPr>
          <w:p w:rsidR="006D3AB5" w:rsidRPr="00475128" w:rsidRDefault="006D3AB5" w:rsidP="002A30A0">
            <w:pPr>
              <w:spacing w:after="60"/>
              <w:rPr>
                <w:sz w:val="20"/>
                <w:szCs w:val="20"/>
              </w:rPr>
            </w:pPr>
          </w:p>
        </w:tc>
      </w:tr>
      <w:tr w:rsidR="006D3AB5" w:rsidRPr="00475128" w:rsidTr="002A30A0">
        <w:trPr>
          <w:trHeight w:val="350"/>
        </w:trPr>
        <w:tc>
          <w:tcPr>
            <w:tcW w:w="558" w:type="dxa"/>
            <w:vAlign w:val="center"/>
          </w:tcPr>
          <w:p w:rsidR="006D3AB5" w:rsidRPr="00475128" w:rsidRDefault="006D3AB5" w:rsidP="002A30A0">
            <w:pPr>
              <w:spacing w:after="60"/>
              <w:jc w:val="center"/>
              <w:rPr>
                <w:sz w:val="20"/>
                <w:szCs w:val="20"/>
              </w:rPr>
            </w:pPr>
            <w:r w:rsidRPr="00475128">
              <w:rPr>
                <w:sz w:val="20"/>
                <w:szCs w:val="20"/>
              </w:rPr>
              <w:t>13.</w:t>
            </w:r>
          </w:p>
        </w:tc>
        <w:tc>
          <w:tcPr>
            <w:tcW w:w="3870" w:type="dxa"/>
          </w:tcPr>
          <w:p w:rsidR="006D3AB5" w:rsidRPr="00475128" w:rsidRDefault="006D3AB5" w:rsidP="002A30A0">
            <w:pPr>
              <w:spacing w:after="60"/>
              <w:rPr>
                <w:b/>
                <w:sz w:val="20"/>
                <w:szCs w:val="20"/>
              </w:rPr>
            </w:pPr>
            <w:r w:rsidRPr="00475128">
              <w:rPr>
                <w:b/>
                <w:sz w:val="20"/>
                <w:szCs w:val="20"/>
              </w:rPr>
              <w:t>Iespēja segt taksācijas perioda zaudējumus īpaši atbalstāmajās teritorijās 10 gadus/neierobežoti.</w:t>
            </w:r>
          </w:p>
          <w:p w:rsidR="006D3AB5" w:rsidRPr="00475128" w:rsidRDefault="006D3AB5" w:rsidP="002A30A0">
            <w:pPr>
              <w:spacing w:after="60"/>
              <w:rPr>
                <w:sz w:val="20"/>
                <w:szCs w:val="20"/>
              </w:rPr>
            </w:pPr>
            <w:r w:rsidRPr="00475128">
              <w:rPr>
                <w:sz w:val="20"/>
                <w:szCs w:val="20"/>
              </w:rPr>
              <w:t xml:space="preserve">Nodokļa maksātājs, kas reģistrēts un darbojas saskaņā ar </w:t>
            </w:r>
            <w:hyperlink r:id="rId92" w:tgtFrame="_blank" w:history="1">
              <w:r w:rsidRPr="00475128">
                <w:rPr>
                  <w:sz w:val="20"/>
                  <w:szCs w:val="20"/>
                </w:rPr>
                <w:t>Reģionālās attīstības likumu</w:t>
              </w:r>
            </w:hyperlink>
            <w:r w:rsidRPr="00475128">
              <w:rPr>
                <w:sz w:val="20"/>
                <w:szCs w:val="20"/>
              </w:rPr>
              <w:t xml:space="preserve"> noteiktā īpaši atbalstāmajā teritorijā, zaudējumus, kas radušies līdz 2004.gadam, var segt hronoloģiskā secībā no nākamo desmit taksācijas periodu apliekamā ienākuma. Zaudējumus, kas radušies taksācijas periodā, kas sākās 2005.gadā, vai pēc tam, var segt hronoloģiskā secībā no nākamo taksācijas periodu apliekamā ienākuma. </w:t>
            </w:r>
          </w:p>
          <w:p w:rsidR="006D3AB5" w:rsidRPr="00475128" w:rsidRDefault="006D3AB5" w:rsidP="002A30A0">
            <w:pPr>
              <w:spacing w:after="60"/>
              <w:rPr>
                <w:b/>
                <w:sz w:val="20"/>
                <w:szCs w:val="20"/>
              </w:rPr>
            </w:pPr>
            <w:r w:rsidRPr="00475128">
              <w:rPr>
                <w:sz w:val="20"/>
                <w:szCs w:val="20"/>
              </w:rPr>
              <w:t>(14.panta 6.daļa)</w:t>
            </w:r>
          </w:p>
        </w:tc>
        <w:tc>
          <w:tcPr>
            <w:tcW w:w="4140" w:type="dxa"/>
          </w:tcPr>
          <w:p w:rsidR="006D3AB5" w:rsidRPr="00475128" w:rsidRDefault="006D3AB5" w:rsidP="002A30A0">
            <w:pPr>
              <w:spacing w:after="60"/>
              <w:rPr>
                <w:sz w:val="20"/>
                <w:szCs w:val="20"/>
              </w:rPr>
            </w:pPr>
          </w:p>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14.</w:t>
            </w:r>
          </w:p>
        </w:tc>
        <w:tc>
          <w:tcPr>
            <w:tcW w:w="3870" w:type="dxa"/>
          </w:tcPr>
          <w:p w:rsidR="006D3AB5" w:rsidRPr="00475128" w:rsidRDefault="006D3AB5" w:rsidP="002A30A0">
            <w:pPr>
              <w:spacing w:after="60"/>
              <w:rPr>
                <w:b/>
                <w:sz w:val="20"/>
                <w:szCs w:val="20"/>
              </w:rPr>
            </w:pPr>
            <w:r w:rsidRPr="00475128">
              <w:rPr>
                <w:b/>
                <w:sz w:val="20"/>
                <w:szCs w:val="20"/>
              </w:rPr>
              <w:t>Nodokļa atvieglojums par ienākumiem, kas gūti no bankām izsniegto aizdevumu kapitalizācijas rezultātā iegūto akciju atsavināšanas.</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Nodokļu maksātājs — līdzekļu aizdevējs — apliekamo ienākumu samazina par banku akciju atsavināšanas ienākumu vai palielina par akciju atsavināšanas zaudējumu, ja akcijas iegūtas un atsavinātas, ievērojot visus šā panta ceturtajā daļā minētos nosacījumus.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(7.</w:t>
            </w:r>
            <w:r w:rsidRPr="00475128">
              <w:rPr>
                <w:rFonts w:ascii="Calibri" w:hAnsi="Calibri"/>
                <w:sz w:val="20"/>
                <w:szCs w:val="20"/>
                <w:vertAlign w:val="superscript"/>
                <w:lang w:val="lv-LV"/>
              </w:rPr>
              <w:t>1</w:t>
            </w:r>
            <w:r w:rsidRPr="00475128">
              <w:rPr>
                <w:rFonts w:ascii="Calibri" w:hAnsi="Calibri"/>
                <w:sz w:val="20"/>
                <w:szCs w:val="20"/>
                <w:lang w:val="lv-LV"/>
              </w:rPr>
              <w:t xml:space="preserve"> panta 1.daļa)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Nodokļu maksātājs — līdzekļu aizdevējs — apliekamo ienākumu nepalielina par izdevumos iekļautā kapitalizējamā aizdevuma vērtības samazināšanas summu, ja aizdevums (izņemot noguldījumu) tiek ieguldīts bankas pamatkapitālā.</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(7.</w:t>
            </w:r>
            <w:r w:rsidRPr="00475128">
              <w:rPr>
                <w:rFonts w:ascii="Calibri" w:hAnsi="Calibri"/>
                <w:sz w:val="20"/>
                <w:szCs w:val="20"/>
                <w:vertAlign w:val="superscript"/>
                <w:lang w:val="lv-LV"/>
              </w:rPr>
              <w:t>1</w:t>
            </w:r>
            <w:r w:rsidRPr="00475128">
              <w:rPr>
                <w:rFonts w:ascii="Calibri" w:hAnsi="Calibri"/>
                <w:sz w:val="20"/>
                <w:szCs w:val="20"/>
                <w:lang w:val="lv-LV"/>
              </w:rPr>
              <w:t xml:space="preserve"> panta 2.daļa)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Banka — aizņēmēja — apliekamo ienākumu nesamazina par ieņēmumos iekļauto aizņēmuma vērtības samazināšanas summu, ja aizņēmums, kuru iegulda pamatkapitālā, ir novērtēts zemākā vērtībā.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(7.</w:t>
            </w:r>
            <w:r w:rsidRPr="00475128">
              <w:rPr>
                <w:rFonts w:ascii="Calibri" w:hAnsi="Calibri"/>
                <w:sz w:val="20"/>
                <w:szCs w:val="20"/>
                <w:vertAlign w:val="superscript"/>
                <w:lang w:val="lv-LV"/>
              </w:rPr>
              <w:t>1</w:t>
            </w:r>
            <w:r w:rsidRPr="00475128">
              <w:rPr>
                <w:rFonts w:ascii="Calibri" w:hAnsi="Calibri"/>
                <w:sz w:val="20"/>
                <w:szCs w:val="20"/>
                <w:lang w:val="lv-LV"/>
              </w:rPr>
              <w:t xml:space="preserve"> panta 3.daļa)</w:t>
            </w:r>
          </w:p>
          <w:p w:rsidR="006D3AB5" w:rsidRPr="00475128" w:rsidRDefault="006D3AB5" w:rsidP="002A30A0">
            <w:pPr>
              <w:spacing w:after="60"/>
              <w:rPr>
                <w:b/>
                <w:sz w:val="20"/>
                <w:szCs w:val="20"/>
              </w:rPr>
            </w:pPr>
          </w:p>
        </w:tc>
        <w:tc>
          <w:tcPr>
            <w:tcW w:w="4140" w:type="dxa"/>
          </w:tcPr>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Šā panta pirmo un otro daļu ir tiesības piemērot, ja ievēroti visi šajā panta daļā minētie nosacījumi: </w:t>
            </w:r>
          </w:p>
          <w:p w:rsidR="006D3AB5" w:rsidRPr="00475128" w:rsidRDefault="006D3AB5" w:rsidP="002A30A0">
            <w:pPr>
              <w:pStyle w:val="tv2131"/>
              <w:spacing w:before="0" w:after="60" w:line="276" w:lineRule="auto"/>
              <w:rPr>
                <w:rFonts w:ascii="Calibri" w:hAnsi="Calibri"/>
                <w:sz w:val="20"/>
                <w:szCs w:val="20"/>
                <w:lang w:val="lv-LV"/>
              </w:rPr>
            </w:pPr>
            <w:r w:rsidRPr="00475128">
              <w:rPr>
                <w:rFonts w:ascii="Calibri" w:hAnsi="Calibri"/>
                <w:sz w:val="20"/>
                <w:szCs w:val="20"/>
                <w:lang w:val="lv-LV"/>
              </w:rPr>
              <w:t xml:space="preserve">1) bankai — aizņēmējai — ir rīcības plāns bankas finansiālā stāvokļa stabilitātes nodrošināšanai, kas iesniegts Finanšu un kapitāla tirgus komisijā, pamatojoties uz Finanšu un kapitāla tirgus komisijas pieņemto lēmumu un pieprasījumu; </w:t>
            </w:r>
          </w:p>
          <w:p w:rsidR="006D3AB5" w:rsidRPr="00475128" w:rsidRDefault="006D3AB5" w:rsidP="002A30A0">
            <w:pPr>
              <w:pStyle w:val="tv2131"/>
              <w:spacing w:before="0" w:after="60" w:line="276" w:lineRule="auto"/>
              <w:rPr>
                <w:rFonts w:ascii="Calibri" w:hAnsi="Calibri"/>
                <w:sz w:val="20"/>
                <w:szCs w:val="20"/>
                <w:lang w:val="lv-LV"/>
              </w:rPr>
            </w:pPr>
            <w:r w:rsidRPr="00475128">
              <w:rPr>
                <w:rFonts w:ascii="Calibri" w:hAnsi="Calibri"/>
                <w:sz w:val="20"/>
                <w:szCs w:val="20"/>
                <w:lang w:val="lv-LV"/>
              </w:rPr>
              <w:t xml:space="preserve">2) akcijas iegūtas, aizdevumu ieguldot bankas pamatkapitālā kā mantisko ieguldījumu; </w:t>
            </w:r>
          </w:p>
          <w:p w:rsidR="006D3AB5" w:rsidRPr="00475128" w:rsidRDefault="006D3AB5" w:rsidP="002A30A0">
            <w:pPr>
              <w:pStyle w:val="tv2131"/>
              <w:spacing w:before="0" w:after="60" w:line="276" w:lineRule="auto"/>
              <w:rPr>
                <w:rFonts w:ascii="Calibri" w:hAnsi="Calibri"/>
                <w:sz w:val="20"/>
                <w:szCs w:val="20"/>
                <w:lang w:val="lv-LV"/>
              </w:rPr>
            </w:pPr>
            <w:r w:rsidRPr="00475128">
              <w:rPr>
                <w:rFonts w:ascii="Calibri" w:hAnsi="Calibri"/>
                <w:sz w:val="20"/>
                <w:szCs w:val="20"/>
                <w:lang w:val="lv-LV"/>
              </w:rPr>
              <w:t xml:space="preserve">3) akcijas tiek atsavinātas 36 mēnešu laikā no to iegūšanas dienas.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(7.</w:t>
            </w:r>
            <w:r w:rsidRPr="00475128">
              <w:rPr>
                <w:rFonts w:ascii="Calibri" w:hAnsi="Calibri"/>
                <w:sz w:val="20"/>
                <w:szCs w:val="20"/>
                <w:vertAlign w:val="superscript"/>
                <w:lang w:val="lv-LV"/>
              </w:rPr>
              <w:t>1</w:t>
            </w:r>
            <w:r w:rsidRPr="00475128">
              <w:rPr>
                <w:rFonts w:ascii="Calibri" w:hAnsi="Calibri"/>
                <w:sz w:val="20"/>
                <w:szCs w:val="20"/>
                <w:lang w:val="lv-LV"/>
              </w:rPr>
              <w:t xml:space="preserve"> panta 4.daļa)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Šo p</w:t>
            </w:r>
            <w:r w:rsidRPr="00475128">
              <w:rPr>
                <w:rFonts w:ascii="Calibri" w:eastAsia="Calibri" w:hAnsi="Calibri"/>
                <w:sz w:val="20"/>
                <w:szCs w:val="20"/>
                <w:lang w:val="lv-LV"/>
              </w:rPr>
              <w:t>antu piemēro ienākumam vai zaudējumam no akciju atsavināšanas, ja akcijas iegūtas atbilstoši minētā panta pirmajai daļai, no 2009.gada 1.jūnija līdz 2011.gada 31.decembrim. Šā panta otro un trešo daļu piemēro no 2009.gada 1.jūnija līdz 2011.gada 31.decembrim.</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(81.pārejas punkts)</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Šā panta normas neattiecas uz aizdevumiem, kuri uzskatāmi par garantētiem noguldījumiem saskaņā ar Noguldījumu garantiju likumu.</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(7.</w:t>
            </w:r>
            <w:r w:rsidRPr="00475128">
              <w:rPr>
                <w:rFonts w:ascii="Calibri" w:hAnsi="Calibri"/>
                <w:sz w:val="20"/>
                <w:szCs w:val="20"/>
                <w:vertAlign w:val="superscript"/>
                <w:lang w:val="lv-LV"/>
              </w:rPr>
              <w:t>1</w:t>
            </w:r>
            <w:r w:rsidRPr="00475128">
              <w:rPr>
                <w:rFonts w:ascii="Calibri" w:hAnsi="Calibri"/>
                <w:sz w:val="20"/>
                <w:szCs w:val="20"/>
                <w:lang w:val="lv-LV"/>
              </w:rPr>
              <w:t xml:space="preserve"> panta 5.daļa)</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15.</w:t>
            </w:r>
          </w:p>
        </w:tc>
        <w:tc>
          <w:tcPr>
            <w:tcW w:w="3870" w:type="dxa"/>
          </w:tcPr>
          <w:p w:rsidR="006D3AB5" w:rsidRPr="00475128" w:rsidRDefault="006D3AB5" w:rsidP="002A30A0">
            <w:pPr>
              <w:spacing w:after="60"/>
              <w:rPr>
                <w:b/>
                <w:sz w:val="20"/>
                <w:szCs w:val="20"/>
              </w:rPr>
            </w:pPr>
            <w:r w:rsidRPr="00475128">
              <w:rPr>
                <w:b/>
                <w:sz w:val="20"/>
                <w:szCs w:val="20"/>
              </w:rPr>
              <w:t>Atvieglojums par uzkrājumiem nedrošiem parādiem.</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Ar nodokli apliekamo ienākumu nodokļa maksātājs nepalielina par to atskaitījumu summu, par kuru taksācijas periodā salīdzinājumā ar iepriekšējo taksācijas periodu ir palielināti nedrošiem parādiem paredzētie uzkrājumi, ja tiek izpildīti šādi nosacījumi: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1) parāda saistību izpildes diena ir iestājusies pirms vairāk nekā sešiem mēnešiem, bet ne agrāk kā 2009.gada 1.janvārī;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2) ienākums, kas attiecas uz šiem parādiem, ir iekļauts apliekamā ienākuma aprēķinā;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3) debitors ir juridiskā persona, kura ir Eiropas Savienības dalībvalsts vai Eiropas Ekonomikas zonas valsts rezidents, vai tās valsts rezidents, ar kuru Latvija ir noslēgusi konvenciju par nodokļu dubultās uzlikšanas un nodokļu nemaksāšanas novēršanu, ja šī konvencija ir stājusies spēkā;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4) nodokļu maksātājs un debitors nav saistīti uzņēmumi vai kāds no viņiem nav ar uzņēmumu saistīta persona;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5) darījumi ar debitoru ir pārtraukti vismaz pirms sešiem mēnešiem un nav atjaunoti;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6) nodokļa maksātājs var pierādīt, ka ir veicis pasākumus nedrošā parāda atgūšanai;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7) nodokļa maksātājs līdz taksācijas gada 31.decembrim rakstveidā ir informējis preču vai pakalpojumu saņēmēju — debitoru par to, ka par attiecīgā parāda summu (norādot darījuma dokumenta rekvizītus) tiek veidots uzkrājums nedrošiem parādiem saskaņā ar šo pantu. </w:t>
            </w:r>
          </w:p>
          <w:p w:rsidR="006D3AB5" w:rsidRPr="00475128" w:rsidRDefault="006D3AB5" w:rsidP="002A30A0">
            <w:pPr>
              <w:spacing w:after="60"/>
              <w:rPr>
                <w:sz w:val="20"/>
                <w:szCs w:val="20"/>
              </w:rPr>
            </w:pPr>
            <w:r w:rsidRPr="00475128">
              <w:rPr>
                <w:sz w:val="20"/>
                <w:szCs w:val="20"/>
              </w:rPr>
              <w:t>(9.</w:t>
            </w:r>
            <w:r w:rsidRPr="00475128">
              <w:rPr>
                <w:sz w:val="20"/>
                <w:szCs w:val="20"/>
                <w:vertAlign w:val="superscript"/>
              </w:rPr>
              <w:t>1</w:t>
            </w:r>
            <w:r w:rsidRPr="00475128">
              <w:rPr>
                <w:sz w:val="20"/>
                <w:szCs w:val="20"/>
              </w:rPr>
              <w:t xml:space="preserve"> panta 1.daļa)</w:t>
            </w:r>
          </w:p>
        </w:tc>
        <w:tc>
          <w:tcPr>
            <w:tcW w:w="4140" w:type="dxa"/>
          </w:tcPr>
          <w:p w:rsidR="006D3AB5" w:rsidRPr="00475128" w:rsidRDefault="006D3AB5" w:rsidP="002A30A0">
            <w:pPr>
              <w:spacing w:after="60"/>
              <w:rPr>
                <w:sz w:val="20"/>
                <w:szCs w:val="20"/>
              </w:rPr>
            </w:pPr>
            <w:r w:rsidRPr="00475128">
              <w:rPr>
                <w:sz w:val="20"/>
                <w:szCs w:val="20"/>
              </w:rPr>
              <w:t>Nedrošiem parādiem paredzēto uzkrājumu palielinājuma summa, kas noteikta atbilstoši šā panta pirmajai daļai, nedrīkst pārsniegt 20% no taksācijas perioda ar nodokli apliekamā ienākuma (pēc apliekamā ienākuma koriģēšanas).</w:t>
            </w:r>
          </w:p>
          <w:p w:rsidR="006D3AB5" w:rsidRPr="00475128" w:rsidRDefault="006D3AB5" w:rsidP="002A30A0">
            <w:pPr>
              <w:spacing w:after="60"/>
              <w:rPr>
                <w:sz w:val="20"/>
                <w:szCs w:val="20"/>
              </w:rPr>
            </w:pPr>
            <w:r w:rsidRPr="00475128">
              <w:rPr>
                <w:sz w:val="20"/>
                <w:szCs w:val="20"/>
              </w:rPr>
              <w:t>(9.</w:t>
            </w:r>
            <w:r w:rsidRPr="00475128">
              <w:rPr>
                <w:sz w:val="20"/>
                <w:szCs w:val="20"/>
                <w:vertAlign w:val="superscript"/>
              </w:rPr>
              <w:t>1</w:t>
            </w:r>
            <w:r w:rsidRPr="00475128">
              <w:rPr>
                <w:sz w:val="20"/>
                <w:szCs w:val="20"/>
              </w:rPr>
              <w:t xml:space="preserve"> panta 2.daļa)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Šo pantu piemēro uzkrājumiem nedrošiem parādiem, kas izveidoti, sākot ar taksācijas periodu, kas sākas 2011.gadā, līdz taksācijas periodam, kas sākas 2013.gadā.</w:t>
            </w:r>
          </w:p>
          <w:p w:rsidR="006D3AB5" w:rsidRPr="00475128" w:rsidRDefault="006D3AB5" w:rsidP="002A30A0">
            <w:pPr>
              <w:spacing w:after="60"/>
              <w:rPr>
                <w:sz w:val="20"/>
                <w:szCs w:val="20"/>
              </w:rPr>
            </w:pPr>
            <w:r w:rsidRPr="00475128">
              <w:rPr>
                <w:sz w:val="20"/>
                <w:szCs w:val="20"/>
              </w:rPr>
              <w:t>(97.pārejas punkts)</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16.</w:t>
            </w:r>
          </w:p>
        </w:tc>
        <w:tc>
          <w:tcPr>
            <w:tcW w:w="3870" w:type="dxa"/>
          </w:tcPr>
          <w:p w:rsidR="006D3AB5" w:rsidRPr="00475128" w:rsidRDefault="006D3AB5" w:rsidP="002A30A0">
            <w:pPr>
              <w:spacing w:after="60"/>
              <w:rPr>
                <w:b/>
                <w:sz w:val="20"/>
                <w:szCs w:val="20"/>
              </w:rPr>
            </w:pPr>
            <w:r w:rsidRPr="00475128">
              <w:rPr>
                <w:b/>
                <w:sz w:val="20"/>
                <w:szCs w:val="20"/>
              </w:rPr>
              <w:t>Atvieglots nodokļu režīms kuģošanas nozarei par kuģu pārvadājumiem iekšzemes uzņēmumiem (tonnāžas nodoklis).</w:t>
            </w:r>
          </w:p>
          <w:p w:rsidR="006D3AB5" w:rsidRPr="00475128" w:rsidRDefault="006D3AB5" w:rsidP="002A30A0">
            <w:pPr>
              <w:spacing w:after="60"/>
              <w:rPr>
                <w:rFonts w:eastAsia="Times New Roman"/>
                <w:sz w:val="20"/>
                <w:szCs w:val="20"/>
              </w:rPr>
            </w:pPr>
            <w:r w:rsidRPr="00475128">
              <w:rPr>
                <w:rFonts w:eastAsia="Times New Roman"/>
                <w:sz w:val="20"/>
                <w:szCs w:val="20"/>
              </w:rPr>
              <w:t xml:space="preserve">Tonnāžas nodokļa maksātājs ir iekšzemes uzņēmums (uzņēmējsabiedrība), kuram Valsts ieņēmumu dienests piešķīris tonnāžas nodokļa maksātāja statusu un kurš: </w:t>
            </w:r>
          </w:p>
          <w:p w:rsidR="006D3AB5" w:rsidRPr="00475128" w:rsidRDefault="006D3AB5" w:rsidP="002A30A0">
            <w:pPr>
              <w:spacing w:after="60"/>
              <w:rPr>
                <w:rFonts w:eastAsia="Times New Roman"/>
                <w:sz w:val="20"/>
                <w:szCs w:val="20"/>
              </w:rPr>
            </w:pPr>
            <w:r w:rsidRPr="00475128">
              <w:rPr>
                <w:rFonts w:eastAsia="Times New Roman"/>
                <w:sz w:val="20"/>
                <w:szCs w:val="20"/>
              </w:rPr>
              <w:t xml:space="preserve">1) savus īpašumā, kopīpašumā vai turējumā uz </w:t>
            </w:r>
            <w:proofErr w:type="spellStart"/>
            <w:r w:rsidRPr="00475128">
              <w:rPr>
                <w:rFonts w:eastAsia="Times New Roman"/>
                <w:sz w:val="20"/>
                <w:szCs w:val="20"/>
              </w:rPr>
              <w:t>berbouta</w:t>
            </w:r>
            <w:proofErr w:type="spellEnd"/>
            <w:r w:rsidRPr="00475128">
              <w:rPr>
                <w:rFonts w:eastAsia="Times New Roman"/>
                <w:sz w:val="20"/>
                <w:szCs w:val="20"/>
              </w:rPr>
              <w:t xml:space="preserve"> līguma pamata esošos kuģus izmanto starptautiskajos pārvadājumos un ar to saistītās darbībās un </w:t>
            </w:r>
          </w:p>
          <w:p w:rsidR="006D3AB5" w:rsidRPr="00475128" w:rsidRDefault="006D3AB5" w:rsidP="002A30A0">
            <w:pPr>
              <w:spacing w:after="60"/>
              <w:rPr>
                <w:rFonts w:eastAsia="Times New Roman"/>
                <w:sz w:val="20"/>
                <w:szCs w:val="20"/>
              </w:rPr>
            </w:pPr>
            <w:r w:rsidRPr="00475128">
              <w:rPr>
                <w:rFonts w:eastAsia="Times New Roman"/>
                <w:sz w:val="20"/>
                <w:szCs w:val="20"/>
              </w:rPr>
              <w:t xml:space="preserve">2) veic Latvijā savai vai atbilstoši likuma “Par UIN” 1.panta divpadsmitās daļas 4. un 5.punkta nosacījumiem citas personas veicamajai saimnieciskajai darbībai nepieciešamās kuģu stratēģiskās, komerciālās, tehniskās un apkalpes komplektēšanas vadīšanas funkcijas. </w:t>
            </w:r>
          </w:p>
          <w:p w:rsidR="006D3AB5" w:rsidRPr="00475128" w:rsidRDefault="006D3AB5" w:rsidP="002A30A0">
            <w:pPr>
              <w:spacing w:after="60"/>
              <w:rPr>
                <w:sz w:val="20"/>
                <w:szCs w:val="20"/>
              </w:rPr>
            </w:pPr>
            <w:r w:rsidRPr="00475128">
              <w:rPr>
                <w:sz w:val="20"/>
                <w:szCs w:val="20"/>
              </w:rPr>
              <w:t>(2.</w:t>
            </w:r>
            <w:r w:rsidRPr="00475128">
              <w:rPr>
                <w:sz w:val="20"/>
                <w:szCs w:val="20"/>
                <w:vertAlign w:val="superscript"/>
              </w:rPr>
              <w:t>1</w:t>
            </w:r>
            <w:r w:rsidRPr="00475128">
              <w:rPr>
                <w:sz w:val="20"/>
                <w:szCs w:val="20"/>
              </w:rPr>
              <w:t xml:space="preserve"> panta 1.daļa)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Nodokļa maksātāja apliekamo ienākumu palielina par:</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9) izdevumiem, kas tonnāžas nodokļa maksātājam radušies, gūstot ieņēmumus no kuģu izmantošanas starptautiskajos pārvadājumos un ar to saistītās darbībās;</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10) uzņēmumu gada pārskatā minēto pamatlīdzekļu nolietojuma un norakstīto nemateriālo ieguldījumu vērtību summu, ja šie pamatlīdzekļi un nemateriālie ieguldījumi izmantojami ieņēmumu gūšanai no kuģu izmantošanas starptautiskajos pārvadājumos un ar to saistītās darbībās;</w:t>
            </w:r>
          </w:p>
          <w:p w:rsidR="006D3AB5" w:rsidRPr="00475128" w:rsidRDefault="006D3AB5" w:rsidP="002A30A0">
            <w:pPr>
              <w:spacing w:after="60"/>
              <w:rPr>
                <w:sz w:val="20"/>
                <w:szCs w:val="20"/>
              </w:rPr>
            </w:pPr>
            <w:r w:rsidRPr="00475128">
              <w:rPr>
                <w:sz w:val="20"/>
                <w:szCs w:val="20"/>
              </w:rPr>
              <w:t>(6.panta 1.daļas 9. un 10.punkts)</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Nosakot apliekamo ienākumu, nodokļa maksātāja peļņu samazina: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10) par tonnāžas nodokļa maksātāja ieņēmumiem no kuģu izmantošanas starptautiskajos pārvadājumos un ar to saistītās darbībās;</w:t>
            </w:r>
          </w:p>
          <w:p w:rsidR="006D3AB5" w:rsidRPr="00475128" w:rsidRDefault="006D3AB5" w:rsidP="002A30A0">
            <w:pPr>
              <w:spacing w:after="60"/>
              <w:rPr>
                <w:sz w:val="20"/>
                <w:szCs w:val="20"/>
              </w:rPr>
            </w:pPr>
            <w:r w:rsidRPr="00475128">
              <w:rPr>
                <w:sz w:val="20"/>
                <w:szCs w:val="20"/>
              </w:rPr>
              <w:t>(6.panta 4.daļas 10.punkts)</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Ar tonnāžas nodokli apliekamo ienākumu aprēķina, summējot aprēķinātos ar tonnāžas nodokli apliekamos ienākumus par katru kuģi, kurš izmantots starptautiskajos pārvadājumos un ar to saistītās darbībās.</w:t>
            </w:r>
          </w:p>
          <w:p w:rsidR="006D3AB5" w:rsidRPr="00475128" w:rsidRDefault="006D3AB5" w:rsidP="002A30A0">
            <w:pPr>
              <w:spacing w:after="60"/>
              <w:rPr>
                <w:sz w:val="20"/>
                <w:szCs w:val="20"/>
              </w:rPr>
            </w:pPr>
            <w:r w:rsidRPr="00475128">
              <w:rPr>
                <w:sz w:val="20"/>
                <w:szCs w:val="20"/>
              </w:rPr>
              <w:t>(6.</w:t>
            </w:r>
            <w:r w:rsidRPr="00475128">
              <w:rPr>
                <w:sz w:val="20"/>
                <w:szCs w:val="20"/>
                <w:vertAlign w:val="superscript"/>
              </w:rPr>
              <w:t>1</w:t>
            </w:r>
            <w:r w:rsidRPr="00475128">
              <w:rPr>
                <w:sz w:val="20"/>
                <w:szCs w:val="20"/>
              </w:rPr>
              <w:t xml:space="preserve"> panta 1.daļa)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Ar tonnāžas nodokli apliekamo ienākumu par katru kuģi, kurš izmantots starptautiskajos pārvadājumos un ar to saistītās darbībās, aprēķina latos, reizinot kuģa neto tonnāžu (tilpību, kas izteikta tilpības vienībās) ar ienākuma koeficientu (katru atsevišķo tonnāžas daļu reizina ar attiecīgajai daļai noteikto ienākuma koeficientu, iegūtos rezultātus saskaita un summu reizina ar to taksācijas periodā ietilpstošo kalendāra dienu skaitu, kurās minētais kuģis bijis ekspluatācijā).</w:t>
            </w:r>
          </w:p>
          <w:p w:rsidR="006D3AB5" w:rsidRPr="00475128" w:rsidRDefault="006D3AB5" w:rsidP="002A30A0">
            <w:pPr>
              <w:spacing w:after="60"/>
              <w:rPr>
                <w:sz w:val="20"/>
                <w:szCs w:val="20"/>
              </w:rPr>
            </w:pPr>
            <w:r w:rsidRPr="00475128">
              <w:rPr>
                <w:sz w:val="20"/>
                <w:szCs w:val="20"/>
              </w:rPr>
              <w:t>(6.</w:t>
            </w:r>
            <w:r w:rsidRPr="00475128">
              <w:rPr>
                <w:sz w:val="20"/>
                <w:szCs w:val="20"/>
                <w:vertAlign w:val="superscript"/>
              </w:rPr>
              <w:t>1</w:t>
            </w:r>
            <w:r w:rsidRPr="00475128">
              <w:rPr>
                <w:sz w:val="20"/>
                <w:szCs w:val="20"/>
              </w:rPr>
              <w:t xml:space="preserve"> panta 2.daļa)</w:t>
            </w:r>
          </w:p>
          <w:p w:rsidR="006D3AB5" w:rsidRPr="00475128" w:rsidRDefault="006D3AB5" w:rsidP="002A30A0">
            <w:pPr>
              <w:spacing w:after="60"/>
              <w:rPr>
                <w:sz w:val="20"/>
                <w:szCs w:val="20"/>
              </w:rPr>
            </w:pP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Ienākuma koeficients (izteikts latos uz tilpības vienību) piemērojams šādā apmērā: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1) 0,0022 — tonnāžai no 100 līdz 1000 tilpības vienībām;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2) 0,0019 — tonnāžai no 1001 līdz 10 000 tilpības vienībām par tonnāžu, kas pārsniedz 1000 tilpības vienības;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3) 0,0016 — tonnāžai no 10 001 līdz 25 000 tilpības vienībām par tonnāžu, kas pārsniedz 10 000 tilpības vienības;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4) 0,0007 — tonnāžai virs 25 000 tilpības vienībām par tonnāžu, kas pārsniedz 25 000 tilpības vienības.</w:t>
            </w:r>
          </w:p>
          <w:p w:rsidR="006D3AB5" w:rsidRPr="00475128" w:rsidRDefault="006D3AB5" w:rsidP="002A30A0">
            <w:pPr>
              <w:spacing w:after="60"/>
              <w:rPr>
                <w:sz w:val="20"/>
                <w:szCs w:val="20"/>
              </w:rPr>
            </w:pPr>
            <w:r w:rsidRPr="00475128">
              <w:rPr>
                <w:sz w:val="20"/>
                <w:szCs w:val="20"/>
              </w:rPr>
              <w:t>(6.</w:t>
            </w:r>
            <w:r w:rsidRPr="00475128">
              <w:rPr>
                <w:sz w:val="20"/>
                <w:szCs w:val="20"/>
                <w:vertAlign w:val="superscript"/>
              </w:rPr>
              <w:t>1</w:t>
            </w:r>
            <w:r w:rsidRPr="00475128">
              <w:rPr>
                <w:sz w:val="20"/>
                <w:szCs w:val="20"/>
              </w:rPr>
              <w:t xml:space="preserve"> panta 3.daļa)</w:t>
            </w:r>
          </w:p>
        </w:tc>
        <w:tc>
          <w:tcPr>
            <w:tcW w:w="4140" w:type="dxa"/>
          </w:tcPr>
          <w:p w:rsidR="006D3AB5" w:rsidRPr="00475128" w:rsidRDefault="006D3AB5" w:rsidP="002A30A0">
            <w:pPr>
              <w:spacing w:after="60"/>
              <w:rPr>
                <w:sz w:val="20"/>
                <w:szCs w:val="20"/>
              </w:rPr>
            </w:pPr>
            <w:r w:rsidRPr="00475128">
              <w:rPr>
                <w:sz w:val="20"/>
                <w:szCs w:val="20"/>
              </w:rPr>
              <w:t>Tonnāžas nodokļa maksātājam netiek piemērotas likuma “Par UIN” 3.nodaļā, kā arī citos likumos paredzētās uzņēmumu ienākuma nodokļa atlaides.</w:t>
            </w:r>
          </w:p>
          <w:p w:rsidR="006D3AB5" w:rsidRPr="00475128" w:rsidRDefault="006D3AB5" w:rsidP="002A30A0">
            <w:pPr>
              <w:spacing w:after="60"/>
              <w:rPr>
                <w:sz w:val="20"/>
                <w:szCs w:val="20"/>
              </w:rPr>
            </w:pPr>
            <w:r w:rsidRPr="00475128">
              <w:rPr>
                <w:sz w:val="20"/>
                <w:szCs w:val="20"/>
              </w:rPr>
              <w:t>(15.panta 3.daļa)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Iekšzemes uzņēmums, kuram Valsts ieņēmumu dienests piešķīris tonnāžas nodokļa maksātāja statusu, ir tiesīgs to mainīt ne agrāk kā 10 taksācijas periodus pēc minētā statusa iegūšanas.</w:t>
            </w:r>
          </w:p>
          <w:p w:rsidR="006D3AB5" w:rsidRPr="00475128" w:rsidRDefault="006D3AB5" w:rsidP="002A30A0">
            <w:pPr>
              <w:spacing w:after="60"/>
              <w:rPr>
                <w:sz w:val="20"/>
                <w:szCs w:val="20"/>
              </w:rPr>
            </w:pPr>
            <w:r w:rsidRPr="00475128">
              <w:rPr>
                <w:sz w:val="20"/>
                <w:szCs w:val="20"/>
              </w:rPr>
              <w:t>(2.</w:t>
            </w:r>
            <w:r w:rsidRPr="00475128">
              <w:rPr>
                <w:sz w:val="20"/>
                <w:szCs w:val="20"/>
                <w:vertAlign w:val="superscript"/>
              </w:rPr>
              <w:t>1</w:t>
            </w:r>
            <w:r w:rsidRPr="00475128">
              <w:rPr>
                <w:sz w:val="20"/>
                <w:szCs w:val="20"/>
              </w:rPr>
              <w:t xml:space="preserve"> panta 4.daļa)</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17.</w:t>
            </w:r>
          </w:p>
        </w:tc>
        <w:tc>
          <w:tcPr>
            <w:tcW w:w="3870" w:type="dxa"/>
          </w:tcPr>
          <w:p w:rsidR="006D3AB5" w:rsidRPr="00475128" w:rsidRDefault="006D3AB5" w:rsidP="002A30A0">
            <w:pPr>
              <w:spacing w:after="60"/>
              <w:rPr>
                <w:b/>
                <w:sz w:val="20"/>
                <w:szCs w:val="20"/>
              </w:rPr>
            </w:pPr>
            <w:r w:rsidRPr="00475128">
              <w:rPr>
                <w:b/>
                <w:sz w:val="20"/>
                <w:szCs w:val="20"/>
              </w:rPr>
              <w:t>Nodokļa atlaide lauksaimniecībai.</w:t>
            </w:r>
          </w:p>
          <w:p w:rsidR="006D3AB5" w:rsidRPr="00475128" w:rsidRDefault="006D3AB5" w:rsidP="002A30A0">
            <w:pPr>
              <w:spacing w:after="60"/>
              <w:rPr>
                <w:sz w:val="20"/>
                <w:szCs w:val="20"/>
              </w:rPr>
            </w:pPr>
            <w:r w:rsidRPr="00475128">
              <w:rPr>
                <w:sz w:val="20"/>
                <w:szCs w:val="20"/>
              </w:rPr>
              <w:t>Nodokļa atlaide nodokļa maksātājiem, kas veic lauksaimniecisko darbību, ir noteikta taksācijas gadā 10 latu apmērā par katru lauksaimniecībā izmantojamās zemes hektāru.</w:t>
            </w:r>
          </w:p>
          <w:p w:rsidR="006D3AB5" w:rsidRPr="00475128" w:rsidRDefault="006D3AB5" w:rsidP="002A30A0">
            <w:pPr>
              <w:spacing w:after="60"/>
              <w:rPr>
                <w:sz w:val="20"/>
                <w:szCs w:val="20"/>
              </w:rPr>
            </w:pPr>
            <w:r w:rsidRPr="00475128">
              <w:rPr>
                <w:sz w:val="20"/>
                <w:szCs w:val="20"/>
              </w:rPr>
              <w:t>(18.panta 1.daļa)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Lai saņemtu nodokļa atlaidi, nodokļa maksātājam vienlaikus ar nodokļa deklarāciju jāiesniedz Valsts ieņēmumu dienestam pašvaldības izsniegta izziņa par zemes platību, kas faktiski tiek izmantota lauksaimniecības produkcijas ražošanai.</w:t>
            </w:r>
          </w:p>
          <w:p w:rsidR="006D3AB5" w:rsidRPr="00475128" w:rsidRDefault="006D3AB5" w:rsidP="002A30A0">
            <w:pPr>
              <w:spacing w:after="60"/>
              <w:rPr>
                <w:sz w:val="20"/>
                <w:szCs w:val="20"/>
              </w:rPr>
            </w:pPr>
            <w:r w:rsidRPr="00475128">
              <w:rPr>
                <w:sz w:val="20"/>
                <w:szCs w:val="20"/>
              </w:rPr>
              <w:t>(18.panta 2.daļa)</w:t>
            </w:r>
          </w:p>
          <w:p w:rsidR="006D3AB5" w:rsidRPr="00475128" w:rsidRDefault="006D3AB5" w:rsidP="002A30A0">
            <w:pPr>
              <w:spacing w:after="60"/>
              <w:rPr>
                <w:b/>
                <w:sz w:val="20"/>
                <w:szCs w:val="20"/>
              </w:rPr>
            </w:pPr>
          </w:p>
        </w:tc>
        <w:tc>
          <w:tcPr>
            <w:tcW w:w="4140" w:type="dxa"/>
          </w:tcPr>
          <w:p w:rsidR="006D3AB5" w:rsidRPr="00475128" w:rsidRDefault="006D3AB5" w:rsidP="002A30A0">
            <w:pPr>
              <w:spacing w:after="60"/>
              <w:rPr>
                <w:sz w:val="20"/>
                <w:szCs w:val="20"/>
              </w:rPr>
            </w:pPr>
            <w:r w:rsidRPr="00475128">
              <w:rPr>
                <w:sz w:val="20"/>
                <w:szCs w:val="20"/>
              </w:rPr>
              <w:t>Nodokļa atlaide netiek piemērota nodokļa maksātājiem, kas iesniedz Valsts ieņēmumu dienestam nepatiesas ziņas par zemes izmantošanu.</w:t>
            </w:r>
          </w:p>
          <w:p w:rsidR="006D3AB5" w:rsidRPr="00475128" w:rsidRDefault="006D3AB5" w:rsidP="002A30A0">
            <w:pPr>
              <w:spacing w:after="60"/>
              <w:rPr>
                <w:sz w:val="20"/>
                <w:szCs w:val="20"/>
              </w:rPr>
            </w:pPr>
            <w:r w:rsidRPr="00475128">
              <w:rPr>
                <w:sz w:val="20"/>
                <w:szCs w:val="20"/>
              </w:rPr>
              <w:t>(18.panta 3.daļa)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Šā panta izpratnē lauksaimnieciska darbība ir augkopība, lopkopība, iekšējo ūdeņu zivsaimniecība un dārzkopība.</w:t>
            </w:r>
          </w:p>
          <w:p w:rsidR="006D3AB5" w:rsidRPr="00475128" w:rsidRDefault="006D3AB5" w:rsidP="002A30A0">
            <w:pPr>
              <w:spacing w:after="60"/>
              <w:rPr>
                <w:sz w:val="20"/>
                <w:szCs w:val="20"/>
              </w:rPr>
            </w:pPr>
            <w:r w:rsidRPr="00475128">
              <w:rPr>
                <w:sz w:val="20"/>
                <w:szCs w:val="20"/>
              </w:rPr>
              <w:t>(18.panta 4.daļa)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Likuma 18.panta ceturtajā daļā minētā lauksaimnieciskā darbība ietver arī koku stādu audzēšanu, truškopību, putnkopību, biškopību un zvērko</w:t>
            </w:r>
            <w:r w:rsidRPr="00475128">
              <w:rPr>
                <w:sz w:val="20"/>
                <w:szCs w:val="20"/>
              </w:rPr>
              <w:softHyphen/>
              <w:t>pību. Iekšējo ūdeņu zivsaimniecība ir zivju audzēšana ūdenstilpēs – privātajos ūdeņos vai nodokļu maksātājam lietošanā nodotajās ūdenstilpēs.</w:t>
            </w:r>
          </w:p>
          <w:p w:rsidR="006D3AB5" w:rsidRPr="00475128" w:rsidRDefault="006D3AB5" w:rsidP="002A30A0">
            <w:pPr>
              <w:spacing w:after="60"/>
              <w:rPr>
                <w:sz w:val="20"/>
                <w:szCs w:val="20"/>
              </w:rPr>
            </w:pPr>
            <w:r w:rsidRPr="00475128">
              <w:rPr>
                <w:sz w:val="20"/>
                <w:szCs w:val="20"/>
              </w:rPr>
              <w:t>(122.punkts)</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18.</w:t>
            </w:r>
          </w:p>
        </w:tc>
        <w:tc>
          <w:tcPr>
            <w:tcW w:w="3870" w:type="dxa"/>
          </w:tcPr>
          <w:p w:rsidR="006D3AB5" w:rsidRPr="00475128" w:rsidRDefault="006D3AB5" w:rsidP="002A30A0">
            <w:pPr>
              <w:spacing w:after="60"/>
              <w:rPr>
                <w:b/>
                <w:sz w:val="20"/>
                <w:szCs w:val="20"/>
              </w:rPr>
            </w:pPr>
            <w:r w:rsidRPr="00475128">
              <w:rPr>
                <w:b/>
                <w:sz w:val="20"/>
                <w:szCs w:val="20"/>
              </w:rPr>
              <w:t>Nodokļa atvieglojums lauksaimniecībai.</w:t>
            </w:r>
          </w:p>
          <w:p w:rsidR="006D3AB5" w:rsidRPr="00475128" w:rsidRDefault="006D3AB5" w:rsidP="002A30A0">
            <w:pPr>
              <w:spacing w:after="60"/>
              <w:rPr>
                <w:sz w:val="20"/>
                <w:szCs w:val="20"/>
              </w:rPr>
            </w:pPr>
            <w:r w:rsidRPr="00475128">
              <w:rPr>
                <w:sz w:val="20"/>
                <w:szCs w:val="20"/>
              </w:rPr>
              <w:t>Nosakot apliekamo ienākumu, nodokļa maksātāja peļņu samazina: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2) par summām, kas izmaksātas subsīdiju veidā kā valsts atbalsts lauksaimniecībai vai Eiropas Savienības atbalsts lauksaimniecībai un lauku attīstībai;</w:t>
            </w:r>
          </w:p>
          <w:p w:rsidR="006D3AB5" w:rsidRPr="00475128" w:rsidRDefault="006D3AB5" w:rsidP="002A30A0">
            <w:pPr>
              <w:spacing w:after="60"/>
              <w:rPr>
                <w:sz w:val="20"/>
                <w:szCs w:val="20"/>
              </w:rPr>
            </w:pPr>
            <w:r w:rsidRPr="00475128">
              <w:rPr>
                <w:sz w:val="20"/>
                <w:szCs w:val="20"/>
              </w:rPr>
              <w:t>(6.panta 4.daļas 2.punkts)</w:t>
            </w:r>
          </w:p>
        </w:tc>
        <w:tc>
          <w:tcPr>
            <w:tcW w:w="4140" w:type="dxa"/>
          </w:tcPr>
          <w:p w:rsidR="006D3AB5" w:rsidRPr="00475128" w:rsidRDefault="006D3AB5" w:rsidP="002A30A0">
            <w:pPr>
              <w:spacing w:after="60"/>
              <w:rPr>
                <w:sz w:val="20"/>
                <w:szCs w:val="20"/>
              </w:rPr>
            </w:pPr>
            <w:r w:rsidRPr="00475128">
              <w:rPr>
                <w:sz w:val="20"/>
                <w:szCs w:val="20"/>
              </w:rPr>
              <w:t>Piemērojot likuma 6.panta ceturtās daļas 2.punktu, apliekamo ienāku</w:t>
            </w:r>
            <w:r w:rsidRPr="00475128">
              <w:rPr>
                <w:sz w:val="20"/>
                <w:szCs w:val="20"/>
              </w:rPr>
              <w:softHyphen/>
              <w:t>mu samazina par valsts un Eiropas Savienības atbalsta summām lauksaimnie</w:t>
            </w:r>
            <w:r w:rsidRPr="00475128">
              <w:rPr>
                <w:sz w:val="20"/>
                <w:szCs w:val="20"/>
              </w:rPr>
              <w:softHyphen/>
              <w:t>cībai, kas piešķirts atbilstoši normatīvajiem aktiem par kārtību, kādā tiek piešķirts valsts un Eiropas Savienības atbalsts lauksaimniecībai un lauku attīstībai. Likuma 6.panta ceturtās daļas 2.punkta izpratnē par atbalstu uzskatāms atbalsts saskaņā ar Komercdarbības atbalsta kontroles likumu.</w:t>
            </w:r>
          </w:p>
          <w:p w:rsidR="006D3AB5" w:rsidRPr="00475128" w:rsidRDefault="006D3AB5" w:rsidP="002A30A0">
            <w:pPr>
              <w:spacing w:after="60"/>
              <w:rPr>
                <w:sz w:val="20"/>
                <w:szCs w:val="20"/>
              </w:rPr>
            </w:pPr>
            <w:r w:rsidRPr="00475128">
              <w:rPr>
                <w:sz w:val="20"/>
                <w:szCs w:val="20"/>
              </w:rPr>
              <w:t>(64.punkts)</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19.</w:t>
            </w:r>
          </w:p>
        </w:tc>
        <w:tc>
          <w:tcPr>
            <w:tcW w:w="3870" w:type="dxa"/>
          </w:tcPr>
          <w:p w:rsidR="006D3AB5" w:rsidRPr="00475128" w:rsidRDefault="006D3AB5" w:rsidP="002A30A0">
            <w:pPr>
              <w:spacing w:after="60"/>
              <w:rPr>
                <w:b/>
                <w:sz w:val="20"/>
                <w:szCs w:val="20"/>
              </w:rPr>
            </w:pPr>
            <w:r w:rsidRPr="00475128">
              <w:rPr>
                <w:b/>
                <w:sz w:val="20"/>
                <w:szCs w:val="20"/>
              </w:rPr>
              <w:t>Nodokļa atlaide gaisa transporta sabiedrībām.</w:t>
            </w:r>
          </w:p>
          <w:p w:rsidR="006D3AB5" w:rsidRPr="00475128" w:rsidRDefault="006D3AB5" w:rsidP="002A30A0">
            <w:pPr>
              <w:spacing w:after="60"/>
              <w:rPr>
                <w:sz w:val="20"/>
                <w:szCs w:val="20"/>
              </w:rPr>
            </w:pPr>
            <w:r w:rsidRPr="00475128">
              <w:rPr>
                <w:sz w:val="20"/>
                <w:szCs w:val="20"/>
              </w:rPr>
              <w:t>Nodokli neietur par nerezidentam izmaksāto atlīdzību par starptautiskajā gaisa satiksmē izmantoto gaisa kuģu nomu.</w:t>
            </w:r>
          </w:p>
          <w:p w:rsidR="006D3AB5" w:rsidRPr="00475128" w:rsidRDefault="006D3AB5" w:rsidP="002A30A0">
            <w:pPr>
              <w:spacing w:after="60"/>
              <w:rPr>
                <w:sz w:val="20"/>
                <w:szCs w:val="20"/>
              </w:rPr>
            </w:pPr>
            <w:r w:rsidRPr="00475128">
              <w:rPr>
                <w:sz w:val="20"/>
                <w:szCs w:val="20"/>
              </w:rPr>
              <w:t>(3.panta 4.</w:t>
            </w:r>
            <w:r w:rsidRPr="00475128">
              <w:rPr>
                <w:sz w:val="20"/>
                <w:szCs w:val="20"/>
                <w:vertAlign w:val="superscript"/>
              </w:rPr>
              <w:t xml:space="preserve">6 </w:t>
            </w:r>
            <w:r w:rsidRPr="00475128">
              <w:rPr>
                <w:sz w:val="20"/>
                <w:szCs w:val="20"/>
              </w:rPr>
              <w:t>daļa)</w:t>
            </w:r>
          </w:p>
        </w:tc>
        <w:tc>
          <w:tcPr>
            <w:tcW w:w="4140" w:type="dxa"/>
          </w:tcPr>
          <w:p w:rsidR="006D3AB5" w:rsidRPr="00475128" w:rsidRDefault="006D3AB5" w:rsidP="002A30A0">
            <w:pPr>
              <w:spacing w:after="60"/>
              <w:rPr>
                <w:sz w:val="20"/>
                <w:szCs w:val="20"/>
              </w:rPr>
            </w:pPr>
          </w:p>
        </w:tc>
      </w:tr>
      <w:tr w:rsidR="006D3AB5" w:rsidRPr="00475128" w:rsidTr="002A30A0">
        <w:trPr>
          <w:trHeight w:val="800"/>
        </w:trPr>
        <w:tc>
          <w:tcPr>
            <w:tcW w:w="558" w:type="dxa"/>
            <w:vAlign w:val="center"/>
          </w:tcPr>
          <w:p w:rsidR="006D3AB5" w:rsidRPr="00475128" w:rsidRDefault="006D3AB5" w:rsidP="002A30A0">
            <w:pPr>
              <w:spacing w:after="60"/>
              <w:jc w:val="center"/>
              <w:rPr>
                <w:sz w:val="20"/>
                <w:szCs w:val="20"/>
              </w:rPr>
            </w:pPr>
            <w:r w:rsidRPr="00475128">
              <w:rPr>
                <w:sz w:val="20"/>
                <w:szCs w:val="20"/>
              </w:rPr>
              <w:t>20.</w:t>
            </w:r>
          </w:p>
        </w:tc>
        <w:tc>
          <w:tcPr>
            <w:tcW w:w="3870" w:type="dxa"/>
          </w:tcPr>
          <w:p w:rsidR="006D3AB5" w:rsidRPr="00475128" w:rsidRDefault="006D3AB5" w:rsidP="002A30A0">
            <w:pPr>
              <w:spacing w:after="60"/>
              <w:rPr>
                <w:b/>
                <w:sz w:val="20"/>
                <w:szCs w:val="20"/>
              </w:rPr>
            </w:pPr>
            <w:r w:rsidRPr="00475128">
              <w:rPr>
                <w:b/>
                <w:sz w:val="20"/>
                <w:szCs w:val="20"/>
              </w:rPr>
              <w:t>Nodokļa atvieglojums banku un krājaizdevu sabiedrībām</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Ar nodokli apliekamo ienākumu bankām un krājaizdevumu sabiedrībām nepalielina par to atskaitījumu summu, par kādu taksācijas periodā atzīti izdevumi debitoru parādiem paredzētajiem uzkrājumiem, un nesamazina par summu, par kādu taksācijas periodā tiek samazināti izveidotie uzkrājumi (apvērsti iepriekšējos taksācijas periodos atzītie izdevumi) debitoru parādiem saskaņā ar Finanšu un kapitāla tirgus komisijas normatīvajos noteikumos paredzēto uzkrājumu veidošanas kārtību.</w:t>
            </w:r>
          </w:p>
          <w:p w:rsidR="006D3AB5" w:rsidRPr="00475128" w:rsidRDefault="006D3AB5" w:rsidP="002A30A0">
            <w:pPr>
              <w:spacing w:after="60"/>
              <w:rPr>
                <w:sz w:val="20"/>
                <w:szCs w:val="20"/>
              </w:rPr>
            </w:pPr>
            <w:r w:rsidRPr="00475128">
              <w:rPr>
                <w:sz w:val="20"/>
                <w:szCs w:val="20"/>
              </w:rPr>
              <w:t>(7.pants)</w:t>
            </w:r>
          </w:p>
          <w:p w:rsidR="006D3AB5" w:rsidRPr="00475128" w:rsidRDefault="006D3AB5" w:rsidP="002A30A0">
            <w:pPr>
              <w:spacing w:after="60"/>
              <w:rPr>
                <w:b/>
                <w:sz w:val="20"/>
                <w:szCs w:val="20"/>
              </w:rPr>
            </w:pPr>
          </w:p>
          <w:p w:rsidR="006D3AB5" w:rsidRPr="00475128" w:rsidRDefault="006D3AB5" w:rsidP="002A30A0">
            <w:pPr>
              <w:spacing w:after="60"/>
              <w:rPr>
                <w:sz w:val="20"/>
                <w:szCs w:val="20"/>
              </w:rPr>
            </w:pPr>
            <w:r w:rsidRPr="00475128">
              <w:rPr>
                <w:sz w:val="20"/>
                <w:szCs w:val="20"/>
              </w:rPr>
              <w:t>Piemērojot likuma 7.pantu, ar nedrošiem parādiem saprot arī tās parādu saistības pret kredītiestādi, kuras radušās, kredītiestādei iegādājoties prasījuma (parādu) vērtspapīrus, un kurām saskaņā ar Finanšu un kapitāla tirgus komisijas izdotajiem noteikumiem jāveido speciālie uzkrājumi.</w:t>
            </w:r>
          </w:p>
          <w:p w:rsidR="006D3AB5" w:rsidRPr="00475128" w:rsidRDefault="006D3AB5" w:rsidP="002A30A0">
            <w:pPr>
              <w:spacing w:after="60"/>
              <w:rPr>
                <w:sz w:val="20"/>
                <w:szCs w:val="20"/>
              </w:rPr>
            </w:pPr>
            <w:r w:rsidRPr="00475128">
              <w:rPr>
                <w:sz w:val="20"/>
                <w:szCs w:val="20"/>
              </w:rPr>
              <w:t>(76.punkts)</w:t>
            </w:r>
          </w:p>
        </w:tc>
        <w:tc>
          <w:tcPr>
            <w:tcW w:w="4140" w:type="dxa"/>
          </w:tcPr>
          <w:p w:rsidR="006D3AB5" w:rsidRPr="00475128" w:rsidRDefault="006D3AB5" w:rsidP="002A30A0">
            <w:pPr>
              <w:spacing w:after="60"/>
              <w:rPr>
                <w:sz w:val="20"/>
                <w:szCs w:val="20"/>
              </w:rPr>
            </w:pPr>
            <w:r w:rsidRPr="00475128">
              <w:rPr>
                <w:sz w:val="20"/>
                <w:szCs w:val="20"/>
              </w:rPr>
              <w:t>Likuma 7.pantu nepie</w:t>
            </w:r>
            <w:r w:rsidRPr="00475128">
              <w:rPr>
                <w:sz w:val="20"/>
                <w:szCs w:val="20"/>
              </w:rPr>
              <w:softHyphen/>
              <w:t>mēro attiecībā uz speciālajiem uzkrājumiem, kas izveidoti akcijām un citiem vērts</w:t>
            </w:r>
            <w:r w:rsidRPr="00475128">
              <w:rPr>
                <w:sz w:val="20"/>
                <w:szCs w:val="20"/>
              </w:rPr>
              <w:softHyphen/>
              <w:t>papīriem ar nefiksētu ienākumu, līdzdalībai saistīto uzņēmumu pamatkapitālā, pašu akcijām, zaudējumu segšanai zādzību gadījumos, kā arī pamatlīdzekļiem.</w:t>
            </w:r>
          </w:p>
          <w:p w:rsidR="006D3AB5" w:rsidRPr="00475128" w:rsidRDefault="006D3AB5" w:rsidP="002A30A0">
            <w:pPr>
              <w:spacing w:after="60"/>
              <w:rPr>
                <w:sz w:val="20"/>
                <w:szCs w:val="20"/>
              </w:rPr>
            </w:pPr>
            <w:r w:rsidRPr="00475128">
              <w:rPr>
                <w:sz w:val="20"/>
                <w:szCs w:val="20"/>
              </w:rPr>
              <w:t>(76.punkts)</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21.</w:t>
            </w:r>
          </w:p>
        </w:tc>
        <w:tc>
          <w:tcPr>
            <w:tcW w:w="3870" w:type="dxa"/>
          </w:tcPr>
          <w:p w:rsidR="006D3AB5" w:rsidRPr="00475128" w:rsidRDefault="006D3AB5" w:rsidP="002A30A0">
            <w:pPr>
              <w:spacing w:after="60"/>
              <w:rPr>
                <w:b/>
                <w:sz w:val="20"/>
                <w:szCs w:val="20"/>
              </w:rPr>
            </w:pPr>
            <w:r w:rsidRPr="00475128">
              <w:rPr>
                <w:b/>
                <w:sz w:val="20"/>
                <w:szCs w:val="20"/>
              </w:rPr>
              <w:t>Nodokļa atvieglojums apdrošināšanas un pārapdrošināšanas sabiedrībām.</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Ar nodokli apliekamo ienākumu apdrošināšanas un pārapdrošināšanas sabiedrībām nepalielina par to atskaitījumu summu, kas ieskaitīta tehniskajās rezervēs, un nesamazina par summu, kas izņemta no šīm rezervēm un ieskaitīta ienākumos saskaņā ar Apdrošināšanas sabiedrību un to uzraudzības likumu vai Pārapdrošināšanas likumu.</w:t>
            </w:r>
          </w:p>
          <w:p w:rsidR="006D3AB5" w:rsidRPr="00475128" w:rsidRDefault="006D3AB5" w:rsidP="002A30A0">
            <w:pPr>
              <w:spacing w:after="60"/>
              <w:rPr>
                <w:sz w:val="20"/>
                <w:szCs w:val="20"/>
              </w:rPr>
            </w:pPr>
            <w:r w:rsidRPr="00475128">
              <w:rPr>
                <w:sz w:val="20"/>
                <w:szCs w:val="20"/>
              </w:rPr>
              <w:t>(8.pants)</w:t>
            </w:r>
          </w:p>
        </w:tc>
        <w:tc>
          <w:tcPr>
            <w:tcW w:w="4140" w:type="dxa"/>
          </w:tcPr>
          <w:p w:rsidR="006D3AB5" w:rsidRPr="00475128" w:rsidRDefault="006D3AB5" w:rsidP="002A30A0">
            <w:pPr>
              <w:spacing w:after="60"/>
              <w:rPr>
                <w:sz w:val="20"/>
                <w:szCs w:val="20"/>
              </w:rPr>
            </w:pPr>
          </w:p>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22.</w:t>
            </w:r>
          </w:p>
        </w:tc>
        <w:tc>
          <w:tcPr>
            <w:tcW w:w="3870" w:type="dxa"/>
          </w:tcPr>
          <w:p w:rsidR="006D3AB5" w:rsidRPr="00475128" w:rsidRDefault="006D3AB5" w:rsidP="002A30A0">
            <w:pPr>
              <w:spacing w:after="60"/>
              <w:rPr>
                <w:b/>
                <w:sz w:val="20"/>
                <w:szCs w:val="20"/>
              </w:rPr>
            </w:pPr>
            <w:r w:rsidRPr="00475128">
              <w:rPr>
                <w:b/>
                <w:sz w:val="20"/>
                <w:szCs w:val="20"/>
              </w:rPr>
              <w:t>Atlaides ziedotājiem.</w:t>
            </w:r>
          </w:p>
          <w:p w:rsidR="006D3AB5" w:rsidRPr="00475128" w:rsidRDefault="006D3AB5" w:rsidP="002A30A0">
            <w:pPr>
              <w:spacing w:after="60"/>
              <w:rPr>
                <w:sz w:val="20"/>
                <w:szCs w:val="20"/>
              </w:rPr>
            </w:pPr>
            <w:r w:rsidRPr="00475128">
              <w:rPr>
                <w:sz w:val="20"/>
                <w:szCs w:val="20"/>
              </w:rPr>
              <w:t>Rezidentiem un pastāvīgajām pārstāvniecībām nodokli samazina par 85% no summām, kas ziedotas budžeta iestādēm, valsts kapitālsabiedrībām, kuras veic Kultūras ministrijas deleģētas valsts kultūras funkcijas, kā arī Latvijas Republikā reģistrētām biedrībām, nodibinājumiem un reliģiskajām organizācijām vai to iestādēm, kurām piešķirts sabiedriskā labuma organizācijas statuss, vai citā Eiropas Savienības dalībvalstī vai Eiropas Ekonomikas zonas valstī, ar kuru Latvija ir noslēgusi konvenciju par nodokļu dubultās uzlikšanas un nodokļu nemaksāšanas novēršanu, ja šī konvencija ir stājusies spēkā, reģistrētai nevalstiskai organizācijai, kura darbojas Latvijas sabiedriskā labuma organizācijas nosacījumiem pielīdzināmā statusā saskaņā ar attiecīgās Eiropas Savienības dalībvalsts vai Eiropas Ekonomikas zonas valsts normatīvajiem aktiem.</w:t>
            </w:r>
          </w:p>
          <w:p w:rsidR="006D3AB5" w:rsidRPr="00475128" w:rsidRDefault="006D3AB5" w:rsidP="002A30A0">
            <w:pPr>
              <w:spacing w:after="60"/>
              <w:rPr>
                <w:sz w:val="20"/>
                <w:szCs w:val="20"/>
              </w:rPr>
            </w:pPr>
            <w:r w:rsidRPr="00475128">
              <w:rPr>
                <w:sz w:val="20"/>
                <w:szCs w:val="20"/>
              </w:rPr>
              <w:t>(20.</w:t>
            </w:r>
            <w:r w:rsidRPr="00475128">
              <w:rPr>
                <w:sz w:val="20"/>
                <w:szCs w:val="20"/>
                <w:vertAlign w:val="superscript"/>
              </w:rPr>
              <w:t>1</w:t>
            </w:r>
            <w:r w:rsidRPr="00475128">
              <w:rPr>
                <w:sz w:val="20"/>
                <w:szCs w:val="20"/>
              </w:rPr>
              <w:t xml:space="preserve"> panta 1.daļa)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Šā panta pirmajā daļā minētās budžeta iestādes, valsts kapitālsabiedrības, kuras veic Kultūras ministrijas deleģētas valsts kultūras funkcijas, Latvijas Republikā reģistrētās biedrības, nodibinājumi un reliģiskās organizācijas vai to iestādes, kurām piešķirts sabiedriskā labuma organizācijas statuss saskaņā ar Sabiedriskā labuma organizāciju likumu, ne vēlāk kā līdz pēctaksācijas gada 31.martam sniedz publisku pārskatu par ziedotājiem, to ziedotajām summām un saņemto ziedojumu izlietojumu taksācijas gadā. Ja valsts kapitālsabiedrībai, kura veic Kultūras ministrijas deleģētas valsts kultūras funkcijas, gada pārskata periods nesakrīt ar kalendāra gadu, minētā kapitālsabiedrība publisku pārskatu par ziedotājiem, to ziedotajām summām un saņemto ziedojumu izlietojumu taksācijas periodā sniedz triju mēnešu laikā pēc taksācijas perioda pēdējās dienas.</w:t>
            </w:r>
          </w:p>
          <w:p w:rsidR="006D3AB5" w:rsidRPr="00475128" w:rsidRDefault="006D3AB5" w:rsidP="002A30A0">
            <w:pPr>
              <w:spacing w:after="60"/>
              <w:rPr>
                <w:sz w:val="20"/>
                <w:szCs w:val="20"/>
              </w:rPr>
            </w:pPr>
            <w:r w:rsidRPr="00475128">
              <w:rPr>
                <w:sz w:val="20"/>
                <w:szCs w:val="20"/>
              </w:rPr>
              <w:t>(20.</w:t>
            </w:r>
            <w:r w:rsidRPr="00475128">
              <w:rPr>
                <w:sz w:val="20"/>
                <w:szCs w:val="20"/>
                <w:vertAlign w:val="superscript"/>
              </w:rPr>
              <w:t>1</w:t>
            </w:r>
            <w:r w:rsidRPr="00475128">
              <w:rPr>
                <w:sz w:val="20"/>
                <w:szCs w:val="20"/>
              </w:rPr>
              <w:t xml:space="preserve"> panta 3.daļa)</w:t>
            </w:r>
          </w:p>
          <w:p w:rsidR="006D3AB5" w:rsidRPr="00475128" w:rsidRDefault="006D3AB5" w:rsidP="002A30A0">
            <w:pPr>
              <w:spacing w:after="60"/>
              <w:rPr>
                <w:b/>
                <w:sz w:val="20"/>
                <w:szCs w:val="20"/>
              </w:rPr>
            </w:pPr>
          </w:p>
          <w:p w:rsidR="006D3AB5" w:rsidRPr="00475128" w:rsidRDefault="006D3AB5" w:rsidP="002A30A0">
            <w:pPr>
              <w:spacing w:after="60"/>
              <w:rPr>
                <w:sz w:val="20"/>
                <w:szCs w:val="20"/>
              </w:rPr>
            </w:pPr>
            <w:r w:rsidRPr="00475128">
              <w:rPr>
                <w:sz w:val="20"/>
                <w:szCs w:val="20"/>
              </w:rPr>
              <w:t>Ja nodokļa maksātājs ir pārkāpis šā panta noteikumus vai slēpis apliekamo ienākumu, nodokļa summa tiek palielināta par šīs nodokļa atlaides summu.</w:t>
            </w:r>
          </w:p>
          <w:p w:rsidR="006D3AB5" w:rsidRPr="00475128" w:rsidRDefault="006D3AB5" w:rsidP="002A30A0">
            <w:pPr>
              <w:spacing w:after="60"/>
              <w:rPr>
                <w:sz w:val="20"/>
                <w:szCs w:val="20"/>
              </w:rPr>
            </w:pPr>
            <w:r w:rsidRPr="00475128">
              <w:rPr>
                <w:sz w:val="20"/>
                <w:szCs w:val="20"/>
              </w:rPr>
              <w:t>(20.</w:t>
            </w:r>
            <w:r w:rsidRPr="00475128">
              <w:rPr>
                <w:sz w:val="20"/>
                <w:szCs w:val="20"/>
                <w:vertAlign w:val="superscript"/>
              </w:rPr>
              <w:t>1</w:t>
            </w:r>
            <w:r w:rsidRPr="00475128">
              <w:rPr>
                <w:sz w:val="20"/>
                <w:szCs w:val="20"/>
              </w:rPr>
              <w:t xml:space="preserve"> panta 5.daļa)</w:t>
            </w:r>
          </w:p>
          <w:p w:rsidR="006D3AB5" w:rsidRPr="00475128" w:rsidRDefault="006D3AB5" w:rsidP="002A30A0">
            <w:pPr>
              <w:spacing w:after="60"/>
              <w:rPr>
                <w:b/>
                <w:sz w:val="20"/>
                <w:szCs w:val="20"/>
              </w:rPr>
            </w:pPr>
          </w:p>
        </w:tc>
        <w:tc>
          <w:tcPr>
            <w:tcW w:w="4140" w:type="dxa"/>
          </w:tcPr>
          <w:p w:rsidR="006D3AB5" w:rsidRPr="00475128" w:rsidRDefault="006D3AB5" w:rsidP="002A30A0">
            <w:pPr>
              <w:spacing w:after="60"/>
              <w:rPr>
                <w:sz w:val="20"/>
                <w:szCs w:val="20"/>
              </w:rPr>
            </w:pPr>
            <w:r w:rsidRPr="00475128">
              <w:rPr>
                <w:sz w:val="20"/>
                <w:szCs w:val="20"/>
              </w:rPr>
              <w:t>Kopējā nodokļa atlaide saskaņā ar šā panta noteikumiem nedrīkst pārsniegt 20 procentus no nodokļa kopējās summas.</w:t>
            </w:r>
          </w:p>
          <w:p w:rsidR="006D3AB5" w:rsidRPr="00475128" w:rsidRDefault="006D3AB5" w:rsidP="002A30A0">
            <w:pPr>
              <w:spacing w:after="60"/>
              <w:rPr>
                <w:sz w:val="20"/>
                <w:szCs w:val="20"/>
              </w:rPr>
            </w:pPr>
            <w:r w:rsidRPr="00475128">
              <w:rPr>
                <w:sz w:val="20"/>
                <w:szCs w:val="20"/>
              </w:rPr>
              <w:t>(20.</w:t>
            </w:r>
            <w:r w:rsidRPr="00475128">
              <w:rPr>
                <w:sz w:val="20"/>
                <w:szCs w:val="20"/>
                <w:vertAlign w:val="superscript"/>
              </w:rPr>
              <w:t>1</w:t>
            </w:r>
            <w:r w:rsidRPr="00475128">
              <w:rPr>
                <w:sz w:val="20"/>
                <w:szCs w:val="20"/>
              </w:rPr>
              <w:t xml:space="preserve"> panta 2.daļa)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Nodokļa atlaidi nepiemēro maksātājiem, kuriem taksācijas perioda otrā mēneša pirmajā datumā ir nodokļa parādi par iepriekšējiem gadiem.</w:t>
            </w:r>
          </w:p>
          <w:p w:rsidR="006D3AB5" w:rsidRPr="00475128" w:rsidRDefault="006D3AB5" w:rsidP="002A30A0">
            <w:pPr>
              <w:spacing w:after="60"/>
              <w:rPr>
                <w:sz w:val="20"/>
                <w:szCs w:val="20"/>
              </w:rPr>
            </w:pPr>
            <w:r w:rsidRPr="00475128">
              <w:rPr>
                <w:sz w:val="20"/>
                <w:szCs w:val="20"/>
              </w:rPr>
              <w:t>(20.</w:t>
            </w:r>
            <w:r w:rsidRPr="00475128">
              <w:rPr>
                <w:sz w:val="20"/>
                <w:szCs w:val="20"/>
                <w:vertAlign w:val="superscript"/>
              </w:rPr>
              <w:t>1</w:t>
            </w:r>
            <w:r w:rsidRPr="00475128">
              <w:rPr>
                <w:sz w:val="20"/>
                <w:szCs w:val="20"/>
              </w:rPr>
              <w:t xml:space="preserve"> panta 4.daļa)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Piemērojot likuma 20.</w:t>
            </w:r>
            <w:r w:rsidRPr="00475128">
              <w:rPr>
                <w:sz w:val="20"/>
                <w:szCs w:val="20"/>
                <w:vertAlign w:val="superscript"/>
              </w:rPr>
              <w:t>1</w:t>
            </w:r>
            <w:r w:rsidRPr="00475128">
              <w:rPr>
                <w:sz w:val="20"/>
                <w:szCs w:val="20"/>
              </w:rPr>
              <w:t xml:space="preserve"> panta ceturto daļu, par uzņēmumu ienākuma nodokļa parādu netiek uzskatīta summa, kas veidojas, ja nodokļu maksātājs koriģē iepriekšējo taksācijas periodu uzņēmumu ienākuma nodokļa deklarāciju un pēc šīs korekcijas ir palielinājusies maksājamā nodokļa summa, un nodokļu maksātājs ir veicis aprēķinātā nodokļa parāda un nokavējuma naudas maksājumus.</w:t>
            </w:r>
          </w:p>
          <w:p w:rsidR="006D3AB5" w:rsidRPr="00475128" w:rsidRDefault="006D3AB5" w:rsidP="002A30A0">
            <w:pPr>
              <w:spacing w:after="60"/>
              <w:rPr>
                <w:sz w:val="20"/>
                <w:szCs w:val="20"/>
              </w:rPr>
            </w:pPr>
            <w:r w:rsidRPr="00475128">
              <w:rPr>
                <w:sz w:val="20"/>
                <w:szCs w:val="20"/>
              </w:rPr>
              <w:t>(125.</w:t>
            </w:r>
            <w:r w:rsidRPr="00475128">
              <w:rPr>
                <w:sz w:val="20"/>
                <w:szCs w:val="20"/>
                <w:vertAlign w:val="superscript"/>
              </w:rPr>
              <w:t xml:space="preserve">1 </w:t>
            </w:r>
            <w:r w:rsidRPr="00475128">
              <w:rPr>
                <w:sz w:val="20"/>
                <w:szCs w:val="20"/>
              </w:rPr>
              <w:t>punkts)</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Manta vai finanšu līdzekļi, kurus maksātājs, pamatojoties uz līgumu, bez atlīdzības nodod budžeta iestādei, valsts kapitālsabiedrībai, kura veic Kultūras ministrijas deleģētas valsts kultūras funkcijas, vai sabiedriskā labuma organizācijai (kurai šāds statuss piešķirts saskaņā ar Sabiedriskā labuma organizāciju likumu) tās statūtos, satversmē vai nolikumā noteikto mērķu sasniegšanai, ir uzskatāmi par ziedojumu šā panta izpratnē, ja saņēmējam nav noteikts pretpienākums veikt darbības, kuras uzskatāmas par atlīdzību.</w:t>
            </w:r>
          </w:p>
          <w:p w:rsidR="006D3AB5" w:rsidRPr="00475128" w:rsidRDefault="006D3AB5" w:rsidP="002A30A0">
            <w:pPr>
              <w:spacing w:after="60"/>
              <w:rPr>
                <w:sz w:val="20"/>
                <w:szCs w:val="20"/>
              </w:rPr>
            </w:pPr>
            <w:r w:rsidRPr="00475128">
              <w:rPr>
                <w:sz w:val="20"/>
                <w:szCs w:val="20"/>
              </w:rPr>
              <w:t>(20.</w:t>
            </w:r>
            <w:r w:rsidRPr="00475128">
              <w:rPr>
                <w:sz w:val="20"/>
                <w:szCs w:val="20"/>
                <w:vertAlign w:val="superscript"/>
              </w:rPr>
              <w:t>1</w:t>
            </w:r>
            <w:r w:rsidRPr="00475128">
              <w:rPr>
                <w:sz w:val="20"/>
                <w:szCs w:val="20"/>
              </w:rPr>
              <w:t xml:space="preserve"> panta 6.daļa)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 xml:space="preserve">Nodokļa atlaidi atbilstoši šā panta pirmajai daļai nepiemēro, ja pastāv vismaz viens no šādiem apstākļiem: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1) ziedojuma mērķī, kas noteikts ziedojuma saņēmējam, ir ietverta tieša vai netieša norāde uz konkrētu ziedoto līdzekļu saņēmēju, kas ir ar ziedotāju saistīts uzņēmums vai saistīta persona, vai ziedotāja darbinieks, vai šā darbinieka ģimenes loceklis;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2) ziedojuma saņēmējs veic atlīdzības rakstura darbības, kas vērstas uz labuma gūšanu ziedotājam, ar ziedotāju saistītam uzņēmumam, saistītai personai vai ziedotāja radiniekam līdz trešajai pakāpei vai laulātajam vai nodrošina ziedotāja intereses, kas nav saistītas ar filantropiju; </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 xml:space="preserve">3) rezidents un pastāvīgā pārstāvniecība, kas ziedo Eiropas Savienības dalībvalstī vai Eiropas Ekonomikas zonas valstī reģistrētai nevalstiskai organizācijai, kopā ar nodokļa deklarāciju par taksācijas gadu nav iesnieguši Valsts ieņēmumu dienestam dokumentus, kas apliecina, ka: </w:t>
            </w:r>
          </w:p>
          <w:p w:rsidR="006D3AB5" w:rsidRPr="00475128" w:rsidRDefault="006D3AB5" w:rsidP="002A30A0">
            <w:pPr>
              <w:pStyle w:val="tv2131"/>
              <w:spacing w:before="0" w:after="60" w:line="276" w:lineRule="auto"/>
              <w:rPr>
                <w:rFonts w:ascii="Calibri" w:hAnsi="Calibri"/>
                <w:sz w:val="20"/>
                <w:szCs w:val="20"/>
                <w:lang w:val="lv-LV"/>
              </w:rPr>
            </w:pPr>
            <w:r w:rsidRPr="00475128">
              <w:rPr>
                <w:rFonts w:ascii="Calibri" w:hAnsi="Calibri"/>
                <w:sz w:val="20"/>
                <w:szCs w:val="20"/>
                <w:lang w:val="lv-LV"/>
              </w:rPr>
              <w:t xml:space="preserve">a) ziedojuma saņēmējs ir kādas Eiropas Savienības dalībvalsts vai Eiropas Ekonomikas zonas valsts rezidents, </w:t>
            </w:r>
          </w:p>
          <w:p w:rsidR="006D3AB5" w:rsidRPr="00475128" w:rsidRDefault="006D3AB5" w:rsidP="002A30A0">
            <w:pPr>
              <w:pStyle w:val="tv2131"/>
              <w:spacing w:before="0" w:after="60" w:line="276" w:lineRule="auto"/>
              <w:rPr>
                <w:rFonts w:ascii="Calibri" w:hAnsi="Calibri"/>
                <w:sz w:val="20"/>
                <w:szCs w:val="20"/>
                <w:lang w:val="lv-LV"/>
              </w:rPr>
            </w:pPr>
            <w:r w:rsidRPr="00475128">
              <w:rPr>
                <w:rFonts w:ascii="Calibri" w:hAnsi="Calibri"/>
                <w:sz w:val="20"/>
                <w:szCs w:val="20"/>
                <w:lang w:val="lv-LV"/>
              </w:rPr>
              <w:t xml:space="preserve">b) ziedojuma saņēmējam ir sabiedriskā labuma organizācijai pielīdzināms statuss rezidences valstī, </w:t>
            </w:r>
          </w:p>
          <w:p w:rsidR="006D3AB5" w:rsidRPr="00475128" w:rsidRDefault="006D3AB5" w:rsidP="002A30A0">
            <w:pPr>
              <w:pStyle w:val="tv2131"/>
              <w:spacing w:before="0" w:after="60" w:line="276" w:lineRule="auto"/>
              <w:rPr>
                <w:rFonts w:ascii="Calibri" w:hAnsi="Calibri"/>
                <w:sz w:val="20"/>
                <w:szCs w:val="20"/>
                <w:lang w:val="lv-LV"/>
              </w:rPr>
            </w:pPr>
            <w:r w:rsidRPr="00475128">
              <w:rPr>
                <w:rFonts w:ascii="Calibri" w:hAnsi="Calibri"/>
                <w:sz w:val="20"/>
                <w:szCs w:val="20"/>
                <w:lang w:val="lv-LV"/>
              </w:rPr>
              <w:t xml:space="preserve">c) ziedojuma saņēmējs darbojas sabiedriskā labuma jomā, kas sniedz nozīmīgu labumu sabiedrībai vai kādai tās daļai, it sevišķi ja tā vērsta uz labdarību, cilvēktiesību un indivīda tiesību aizsardzību, pilsoniskās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labklājības celšanu, </w:t>
            </w:r>
          </w:p>
          <w:p w:rsidR="006D3AB5" w:rsidRPr="00475128" w:rsidRDefault="006D3AB5" w:rsidP="002A30A0">
            <w:pPr>
              <w:pStyle w:val="tv2131"/>
              <w:spacing w:before="0" w:after="60" w:line="276" w:lineRule="auto"/>
              <w:rPr>
                <w:rFonts w:ascii="Calibri" w:hAnsi="Calibri"/>
                <w:sz w:val="20"/>
                <w:szCs w:val="20"/>
                <w:lang w:val="lv-LV"/>
              </w:rPr>
            </w:pPr>
            <w:r w:rsidRPr="00475128">
              <w:rPr>
                <w:rFonts w:ascii="Calibri" w:hAnsi="Calibri"/>
                <w:sz w:val="20"/>
                <w:szCs w:val="20"/>
                <w:lang w:val="lv-LV"/>
              </w:rPr>
              <w:t>d) vismaz 75% no maksātāja ziedotās summas izlietoti sabiedriskā labuma mērķiem.</w:t>
            </w:r>
          </w:p>
          <w:p w:rsidR="006D3AB5" w:rsidRPr="00475128" w:rsidRDefault="006D3AB5" w:rsidP="002A30A0">
            <w:pPr>
              <w:spacing w:after="60"/>
              <w:rPr>
                <w:sz w:val="20"/>
                <w:szCs w:val="20"/>
              </w:rPr>
            </w:pPr>
            <w:r w:rsidRPr="00475128">
              <w:rPr>
                <w:sz w:val="20"/>
                <w:szCs w:val="20"/>
              </w:rPr>
              <w:t>(20.</w:t>
            </w:r>
            <w:r w:rsidRPr="00475128">
              <w:rPr>
                <w:sz w:val="20"/>
                <w:szCs w:val="20"/>
                <w:vertAlign w:val="superscript"/>
              </w:rPr>
              <w:t>1</w:t>
            </w:r>
            <w:r w:rsidRPr="00475128">
              <w:rPr>
                <w:sz w:val="20"/>
                <w:szCs w:val="20"/>
              </w:rPr>
              <w:t xml:space="preserve"> panta 7.daļa)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Piemērojot likuma 20.</w:t>
            </w:r>
            <w:r w:rsidRPr="00475128">
              <w:rPr>
                <w:sz w:val="20"/>
                <w:szCs w:val="20"/>
                <w:vertAlign w:val="superscript"/>
              </w:rPr>
              <w:t>1</w:t>
            </w:r>
            <w:r w:rsidRPr="00475128">
              <w:rPr>
                <w:sz w:val="20"/>
                <w:szCs w:val="20"/>
              </w:rPr>
              <w:t xml:space="preserve"> panta septītās daļas 2.punktu, par atlīdzības rakstura darbību ir uzskatāma arī ziedotāja logo izvietošana ziedojuma saņēmēja pasākumos vai cita veida norādes uz ziedotāju (piemēram, ziedotāja logo ievietošana grāmatā), ja par to nav noteikta atlīdzība.</w:t>
            </w:r>
          </w:p>
          <w:p w:rsidR="006D3AB5" w:rsidRPr="00475128" w:rsidRDefault="006D3AB5" w:rsidP="002A30A0">
            <w:pPr>
              <w:spacing w:after="60"/>
              <w:rPr>
                <w:sz w:val="20"/>
                <w:szCs w:val="20"/>
              </w:rPr>
            </w:pPr>
            <w:r w:rsidRPr="00475128">
              <w:rPr>
                <w:sz w:val="20"/>
                <w:szCs w:val="20"/>
              </w:rPr>
              <w:t>(125.</w:t>
            </w:r>
            <w:r w:rsidRPr="00475128">
              <w:rPr>
                <w:sz w:val="20"/>
                <w:szCs w:val="20"/>
                <w:vertAlign w:val="superscript"/>
              </w:rPr>
              <w:t xml:space="preserve">2 </w:t>
            </w:r>
            <w:r w:rsidRPr="00475128">
              <w:rPr>
                <w:sz w:val="20"/>
                <w:szCs w:val="20"/>
              </w:rPr>
              <w:t>punkts)</w:t>
            </w: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23.</w:t>
            </w:r>
          </w:p>
        </w:tc>
        <w:tc>
          <w:tcPr>
            <w:tcW w:w="3870" w:type="dxa"/>
          </w:tcPr>
          <w:p w:rsidR="006D3AB5" w:rsidRPr="00475128" w:rsidRDefault="006D3AB5" w:rsidP="002A30A0">
            <w:pPr>
              <w:spacing w:after="60"/>
              <w:rPr>
                <w:b/>
                <w:sz w:val="20"/>
                <w:szCs w:val="20"/>
              </w:rPr>
            </w:pPr>
            <w:r w:rsidRPr="00475128">
              <w:rPr>
                <w:b/>
                <w:sz w:val="20"/>
                <w:szCs w:val="20"/>
              </w:rPr>
              <w:t>Nodokļa atlaide invalīdu biedrību kapitālsabiedrībām, medicīniska rakstura, kā arī citu labdarības fondu kapitālsabiedrībām.</w:t>
            </w:r>
          </w:p>
          <w:p w:rsidR="006D3AB5" w:rsidRPr="00475128" w:rsidRDefault="006D3AB5" w:rsidP="002A30A0">
            <w:pPr>
              <w:spacing w:after="60"/>
              <w:rPr>
                <w:sz w:val="20"/>
                <w:szCs w:val="20"/>
              </w:rPr>
            </w:pPr>
            <w:r w:rsidRPr="00475128">
              <w:rPr>
                <w:sz w:val="20"/>
                <w:szCs w:val="20"/>
              </w:rPr>
              <w:t>Invalīdu biedrību kapitālsabiedrības, medicīniska rakstura, kā arī citu labdarības fondu kapitālsabiedrības pēc Ministru kabineta iesniegta un Saeimas apstiprināta saraksta tiek atbrīvotas no nodokļa maksāšanas, ja tās pārskaita minētajiem fondiem (programmām, organizācijām) summas, kuras ir lielākas par aprēķinātajām šā nodokļa summām.</w:t>
            </w:r>
          </w:p>
          <w:p w:rsidR="006D3AB5" w:rsidRPr="00475128" w:rsidRDefault="006D3AB5" w:rsidP="002A30A0">
            <w:pPr>
              <w:spacing w:after="60"/>
              <w:rPr>
                <w:sz w:val="20"/>
                <w:szCs w:val="20"/>
              </w:rPr>
            </w:pPr>
            <w:r w:rsidRPr="00475128">
              <w:rPr>
                <w:sz w:val="20"/>
                <w:szCs w:val="20"/>
              </w:rPr>
              <w:t>(21.pants)</w:t>
            </w:r>
          </w:p>
        </w:tc>
        <w:tc>
          <w:tcPr>
            <w:tcW w:w="4140" w:type="dxa"/>
          </w:tcPr>
          <w:p w:rsidR="006D3AB5" w:rsidRPr="00475128" w:rsidRDefault="006D3AB5" w:rsidP="002A30A0">
            <w:pPr>
              <w:spacing w:after="60"/>
              <w:rPr>
                <w:sz w:val="20"/>
                <w:szCs w:val="20"/>
              </w:rPr>
            </w:pPr>
          </w:p>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24.</w:t>
            </w:r>
          </w:p>
        </w:tc>
        <w:tc>
          <w:tcPr>
            <w:tcW w:w="3870" w:type="dxa"/>
          </w:tcPr>
          <w:p w:rsidR="006D3AB5" w:rsidRPr="00475128" w:rsidRDefault="006D3AB5" w:rsidP="002A30A0">
            <w:pPr>
              <w:spacing w:after="60"/>
              <w:rPr>
                <w:b/>
                <w:sz w:val="20"/>
                <w:szCs w:val="20"/>
              </w:rPr>
            </w:pPr>
            <w:r w:rsidRPr="00475128">
              <w:rPr>
                <w:b/>
                <w:sz w:val="20"/>
                <w:szCs w:val="20"/>
              </w:rPr>
              <w:t>Nodokļa atvieglojums par izveidotām darba vietām cilvēkiem ar invaliditāti.</w:t>
            </w:r>
          </w:p>
          <w:p w:rsidR="006D3AB5" w:rsidRPr="00475128" w:rsidRDefault="006D3AB5" w:rsidP="002A30A0">
            <w:pPr>
              <w:spacing w:after="60"/>
              <w:rPr>
                <w:sz w:val="20"/>
                <w:szCs w:val="20"/>
              </w:rPr>
            </w:pPr>
            <w:r w:rsidRPr="00475128">
              <w:rPr>
                <w:sz w:val="20"/>
                <w:szCs w:val="20"/>
              </w:rPr>
              <w:t>Nosakot apliekamo ienākumu, nodokļa maksātāja peļņu samazina: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12) par taksācijas periodā veiktajām izmaksām, lai nodrošinātu specializētu jaunu darba vietu darbiniekam ar fizisko vai psihisko spēju ierobežojumu (ar invaliditātes grupu), ja jauno darba vietu darbiniekam ar fizisko vai psihisko spēju ierobežojumu saglabā vismaz divus gadus.</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(6.panta 4.daļas 12.punkts)</w:t>
            </w:r>
          </w:p>
        </w:tc>
        <w:tc>
          <w:tcPr>
            <w:tcW w:w="4140" w:type="dxa"/>
          </w:tcPr>
          <w:p w:rsidR="006D3AB5" w:rsidRPr="00475128" w:rsidRDefault="006D3AB5" w:rsidP="002A30A0">
            <w:pPr>
              <w:spacing w:after="60"/>
              <w:rPr>
                <w:sz w:val="20"/>
                <w:szCs w:val="20"/>
              </w:rPr>
            </w:pPr>
          </w:p>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25.</w:t>
            </w:r>
          </w:p>
        </w:tc>
        <w:tc>
          <w:tcPr>
            <w:tcW w:w="3870" w:type="dxa"/>
          </w:tcPr>
          <w:p w:rsidR="006D3AB5" w:rsidRPr="00475128" w:rsidRDefault="006D3AB5" w:rsidP="002A30A0">
            <w:pPr>
              <w:spacing w:after="60"/>
              <w:rPr>
                <w:b/>
                <w:sz w:val="20"/>
                <w:szCs w:val="20"/>
              </w:rPr>
            </w:pPr>
            <w:r w:rsidRPr="00475128">
              <w:rPr>
                <w:b/>
                <w:sz w:val="20"/>
                <w:szCs w:val="20"/>
              </w:rPr>
              <w:t>Nodokļa atvieglojums par bez atlīdzības nodotajām skaitļošanas iekārtām.</w:t>
            </w:r>
          </w:p>
          <w:p w:rsidR="006D3AB5" w:rsidRPr="00475128" w:rsidRDefault="006D3AB5" w:rsidP="002A30A0">
            <w:pPr>
              <w:spacing w:after="60"/>
              <w:rPr>
                <w:sz w:val="20"/>
                <w:szCs w:val="20"/>
              </w:rPr>
            </w:pPr>
            <w:r w:rsidRPr="00475128">
              <w:rPr>
                <w:sz w:val="20"/>
                <w:szCs w:val="20"/>
              </w:rPr>
              <w:t>Nosakot apliekamo ienākumu, nodokļa maksātāja peļņu samazina: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8) par izglītības iestādēm bez atlīdzības nodoto skaitļošanas iekārtu, to aprīkojuma, tai skaitā drukas ierīču, atlikušo vērtību nodokļa maksātāja finanšu grāmatvedībā to izslēgšanas brīdī;</w:t>
            </w:r>
          </w:p>
          <w:p w:rsidR="006D3AB5" w:rsidRPr="00475128" w:rsidRDefault="006D3AB5" w:rsidP="002A30A0">
            <w:pPr>
              <w:spacing w:after="60"/>
              <w:rPr>
                <w:sz w:val="20"/>
                <w:szCs w:val="20"/>
              </w:rPr>
            </w:pPr>
            <w:r w:rsidRPr="00475128">
              <w:rPr>
                <w:sz w:val="20"/>
                <w:szCs w:val="20"/>
              </w:rPr>
              <w:t>(6.panta 4.daļas 8.punkts)</w:t>
            </w:r>
          </w:p>
        </w:tc>
        <w:tc>
          <w:tcPr>
            <w:tcW w:w="4140" w:type="dxa"/>
          </w:tcPr>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26.</w:t>
            </w:r>
          </w:p>
        </w:tc>
        <w:tc>
          <w:tcPr>
            <w:tcW w:w="3870" w:type="dxa"/>
          </w:tcPr>
          <w:p w:rsidR="006D3AB5" w:rsidRPr="00475128" w:rsidRDefault="006D3AB5" w:rsidP="002A30A0">
            <w:pPr>
              <w:spacing w:after="60"/>
              <w:rPr>
                <w:b/>
                <w:sz w:val="20"/>
                <w:szCs w:val="20"/>
              </w:rPr>
            </w:pPr>
            <w:r w:rsidRPr="00475128">
              <w:rPr>
                <w:b/>
                <w:sz w:val="20"/>
                <w:szCs w:val="20"/>
              </w:rPr>
              <w:t>Nodokļa atvieglojums par zemessarga aizvietošanu.</w:t>
            </w:r>
          </w:p>
          <w:p w:rsidR="006D3AB5" w:rsidRPr="00475128" w:rsidRDefault="006D3AB5" w:rsidP="002A30A0">
            <w:pPr>
              <w:spacing w:after="60"/>
              <w:rPr>
                <w:sz w:val="20"/>
                <w:szCs w:val="20"/>
              </w:rPr>
            </w:pPr>
            <w:r w:rsidRPr="00475128">
              <w:rPr>
                <w:sz w:val="20"/>
                <w:szCs w:val="20"/>
              </w:rPr>
              <w:t>Nodokļa maksātājs, kas nodarbina darbinieku, kurš dienē Zemessardzē, taksācijas perioda apliekamo ienākumu var samazināt par to darbinieka darba algas summas daļu, kura attiecīgajam darbiniekam tiek aprēķināta par Zemessardzes dienesta uzdevumu pildīšanā vai apmācībā iesaistītā zemessarga aizvietošanu un kura šajā periodā nepārsniedz aizvietotā zemessarga darba līgumā noteikto atlīdzību atbilstoši aizvietošanas periodam. Apliekamo ienākumu var samazināt atbilstoši šīs daļas noteikumiem, ja darbinieks, kurš dienē Zemessardzē, ir bijis darba tiesiskajās attiecībās ar nodokļa maksātāju vairāk nekā trīs mēnešus (pirms Zemessardzes dienesta uzdevumu pildīšanas vai mācību uzsākšanas dienas).</w:t>
            </w:r>
          </w:p>
          <w:p w:rsidR="006D3AB5" w:rsidRPr="00475128" w:rsidRDefault="006D3AB5" w:rsidP="002A30A0">
            <w:pPr>
              <w:spacing w:after="60"/>
              <w:rPr>
                <w:sz w:val="20"/>
                <w:szCs w:val="20"/>
              </w:rPr>
            </w:pPr>
            <w:r w:rsidRPr="00475128">
              <w:rPr>
                <w:sz w:val="20"/>
                <w:szCs w:val="20"/>
              </w:rPr>
              <w:t>(6.panta 18.daļa)</w:t>
            </w:r>
          </w:p>
        </w:tc>
        <w:tc>
          <w:tcPr>
            <w:tcW w:w="4140" w:type="dxa"/>
          </w:tcPr>
          <w:p w:rsidR="006D3AB5" w:rsidRPr="00475128" w:rsidRDefault="006D3AB5" w:rsidP="002A30A0">
            <w:pPr>
              <w:spacing w:after="60"/>
              <w:rPr>
                <w:sz w:val="20"/>
                <w:szCs w:val="20"/>
              </w:rPr>
            </w:pPr>
          </w:p>
          <w:p w:rsidR="006D3AB5" w:rsidRPr="00475128" w:rsidRDefault="006D3AB5" w:rsidP="002A30A0">
            <w:pPr>
              <w:spacing w:after="60"/>
              <w:rPr>
                <w:sz w:val="20"/>
                <w:szCs w:val="20"/>
              </w:rPr>
            </w:pPr>
          </w:p>
        </w:tc>
      </w:tr>
      <w:tr w:rsidR="006D3AB5" w:rsidRPr="00475128" w:rsidTr="002A30A0">
        <w:tc>
          <w:tcPr>
            <w:tcW w:w="558" w:type="dxa"/>
            <w:vAlign w:val="center"/>
          </w:tcPr>
          <w:p w:rsidR="006D3AB5" w:rsidRPr="00475128" w:rsidRDefault="006D3AB5" w:rsidP="002A30A0">
            <w:pPr>
              <w:spacing w:after="60"/>
              <w:jc w:val="center"/>
              <w:rPr>
                <w:sz w:val="20"/>
                <w:szCs w:val="20"/>
              </w:rPr>
            </w:pPr>
            <w:r w:rsidRPr="00475128">
              <w:rPr>
                <w:sz w:val="20"/>
                <w:szCs w:val="20"/>
              </w:rPr>
              <w:t>27.</w:t>
            </w:r>
          </w:p>
        </w:tc>
        <w:tc>
          <w:tcPr>
            <w:tcW w:w="3870" w:type="dxa"/>
          </w:tcPr>
          <w:p w:rsidR="006D3AB5" w:rsidRPr="00475128" w:rsidRDefault="006D3AB5" w:rsidP="002A30A0">
            <w:pPr>
              <w:spacing w:after="60"/>
              <w:rPr>
                <w:b/>
                <w:sz w:val="20"/>
                <w:szCs w:val="20"/>
              </w:rPr>
            </w:pPr>
            <w:r w:rsidRPr="00475128">
              <w:rPr>
                <w:b/>
                <w:sz w:val="20"/>
                <w:szCs w:val="20"/>
              </w:rPr>
              <w:t>Nodokļa atvieglojums par obligāto eksemplāru ražošanas izmaksām.</w:t>
            </w:r>
          </w:p>
          <w:p w:rsidR="006D3AB5" w:rsidRPr="00475128" w:rsidRDefault="006D3AB5" w:rsidP="002A30A0">
            <w:pPr>
              <w:spacing w:after="60"/>
              <w:rPr>
                <w:sz w:val="20"/>
                <w:szCs w:val="20"/>
              </w:rPr>
            </w:pPr>
            <w:r w:rsidRPr="00475128">
              <w:rPr>
                <w:sz w:val="20"/>
                <w:szCs w:val="20"/>
              </w:rPr>
              <w:t>Nosakot apliekamo ienākumu, nodokļa maksātāja peļņu samazina: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11) par to obligāto eksemplāru ražošanas izmaksām, kuri saskaņā ar obligāto eksemplāru likumu piegādāti Latvijas Nacionālajai bibliotēkai.</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(6.panta 4.daļas 11.punkts)</w:t>
            </w:r>
          </w:p>
        </w:tc>
        <w:tc>
          <w:tcPr>
            <w:tcW w:w="4140" w:type="dxa"/>
          </w:tcPr>
          <w:p w:rsidR="006D3AB5" w:rsidRPr="00475128" w:rsidRDefault="006D3AB5" w:rsidP="002A30A0">
            <w:pPr>
              <w:spacing w:after="60"/>
              <w:rPr>
                <w:sz w:val="20"/>
                <w:szCs w:val="20"/>
              </w:rPr>
            </w:pPr>
          </w:p>
          <w:p w:rsidR="006D3AB5" w:rsidRPr="00475128" w:rsidRDefault="006D3AB5" w:rsidP="002A30A0">
            <w:pPr>
              <w:spacing w:after="60"/>
              <w:rPr>
                <w:sz w:val="20"/>
                <w:szCs w:val="20"/>
              </w:rPr>
            </w:pPr>
          </w:p>
        </w:tc>
      </w:tr>
    </w:tbl>
    <w:p w:rsidR="006D3AB5" w:rsidRPr="00DB426E" w:rsidRDefault="006D3AB5" w:rsidP="00475128">
      <w:pPr>
        <w:pStyle w:val="Heading3"/>
        <w:numPr>
          <w:ilvl w:val="2"/>
          <w:numId w:val="4"/>
        </w:numPr>
      </w:pPr>
      <w:bookmarkStart w:id="303" w:name="_Toc356472878"/>
      <w:bookmarkStart w:id="304" w:name="_Toc358978721"/>
      <w:r w:rsidRPr="00DB426E">
        <w:t>Likums „Par nodokļu piemērošanu BO un SEZ”</w:t>
      </w:r>
      <w:bookmarkEnd w:id="303"/>
      <w:bookmarkEnd w:id="304"/>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870"/>
        <w:gridCol w:w="4140"/>
      </w:tblGrid>
      <w:tr w:rsidR="006D3AB5" w:rsidRPr="005B06E0" w:rsidTr="00475128">
        <w:tc>
          <w:tcPr>
            <w:tcW w:w="558" w:type="dxa"/>
            <w:shd w:val="clear" w:color="auto" w:fill="F2F2F2"/>
            <w:vAlign w:val="center"/>
          </w:tcPr>
          <w:p w:rsidR="006D3AB5" w:rsidRPr="005B06E0" w:rsidRDefault="006D3AB5" w:rsidP="002A30A0">
            <w:pPr>
              <w:spacing w:after="60"/>
              <w:jc w:val="center"/>
              <w:rPr>
                <w:b/>
                <w:sz w:val="20"/>
                <w:szCs w:val="20"/>
              </w:rPr>
            </w:pPr>
            <w:proofErr w:type="spellStart"/>
            <w:r w:rsidRPr="005B06E0">
              <w:rPr>
                <w:b/>
                <w:sz w:val="20"/>
                <w:szCs w:val="20"/>
              </w:rPr>
              <w:t>Nr.p.k</w:t>
            </w:r>
            <w:proofErr w:type="spellEnd"/>
            <w:r w:rsidRPr="005B06E0">
              <w:rPr>
                <w:b/>
                <w:sz w:val="20"/>
                <w:szCs w:val="20"/>
              </w:rPr>
              <w:t>.</w:t>
            </w:r>
          </w:p>
        </w:tc>
        <w:tc>
          <w:tcPr>
            <w:tcW w:w="387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apraksts</w:t>
            </w:r>
          </w:p>
        </w:tc>
        <w:tc>
          <w:tcPr>
            <w:tcW w:w="414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piemērošanas ierobežojumi</w:t>
            </w:r>
          </w:p>
        </w:tc>
      </w:tr>
      <w:tr w:rsidR="006D3AB5" w:rsidRPr="005B06E0" w:rsidTr="006D3AB5">
        <w:trPr>
          <w:trHeight w:val="3950"/>
        </w:trPr>
        <w:tc>
          <w:tcPr>
            <w:tcW w:w="558" w:type="dxa"/>
          </w:tcPr>
          <w:p w:rsidR="006D3AB5" w:rsidRPr="005B06E0" w:rsidRDefault="006D3AB5" w:rsidP="002A30A0">
            <w:pPr>
              <w:spacing w:after="60"/>
              <w:rPr>
                <w:sz w:val="20"/>
                <w:szCs w:val="20"/>
              </w:rPr>
            </w:pPr>
            <w:r w:rsidRPr="005B06E0">
              <w:rPr>
                <w:sz w:val="20"/>
                <w:szCs w:val="20"/>
              </w:rPr>
              <w:t>28.</w:t>
            </w:r>
          </w:p>
        </w:tc>
        <w:tc>
          <w:tcPr>
            <w:tcW w:w="3870" w:type="dxa"/>
          </w:tcPr>
          <w:p w:rsidR="006D3AB5" w:rsidRPr="005B06E0" w:rsidRDefault="006D3AB5" w:rsidP="002A30A0">
            <w:pPr>
              <w:spacing w:after="60"/>
              <w:rPr>
                <w:b/>
                <w:sz w:val="20"/>
                <w:szCs w:val="20"/>
              </w:rPr>
            </w:pPr>
            <w:r w:rsidRPr="005B06E0">
              <w:rPr>
                <w:b/>
                <w:sz w:val="20"/>
                <w:szCs w:val="20"/>
              </w:rPr>
              <w:t>Nekustamā īpašuma nodokļa atlaide.</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Zonas vai licencēta kapitālsabiedrība par tās īpašumā, tiesiskajā valdījumā esošo vai lietošanā piešķirto nekustamo īpašumu, kas atrodas zonas vai brīvostas teritorijā, ir tiesīga piemērot nekustamā īpašuma nodokļa atlaidi 80% apmērā no aprēķinātās (bez citu atlaižu piemērošanas) nodokļa summas, ja šā likuma </w:t>
            </w:r>
            <w:hyperlink r:id="rId93" w:anchor="p10" w:history="1">
              <w:r w:rsidRPr="005B06E0">
                <w:rPr>
                  <w:rFonts w:eastAsia="Times New Roman"/>
                  <w:sz w:val="20"/>
                  <w:szCs w:val="20"/>
                </w:rPr>
                <w:t>10.pantā</w:t>
              </w:r>
            </w:hyperlink>
            <w:r w:rsidRPr="005B06E0">
              <w:rPr>
                <w:rFonts w:eastAsia="Times New Roman"/>
                <w:sz w:val="20"/>
                <w:szCs w:val="20"/>
              </w:rPr>
              <w:t xml:space="preserve"> nav noteikts citādi. </w:t>
            </w:r>
          </w:p>
          <w:p w:rsidR="006D3AB5" w:rsidRPr="005B06E0" w:rsidRDefault="006D3AB5" w:rsidP="002A30A0">
            <w:pPr>
              <w:spacing w:after="60"/>
              <w:rPr>
                <w:rFonts w:eastAsia="Times New Roman"/>
                <w:sz w:val="20"/>
                <w:szCs w:val="20"/>
              </w:rPr>
            </w:pPr>
            <w:r w:rsidRPr="005B06E0">
              <w:rPr>
                <w:rFonts w:eastAsia="Times New Roman"/>
                <w:sz w:val="20"/>
                <w:szCs w:val="20"/>
              </w:rPr>
              <w:t>(6.panta 1.daļa)</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Ar pašvaldības lēmumu zonas vai licencēta kapitālsabiedrība par tās īpašumā, tiesiskajā valdījumā esošo vai lietošanā piešķirto nekustamo īpašumu, kas atrodas zonas vai brīvostas teritorijā, ir tiesīga piemērot nekustamā īpašuma nodokļa atlaidi līdz 20% no aprēķinātās (bez citu atlaižu piemērošanas) nodokļa summas, ja šā likuma </w:t>
            </w:r>
            <w:hyperlink r:id="rId94" w:anchor="p10" w:history="1">
              <w:r w:rsidRPr="005B06E0">
                <w:rPr>
                  <w:rFonts w:eastAsia="Times New Roman"/>
                  <w:sz w:val="20"/>
                  <w:szCs w:val="20"/>
                </w:rPr>
                <w:t>10.pantā</w:t>
              </w:r>
            </w:hyperlink>
            <w:r w:rsidRPr="005B06E0">
              <w:rPr>
                <w:rFonts w:eastAsia="Times New Roman"/>
                <w:sz w:val="20"/>
                <w:szCs w:val="20"/>
              </w:rPr>
              <w:t xml:space="preserve"> nav noteikts citādi. </w:t>
            </w:r>
          </w:p>
          <w:p w:rsidR="006D3AB5" w:rsidRPr="005B06E0" w:rsidRDefault="006D3AB5" w:rsidP="002A30A0">
            <w:pPr>
              <w:spacing w:after="60"/>
              <w:rPr>
                <w:sz w:val="20"/>
                <w:szCs w:val="20"/>
              </w:rPr>
            </w:pPr>
            <w:r w:rsidRPr="005B06E0">
              <w:rPr>
                <w:sz w:val="20"/>
                <w:szCs w:val="20"/>
              </w:rPr>
              <w:t>(6.panta 2.daļa)</w:t>
            </w:r>
          </w:p>
        </w:tc>
        <w:tc>
          <w:tcPr>
            <w:tcW w:w="4140" w:type="dxa"/>
          </w:tcPr>
          <w:p w:rsidR="006D3AB5" w:rsidRPr="005B06E0" w:rsidRDefault="006D3AB5" w:rsidP="002A30A0">
            <w:pPr>
              <w:spacing w:after="60"/>
              <w:rPr>
                <w:rFonts w:eastAsia="Times New Roman"/>
                <w:sz w:val="20"/>
                <w:szCs w:val="20"/>
              </w:rPr>
            </w:pPr>
            <w:r w:rsidRPr="005B06E0">
              <w:rPr>
                <w:rFonts w:eastAsia="Times New Roman"/>
                <w:sz w:val="20"/>
                <w:szCs w:val="20"/>
              </w:rPr>
              <w:t>Atvieglojums piemērojams līdz 2017.gadam (ieskaitot).</w:t>
            </w:r>
          </w:p>
        </w:tc>
      </w:tr>
      <w:tr w:rsidR="006D3AB5" w:rsidRPr="005B06E0" w:rsidTr="006D3AB5">
        <w:trPr>
          <w:trHeight w:val="1430"/>
        </w:trPr>
        <w:tc>
          <w:tcPr>
            <w:tcW w:w="558"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29.</w:t>
            </w:r>
          </w:p>
        </w:tc>
        <w:tc>
          <w:tcPr>
            <w:tcW w:w="3870" w:type="dxa"/>
          </w:tcPr>
          <w:p w:rsidR="006D3AB5" w:rsidRPr="005B06E0" w:rsidRDefault="006D3AB5" w:rsidP="002A30A0">
            <w:pPr>
              <w:spacing w:after="60"/>
              <w:rPr>
                <w:b/>
                <w:sz w:val="20"/>
                <w:szCs w:val="20"/>
              </w:rPr>
            </w:pPr>
            <w:r w:rsidRPr="005B06E0">
              <w:rPr>
                <w:b/>
                <w:sz w:val="20"/>
                <w:szCs w:val="20"/>
              </w:rPr>
              <w:t>Uzņēmumu ienākuma nodokļa atvieglojumi.</w:t>
            </w:r>
          </w:p>
          <w:p w:rsidR="006D3AB5" w:rsidRPr="005B06E0" w:rsidRDefault="006D3AB5" w:rsidP="002A30A0">
            <w:pPr>
              <w:spacing w:after="60"/>
              <w:rPr>
                <w:sz w:val="20"/>
                <w:szCs w:val="20"/>
              </w:rPr>
            </w:pPr>
            <w:r w:rsidRPr="005B06E0">
              <w:rPr>
                <w:sz w:val="20"/>
                <w:szCs w:val="20"/>
              </w:rPr>
              <w:t>Zonas kapitālsabiedrība vai licencēta kapitālsabiedrība ir tiesīga piemērot uzņēmumu ienākuma nodokļa atlaidi 80% apmērā no aprēķinātās nodokļa summas.</w:t>
            </w:r>
          </w:p>
          <w:p w:rsidR="006D3AB5" w:rsidRPr="005B06E0" w:rsidRDefault="006D3AB5" w:rsidP="002A30A0">
            <w:pPr>
              <w:spacing w:after="60"/>
              <w:rPr>
                <w:sz w:val="20"/>
                <w:szCs w:val="20"/>
              </w:rPr>
            </w:pPr>
            <w:r w:rsidRPr="005B06E0">
              <w:rPr>
                <w:sz w:val="20"/>
                <w:szCs w:val="20"/>
              </w:rPr>
              <w:t>(7.panta 1.daļa)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Zonas kapitālsabiedrība vai licencēta kapitālsabiedrība, izmaksājot nerezidentam dividendes, kā arī atlīdzību par vadības un konsultatīvajiem pakalpojumiem un samaksu par intelektuālo īpašumu, uzņēmumu ienākuma nodokli no šiem maksājumiem ietur ar 80% atlaidi no aprēķinātās nodokļa summas.</w:t>
            </w:r>
          </w:p>
          <w:p w:rsidR="006D3AB5" w:rsidRPr="005B06E0" w:rsidRDefault="006D3AB5" w:rsidP="002A30A0">
            <w:pPr>
              <w:spacing w:after="60"/>
              <w:rPr>
                <w:sz w:val="20"/>
                <w:szCs w:val="20"/>
              </w:rPr>
            </w:pPr>
            <w:r w:rsidRPr="005B06E0">
              <w:rPr>
                <w:sz w:val="20"/>
                <w:szCs w:val="20"/>
              </w:rPr>
              <w:t>(7.panta 3.daļa)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Zonas kapitālsabiedrība vai licencēta kapitālsabiedrība samazina ar uzņēmumu ienākuma nodokli apliekamo ienākumu par ieguldījumiem, kas izdarīti tādos infrastruktūras vai sociālās jomas objektos, kas pieder valstij vai pašvaldībai un atrodas speciālās ekonomiskās zonas vai brīvostas teritorijā, ja šie ieguldījumi veikti saskaņā ar līgumu, kas noslēgts ar zonas pārvaldi vai brīvostas pārvaldi.</w:t>
            </w:r>
          </w:p>
          <w:p w:rsidR="006D3AB5" w:rsidRPr="005B06E0" w:rsidRDefault="006D3AB5" w:rsidP="002A30A0">
            <w:pPr>
              <w:spacing w:after="60"/>
              <w:rPr>
                <w:b/>
                <w:sz w:val="20"/>
                <w:szCs w:val="20"/>
              </w:rPr>
            </w:pPr>
            <w:r w:rsidRPr="005B06E0">
              <w:rPr>
                <w:sz w:val="20"/>
                <w:szCs w:val="20"/>
              </w:rPr>
              <w:t>(7.panta 4.daļa)</w:t>
            </w:r>
          </w:p>
        </w:tc>
        <w:tc>
          <w:tcPr>
            <w:tcW w:w="4140" w:type="dxa"/>
          </w:tcPr>
          <w:p w:rsidR="006D3AB5" w:rsidRPr="005B06E0" w:rsidRDefault="006D3AB5" w:rsidP="002A30A0">
            <w:pPr>
              <w:spacing w:after="60"/>
              <w:rPr>
                <w:sz w:val="20"/>
                <w:szCs w:val="20"/>
              </w:rPr>
            </w:pPr>
            <w:r w:rsidRPr="005B06E0">
              <w:rPr>
                <w:rFonts w:eastAsia="Times New Roman"/>
                <w:sz w:val="20"/>
                <w:szCs w:val="20"/>
              </w:rPr>
              <w:t xml:space="preserve">6.panta 1. un 2.daļā un 7.panta </w:t>
            </w:r>
            <w:r w:rsidRPr="005B06E0">
              <w:rPr>
                <w:sz w:val="20"/>
                <w:szCs w:val="20"/>
              </w:rPr>
              <w:t>1.daļā noteiktās atlaides piemēro, ja uzkrātā tiešo nodokļu atlaižu summa un taksācijas periodā saskaņā ar šā likuma 7.panta 1. daļu aprēķinātās atlaides kopā nepārsniedz šādus attiecīgajai kapitālsabiedrībai piemērojamos procentus no uzkrātās ieguldījumu summas (ja ir ievēroti šā panta 4. daļā noteiktie ierobežojumi):</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 zonas kapitālsabiedrībai vai licencētai kapitālsabiedrībai, kura pārsniedz Komisijas 2004.gada 25.februāra regulas (EK) Nr. </w:t>
            </w:r>
            <w:hyperlink r:id="rId95" w:tgtFrame="_blank" w:tooltip="Atvērt regulu latviešu valodā" w:history="1">
              <w:r w:rsidRPr="005B06E0">
                <w:rPr>
                  <w:rFonts w:eastAsia="Times New Roman"/>
                  <w:sz w:val="20"/>
                  <w:szCs w:val="20"/>
                </w:rPr>
                <w:t>364/2004</w:t>
              </w:r>
            </w:hyperlink>
            <w:r w:rsidRPr="005B06E0">
              <w:rPr>
                <w:rFonts w:eastAsia="Times New Roman"/>
                <w:sz w:val="20"/>
                <w:szCs w:val="20"/>
              </w:rPr>
              <w:t xml:space="preserve">, ar ko groza regulu (EK) Nr. </w:t>
            </w:r>
            <w:hyperlink r:id="rId96" w:tgtFrame="_blank" w:tooltip="Atvērt regulas konsolidēto versiju" w:history="1">
              <w:r w:rsidRPr="005B06E0">
                <w:rPr>
                  <w:rFonts w:eastAsia="Times New Roman"/>
                  <w:sz w:val="20"/>
                  <w:szCs w:val="20"/>
                </w:rPr>
                <w:t>70/2001</w:t>
              </w:r>
            </w:hyperlink>
            <w:r w:rsidRPr="005B06E0">
              <w:rPr>
                <w:rFonts w:eastAsia="Times New Roman"/>
                <w:sz w:val="20"/>
                <w:szCs w:val="20"/>
              </w:rPr>
              <w:t>, iekļaujot tās darbības jomā atbalstu pētniecībai un attīstībai, 1.pielikumā noteiktos kritērijus, — 50% no uzkrātās iegul</w:t>
            </w:r>
            <w:r w:rsidRPr="005B06E0">
              <w:rPr>
                <w:rFonts w:eastAsia="Times New Roman"/>
                <w:sz w:val="20"/>
                <w:szCs w:val="20"/>
              </w:rPr>
              <w:softHyphen/>
              <w:t xml:space="preserve">dījumu summas (saskaņā ar Komisijas regulas Nr. </w:t>
            </w:r>
            <w:hyperlink r:id="rId97" w:tgtFrame="_blank" w:tooltip="Atvērt regulu latviešu valodā" w:history="1">
              <w:r w:rsidRPr="005B06E0">
                <w:rPr>
                  <w:rFonts w:eastAsia="Times New Roman"/>
                  <w:sz w:val="20"/>
                  <w:szCs w:val="20"/>
                </w:rPr>
                <w:t>1628/2006</w:t>
              </w:r>
            </w:hyperlink>
            <w:r w:rsidRPr="005B06E0">
              <w:rPr>
                <w:rFonts w:eastAsia="Times New Roman"/>
                <w:sz w:val="20"/>
                <w:szCs w:val="20"/>
              </w:rPr>
              <w:t xml:space="preserve"> 4.panta 1.punkta "b" apakšpunktu);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2) zonas kapitālsabiedrībai vai licencētai kapitālsabiedrībai, kura atbilst Komisijas 2004.gada 25.februāra regulas (EK) Nr. </w:t>
            </w:r>
            <w:hyperlink r:id="rId98" w:tgtFrame="_blank" w:tooltip="Atvērt regulu latviešu valodā" w:history="1">
              <w:r w:rsidRPr="005B06E0">
                <w:rPr>
                  <w:rFonts w:eastAsia="Times New Roman"/>
                  <w:sz w:val="20"/>
                  <w:szCs w:val="20"/>
                </w:rPr>
                <w:t>364/2004</w:t>
              </w:r>
            </w:hyperlink>
            <w:r w:rsidRPr="005B06E0">
              <w:rPr>
                <w:rFonts w:eastAsia="Times New Roman"/>
                <w:sz w:val="20"/>
                <w:szCs w:val="20"/>
              </w:rPr>
              <w:t xml:space="preserve">, ar ko groza regulu (EK) Nr. </w:t>
            </w:r>
            <w:hyperlink r:id="rId99" w:tgtFrame="_blank" w:tooltip="Atvērt regulas konsolidēto versiju" w:history="1">
              <w:r w:rsidRPr="005B06E0">
                <w:rPr>
                  <w:rFonts w:eastAsia="Times New Roman"/>
                  <w:sz w:val="20"/>
                  <w:szCs w:val="20"/>
                </w:rPr>
                <w:t>70/2001</w:t>
              </w:r>
            </w:hyperlink>
            <w:r w:rsidRPr="005B06E0">
              <w:rPr>
                <w:rFonts w:eastAsia="Times New Roman"/>
                <w:sz w:val="20"/>
                <w:szCs w:val="20"/>
              </w:rPr>
              <w:t xml:space="preserve">, iekļaujot tās darbības jomā atbalstu pētniecībai un attīstībai, 1.pielikumā noteiktajam vidējas kapitālsabiedrības statusam, — 60% no uzkrātās ieguldījumu summas (saskaņā ar Komisijas regulas Nr. </w:t>
            </w:r>
            <w:hyperlink r:id="rId100" w:tgtFrame="_blank" w:tooltip="Atvērt regulu latviešu valodā" w:history="1">
              <w:r w:rsidRPr="005B06E0">
                <w:rPr>
                  <w:rFonts w:eastAsia="Times New Roman"/>
                  <w:sz w:val="20"/>
                  <w:szCs w:val="20"/>
                </w:rPr>
                <w:t>1628/2006</w:t>
              </w:r>
            </w:hyperlink>
            <w:r w:rsidRPr="005B06E0">
              <w:rPr>
                <w:rFonts w:eastAsia="Times New Roman"/>
                <w:sz w:val="20"/>
                <w:szCs w:val="20"/>
              </w:rPr>
              <w:t xml:space="preserve"> 4.panta 1.punkta pēdējo teikumu);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3) zonas kapitālsabiedrībai vai licencētai kapitālsabiedrībai, kura atbilst Komisijas 2004.gada 25.februāra regulas (EK) Nr. </w:t>
            </w:r>
            <w:hyperlink r:id="rId101" w:tgtFrame="_blank" w:tooltip="Atvērt regulu latviešu valodā" w:history="1">
              <w:r w:rsidRPr="005B06E0">
                <w:rPr>
                  <w:rFonts w:eastAsia="Times New Roman"/>
                  <w:sz w:val="20"/>
                  <w:szCs w:val="20"/>
                </w:rPr>
                <w:t>364/2004</w:t>
              </w:r>
            </w:hyperlink>
            <w:r w:rsidRPr="005B06E0">
              <w:rPr>
                <w:rFonts w:eastAsia="Times New Roman"/>
                <w:sz w:val="20"/>
                <w:szCs w:val="20"/>
              </w:rPr>
              <w:t xml:space="preserve">, ar ko groza regulu (EK) Nr. </w:t>
            </w:r>
            <w:hyperlink r:id="rId102" w:tgtFrame="_blank" w:tooltip="Atvērt regulas konsolidēto versiju" w:history="1">
              <w:r w:rsidRPr="005B06E0">
                <w:rPr>
                  <w:rFonts w:eastAsia="Times New Roman"/>
                  <w:sz w:val="20"/>
                  <w:szCs w:val="20"/>
                </w:rPr>
                <w:t>70/2001</w:t>
              </w:r>
            </w:hyperlink>
            <w:r w:rsidRPr="005B06E0">
              <w:rPr>
                <w:rFonts w:eastAsia="Times New Roman"/>
                <w:sz w:val="20"/>
                <w:szCs w:val="20"/>
              </w:rPr>
              <w:t xml:space="preserve">, iekļaujot tās darbības jomā atbalstu pētniecībai un attīstībai, 1.pielikumā noteiktajam mazas kapitālsabiedrības statusam, — 70% no uzkrātās ieguldījumu summas (saskaņā ar Komisijas regulas Nr. </w:t>
            </w:r>
            <w:hyperlink r:id="rId103" w:tgtFrame="_blank" w:tooltip="Atvērt regulu latviešu valodā" w:history="1">
              <w:r w:rsidRPr="005B06E0">
                <w:rPr>
                  <w:rFonts w:eastAsia="Times New Roman"/>
                  <w:sz w:val="20"/>
                  <w:szCs w:val="20"/>
                </w:rPr>
                <w:t>1628/2006</w:t>
              </w:r>
            </w:hyperlink>
            <w:r w:rsidRPr="005B06E0">
              <w:rPr>
                <w:rFonts w:eastAsia="Times New Roman"/>
                <w:sz w:val="20"/>
                <w:szCs w:val="20"/>
              </w:rPr>
              <w:t xml:space="preserve"> 4.panta 1.punkta pēdējo teikumu);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4) zonas kapitālsabiedrībai vai licencētai kapitālsabiedrībai, kas definēta šā likuma </w:t>
            </w:r>
            <w:hyperlink r:id="rId104" w:anchor="piel4" w:history="1">
              <w:r w:rsidRPr="005B06E0">
                <w:rPr>
                  <w:rFonts w:eastAsia="Times New Roman"/>
                  <w:sz w:val="20"/>
                  <w:szCs w:val="20"/>
                </w:rPr>
                <w:t>4.pielikuma</w:t>
              </w:r>
            </w:hyperlink>
            <w:r w:rsidRPr="005B06E0">
              <w:rPr>
                <w:rFonts w:eastAsia="Times New Roman"/>
                <w:sz w:val="20"/>
                <w:szCs w:val="20"/>
              </w:rPr>
              <w:t xml:space="preserve"> 2.punktā (lauksaimniecības produktu apstrādes un tirdzniecības kapitālsabiedrība): </w:t>
            </w:r>
          </w:p>
          <w:p w:rsidR="006D3AB5" w:rsidRPr="005B06E0" w:rsidRDefault="006D3AB5" w:rsidP="002A30A0">
            <w:pPr>
              <w:spacing w:after="60"/>
              <w:ind w:firstLine="300"/>
              <w:rPr>
                <w:rFonts w:eastAsia="Times New Roman"/>
                <w:sz w:val="20"/>
                <w:szCs w:val="20"/>
              </w:rPr>
            </w:pPr>
            <w:r w:rsidRPr="005B06E0">
              <w:rPr>
                <w:rFonts w:eastAsia="Times New Roman"/>
                <w:sz w:val="20"/>
                <w:szCs w:val="20"/>
              </w:rPr>
              <w:t xml:space="preserve">a) mazai un vidējai kapitālsabiedrībai — 50% no uzkrātās ieguldījumu summas (saskaņā ar Komisijas regulas Nr. </w:t>
            </w:r>
            <w:hyperlink r:id="rId105" w:tgtFrame="_blank" w:tooltip="Atvērt regulu latviešu valodā" w:history="1">
              <w:r w:rsidRPr="005B06E0">
                <w:rPr>
                  <w:rFonts w:eastAsia="Times New Roman"/>
                  <w:sz w:val="20"/>
                  <w:szCs w:val="20"/>
                </w:rPr>
                <w:t>1628/2006</w:t>
              </w:r>
            </w:hyperlink>
            <w:r w:rsidRPr="005B06E0">
              <w:rPr>
                <w:rFonts w:eastAsia="Times New Roman"/>
                <w:sz w:val="20"/>
                <w:szCs w:val="20"/>
              </w:rPr>
              <w:t xml:space="preserve"> 4.panta 10.punkta "a" apakšpunktu), </w:t>
            </w:r>
          </w:p>
          <w:p w:rsidR="006D3AB5" w:rsidRPr="005B06E0" w:rsidRDefault="006D3AB5" w:rsidP="002A30A0">
            <w:pPr>
              <w:spacing w:after="60"/>
              <w:ind w:firstLine="300"/>
              <w:rPr>
                <w:rFonts w:eastAsia="Times New Roman"/>
                <w:sz w:val="20"/>
                <w:szCs w:val="20"/>
              </w:rPr>
            </w:pPr>
            <w:r w:rsidRPr="005B06E0">
              <w:rPr>
                <w:rFonts w:eastAsia="Times New Roman"/>
                <w:sz w:val="20"/>
                <w:szCs w:val="20"/>
              </w:rPr>
              <w:t xml:space="preserve">b) kapitālsabiedrībai, kura nav maza vai vidēja kapitālsabiedrība, bet kurā ir mazāk par 750 darbiniekiem un kuras apgrozījums ir mazāks par 200 miljoniem eiro ekvivalentu latos saskaņā ar Latvijas Bankas noteikto iepriekšējā gada vidējo valūtas maiņas kursu, — 25% no uzkrātās ieguldījumu summas (saskaņā ar Komisijas regulas Nr. </w:t>
            </w:r>
            <w:hyperlink r:id="rId106" w:tgtFrame="_blank" w:tooltip="Atvērt regulu latviešu valodā" w:history="1">
              <w:r w:rsidRPr="005B06E0">
                <w:rPr>
                  <w:rFonts w:eastAsia="Times New Roman"/>
                  <w:sz w:val="20"/>
                  <w:szCs w:val="20"/>
                </w:rPr>
                <w:t>1628/2006</w:t>
              </w:r>
            </w:hyperlink>
            <w:r w:rsidRPr="005B06E0">
              <w:rPr>
                <w:rFonts w:eastAsia="Times New Roman"/>
                <w:sz w:val="20"/>
                <w:szCs w:val="20"/>
              </w:rPr>
              <w:t xml:space="preserve"> 4.panta 10.punkta "b" apakšpunktu). </w:t>
            </w:r>
          </w:p>
          <w:p w:rsidR="006D3AB5" w:rsidRPr="005B06E0" w:rsidRDefault="006D3AB5" w:rsidP="002A30A0">
            <w:pPr>
              <w:spacing w:after="60"/>
              <w:rPr>
                <w:rFonts w:eastAsia="Times New Roman"/>
                <w:sz w:val="20"/>
                <w:szCs w:val="20"/>
              </w:rPr>
            </w:pPr>
            <w:r w:rsidRPr="005B06E0">
              <w:rPr>
                <w:rFonts w:eastAsia="Times New Roman"/>
                <w:sz w:val="20"/>
                <w:szCs w:val="20"/>
              </w:rPr>
              <w:t>(8.panta 1.daļa)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sz w:val="20"/>
                <w:szCs w:val="20"/>
              </w:rPr>
            </w:pPr>
            <w:r w:rsidRPr="005B06E0">
              <w:rPr>
                <w:sz w:val="20"/>
                <w:szCs w:val="20"/>
              </w:rPr>
              <w:t xml:space="preserve">Ja uzkrātā tiešo nodokļu atlaižu summa un taksācijas periodā saskaņā ar šā likuma </w:t>
            </w:r>
            <w:hyperlink r:id="rId107" w:anchor="p6" w:history="1">
              <w:r w:rsidRPr="005B06E0">
                <w:rPr>
                  <w:sz w:val="20"/>
                  <w:szCs w:val="20"/>
                </w:rPr>
                <w:t>6.</w:t>
              </w:r>
            </w:hyperlink>
            <w:r w:rsidRPr="005B06E0">
              <w:rPr>
                <w:sz w:val="20"/>
                <w:szCs w:val="20"/>
              </w:rPr>
              <w:t xml:space="preserve">panta 1. un 2.daļu un </w:t>
            </w:r>
            <w:hyperlink r:id="rId108" w:anchor="p7" w:history="1">
              <w:r w:rsidRPr="005B06E0">
                <w:rPr>
                  <w:sz w:val="20"/>
                  <w:szCs w:val="20"/>
                </w:rPr>
                <w:t>7.</w:t>
              </w:r>
            </w:hyperlink>
            <w:r w:rsidRPr="005B06E0">
              <w:rPr>
                <w:sz w:val="20"/>
                <w:szCs w:val="20"/>
              </w:rPr>
              <w:t xml:space="preserve">panta pirmo daļu aprēķinātās atlaides kopā pārsniedz attiecīgi šā panta pirmās daļas 1. vai 2.punktā noteiktos procentus no zonas kapitālsabiedrības vai licencētas kapitālsabiedrības uzkrātās ieguldījumu summas, nodokļa atlaides taksācijas periodā piemēro, ņemot vērā šā likuma </w:t>
            </w:r>
            <w:hyperlink r:id="rId109" w:anchor="p10" w:history="1">
              <w:r w:rsidRPr="005B06E0">
                <w:rPr>
                  <w:sz w:val="20"/>
                  <w:szCs w:val="20"/>
                </w:rPr>
                <w:t>10.</w:t>
              </w:r>
            </w:hyperlink>
            <w:r w:rsidRPr="005B06E0">
              <w:rPr>
                <w:sz w:val="20"/>
                <w:szCs w:val="20"/>
              </w:rPr>
              <w:t xml:space="preserve"> un </w:t>
            </w:r>
            <w:hyperlink r:id="rId110" w:anchor="p11" w:history="1">
              <w:r w:rsidRPr="005B06E0">
                <w:rPr>
                  <w:sz w:val="20"/>
                  <w:szCs w:val="20"/>
                </w:rPr>
                <w:t>11.</w:t>
              </w:r>
            </w:hyperlink>
            <w:r w:rsidRPr="005B06E0">
              <w:rPr>
                <w:sz w:val="20"/>
                <w:szCs w:val="20"/>
              </w:rPr>
              <w:t>pantā noteiktos ierobežojumus.</w:t>
            </w:r>
          </w:p>
          <w:p w:rsidR="006D3AB5" w:rsidRPr="005B06E0" w:rsidRDefault="006D3AB5" w:rsidP="002A30A0">
            <w:pPr>
              <w:spacing w:after="60"/>
              <w:rPr>
                <w:sz w:val="20"/>
                <w:szCs w:val="20"/>
              </w:rPr>
            </w:pPr>
            <w:r w:rsidRPr="005B06E0">
              <w:rPr>
                <w:sz w:val="20"/>
                <w:szCs w:val="20"/>
              </w:rPr>
              <w:t>(8.panta 2.daļa)</w:t>
            </w:r>
          </w:p>
          <w:p w:rsidR="006D3AB5" w:rsidRPr="005B06E0" w:rsidRDefault="006D3AB5" w:rsidP="002A30A0">
            <w:pPr>
              <w:spacing w:after="60"/>
              <w:rPr>
                <w:sz w:val="20"/>
                <w:szCs w:val="20"/>
              </w:rPr>
            </w:pPr>
          </w:p>
          <w:p w:rsidR="006D3AB5" w:rsidRPr="005B06E0" w:rsidRDefault="006D3AB5" w:rsidP="002A30A0">
            <w:pPr>
              <w:spacing w:after="60"/>
              <w:rPr>
                <w:rFonts w:eastAsia="Times New Roman"/>
                <w:sz w:val="20"/>
                <w:szCs w:val="20"/>
              </w:rPr>
            </w:pPr>
            <w:r w:rsidRPr="005B06E0">
              <w:rPr>
                <w:rFonts w:eastAsia="Times New Roman"/>
                <w:sz w:val="20"/>
                <w:szCs w:val="20"/>
              </w:rPr>
              <w:t xml:space="preserve">Ja uzkrātā tiešo nodokļu atlaižu summa kopā ar šā likuma </w:t>
            </w:r>
            <w:hyperlink r:id="rId111" w:anchor="p6" w:history="1">
              <w:r w:rsidRPr="005B06E0">
                <w:rPr>
                  <w:rFonts w:eastAsia="Times New Roman"/>
                  <w:sz w:val="20"/>
                  <w:szCs w:val="20"/>
                </w:rPr>
                <w:t>6.panta</w:t>
              </w:r>
            </w:hyperlink>
            <w:r w:rsidRPr="005B06E0">
              <w:rPr>
                <w:rFonts w:eastAsia="Times New Roman"/>
                <w:sz w:val="20"/>
                <w:szCs w:val="20"/>
              </w:rPr>
              <w:t xml:space="preserve"> 1. un 2.daļā noteikto taksācijas perioda nekustamā īpašuma nodokļa atlaidi pārsniedz attiecīgi šā likuma </w:t>
            </w:r>
            <w:hyperlink r:id="rId112" w:anchor="p8" w:history="1">
              <w:r w:rsidRPr="005B06E0">
                <w:rPr>
                  <w:rFonts w:eastAsia="Times New Roman"/>
                  <w:sz w:val="20"/>
                  <w:szCs w:val="20"/>
                </w:rPr>
                <w:t>8.panta</w:t>
              </w:r>
            </w:hyperlink>
            <w:r w:rsidRPr="005B06E0">
              <w:rPr>
                <w:rFonts w:eastAsia="Times New Roman"/>
                <w:sz w:val="20"/>
                <w:szCs w:val="20"/>
              </w:rPr>
              <w:t xml:space="preserve"> pirmās daļas 1., 2. un 3.punktā, 4.punkta "a" vai "b" apakšpunktā vai 8.</w:t>
            </w:r>
            <w:r w:rsidRPr="005B06E0">
              <w:rPr>
                <w:rFonts w:eastAsia="Times New Roman"/>
                <w:sz w:val="20"/>
                <w:szCs w:val="20"/>
                <w:vertAlign w:val="superscript"/>
              </w:rPr>
              <w:t>1</w:t>
            </w:r>
            <w:r w:rsidRPr="005B06E0">
              <w:rPr>
                <w:rFonts w:eastAsia="Times New Roman"/>
                <w:sz w:val="20"/>
                <w:szCs w:val="20"/>
              </w:rPr>
              <w:t xml:space="preserve"> panta 1.punktā noteiktos procentus no uzkrātās ieguldījumu summas, taksācijas perioda nekustamā īpašuma nodokļa atlaidi samazina šā pārsnieguma summas apmērā un zonas kapitālsabiedrība vai licencēta kapitālsabiedrība samaksā nekustamā īpašuma nodokli tādā apmērā, kas ir vienāds ar nekustamā īpašuma nodokļa atlaides samazinājumu.</w:t>
            </w:r>
          </w:p>
          <w:p w:rsidR="006D3AB5" w:rsidRPr="005B06E0" w:rsidRDefault="006D3AB5" w:rsidP="002A30A0">
            <w:pPr>
              <w:spacing w:after="60"/>
              <w:rPr>
                <w:rFonts w:eastAsia="Times New Roman"/>
                <w:sz w:val="20"/>
                <w:szCs w:val="20"/>
              </w:rPr>
            </w:pPr>
            <w:r w:rsidRPr="005B06E0">
              <w:rPr>
                <w:rFonts w:eastAsia="Times New Roman"/>
                <w:sz w:val="20"/>
                <w:szCs w:val="20"/>
              </w:rPr>
              <w:t>(10.pants)</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sz w:val="20"/>
                <w:szCs w:val="20"/>
              </w:rPr>
            </w:pPr>
            <w:r w:rsidRPr="005B06E0">
              <w:rPr>
                <w:sz w:val="20"/>
                <w:szCs w:val="20"/>
              </w:rPr>
              <w:t xml:space="preserve">Ja zonas kapitālsabiedrība vai licencēta kapitālsabiedrība, aprēķinot šā likuma </w:t>
            </w:r>
            <w:hyperlink r:id="rId113" w:anchor="p6" w:history="1">
              <w:r w:rsidRPr="005B06E0">
                <w:rPr>
                  <w:sz w:val="20"/>
                  <w:szCs w:val="20"/>
                </w:rPr>
                <w:t>6.panta</w:t>
              </w:r>
            </w:hyperlink>
            <w:r w:rsidRPr="005B06E0">
              <w:rPr>
                <w:sz w:val="20"/>
                <w:szCs w:val="20"/>
              </w:rPr>
              <w:t xml:space="preserve"> 1. un 2. daļā noteiktās nekustamā īpašuma nodokļa atlaides, piemērojusi šā likuma </w:t>
            </w:r>
            <w:hyperlink r:id="rId114" w:anchor="p10" w:history="1">
              <w:r w:rsidRPr="005B06E0">
                <w:rPr>
                  <w:sz w:val="20"/>
                  <w:szCs w:val="20"/>
                </w:rPr>
                <w:t>10.pantu</w:t>
              </w:r>
            </w:hyperlink>
            <w:r w:rsidRPr="005B06E0">
              <w:rPr>
                <w:sz w:val="20"/>
                <w:szCs w:val="20"/>
              </w:rPr>
              <w:t xml:space="preserve">, tā nav tiesīga piemērot šā likuma </w:t>
            </w:r>
            <w:hyperlink r:id="rId115" w:anchor="p7" w:history="1">
              <w:r w:rsidRPr="005B06E0">
                <w:rPr>
                  <w:sz w:val="20"/>
                  <w:szCs w:val="20"/>
                </w:rPr>
                <w:t>7.pantā</w:t>
              </w:r>
            </w:hyperlink>
            <w:r w:rsidRPr="005B06E0">
              <w:rPr>
                <w:sz w:val="20"/>
                <w:szCs w:val="20"/>
              </w:rPr>
              <w:t xml:space="preserve"> noteikto uzņēmumu ienākuma nodokļa atlaidi.</w:t>
            </w:r>
          </w:p>
          <w:p w:rsidR="006D3AB5" w:rsidRPr="005B06E0" w:rsidRDefault="006D3AB5" w:rsidP="002A30A0">
            <w:pPr>
              <w:spacing w:after="60"/>
              <w:rPr>
                <w:sz w:val="20"/>
                <w:szCs w:val="20"/>
              </w:rPr>
            </w:pPr>
            <w:r w:rsidRPr="005B06E0">
              <w:rPr>
                <w:sz w:val="20"/>
                <w:szCs w:val="20"/>
              </w:rPr>
              <w:t>(11.panta 1.daļa)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 xml:space="preserve">Ja uzkrātā tiešo nodokļu atlaižu summa un taksācijas periodā saskaņā ar šā likuma </w:t>
            </w:r>
            <w:hyperlink r:id="rId116" w:anchor="p6" w:history="1">
              <w:r w:rsidRPr="005B06E0">
                <w:rPr>
                  <w:sz w:val="20"/>
                  <w:szCs w:val="20"/>
                </w:rPr>
                <w:t>6.panta</w:t>
              </w:r>
            </w:hyperlink>
            <w:r w:rsidRPr="005B06E0">
              <w:rPr>
                <w:sz w:val="20"/>
                <w:szCs w:val="20"/>
              </w:rPr>
              <w:t xml:space="preserve"> 1. un 2. daļu piemērotās atlaides un saskaņā ar 7.panta 1. daļu aprēķinātās atlaides kopā pārsniedz attiecīgi šā likuma </w:t>
            </w:r>
            <w:hyperlink r:id="rId117" w:anchor="p8" w:history="1">
              <w:r w:rsidRPr="005B06E0">
                <w:rPr>
                  <w:sz w:val="20"/>
                  <w:szCs w:val="20"/>
                </w:rPr>
                <w:t>8.panta</w:t>
              </w:r>
            </w:hyperlink>
            <w:r w:rsidRPr="005B06E0">
              <w:rPr>
                <w:sz w:val="20"/>
                <w:szCs w:val="20"/>
              </w:rPr>
              <w:t xml:space="preserve"> pirmās daļas 1., 2. un 3.punktā, 4.punkta "a" vai "b" apakšpunktā vai 8.</w:t>
            </w:r>
            <w:r w:rsidRPr="005B06E0">
              <w:rPr>
                <w:sz w:val="20"/>
                <w:szCs w:val="20"/>
                <w:vertAlign w:val="superscript"/>
              </w:rPr>
              <w:t>1</w:t>
            </w:r>
            <w:r w:rsidRPr="005B06E0">
              <w:rPr>
                <w:sz w:val="20"/>
                <w:szCs w:val="20"/>
              </w:rPr>
              <w:t xml:space="preserve"> panta 1.punktā noteiktos procentus no zonas kapitālsabiedrības vai licencētas kapitālsabiedrības uzkrātās ieguldījumu summas, šā pārsnieguma summas apmērā samazina taksācijas periodā aprēķināto uzņēmumu ienākuma nodokļa atlaidi.</w:t>
            </w:r>
          </w:p>
          <w:p w:rsidR="006D3AB5" w:rsidRPr="005B06E0" w:rsidRDefault="006D3AB5" w:rsidP="002A30A0">
            <w:pPr>
              <w:spacing w:after="60"/>
              <w:rPr>
                <w:rFonts w:eastAsia="Times New Roman"/>
                <w:sz w:val="20"/>
                <w:szCs w:val="20"/>
              </w:rPr>
            </w:pPr>
            <w:r w:rsidRPr="005B06E0">
              <w:rPr>
                <w:rFonts w:eastAsia="Times New Roman"/>
                <w:sz w:val="20"/>
                <w:szCs w:val="20"/>
              </w:rPr>
              <w:t>(11.panta 2.daļa)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rFonts w:eastAsia="Times New Roman"/>
                <w:sz w:val="20"/>
                <w:szCs w:val="20"/>
              </w:rPr>
            </w:pPr>
            <w:r w:rsidRPr="005B06E0">
              <w:rPr>
                <w:rFonts w:eastAsia="Times New Roman"/>
                <w:sz w:val="20"/>
                <w:szCs w:val="20"/>
              </w:rPr>
              <w:t>Atvieglojums piemērojams līdz 2017.gadam (ieskaitot).</w:t>
            </w:r>
          </w:p>
        </w:tc>
      </w:tr>
      <w:tr w:rsidR="006D3AB5" w:rsidRPr="005B06E0" w:rsidTr="006D3AB5">
        <w:trPr>
          <w:trHeight w:val="800"/>
        </w:trPr>
        <w:tc>
          <w:tcPr>
            <w:tcW w:w="558"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30.</w:t>
            </w:r>
          </w:p>
        </w:tc>
        <w:tc>
          <w:tcPr>
            <w:tcW w:w="3870" w:type="dxa"/>
          </w:tcPr>
          <w:p w:rsidR="006D3AB5" w:rsidRPr="005B06E0" w:rsidRDefault="006D3AB5" w:rsidP="002A30A0">
            <w:pPr>
              <w:spacing w:after="60"/>
              <w:rPr>
                <w:b/>
                <w:sz w:val="20"/>
                <w:szCs w:val="20"/>
              </w:rPr>
            </w:pPr>
            <w:r w:rsidRPr="005B06E0">
              <w:rPr>
                <w:b/>
                <w:sz w:val="20"/>
                <w:szCs w:val="20"/>
              </w:rPr>
              <w:t>Pievienotās vērtības nodokļa atvieglojumi.</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Pievienotās vērtības nodokļa 0% likmi piemēro: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 apliekamo personu preču piegādēm licencētai kapitālsabiedrībai, zonas kapitālsabiedrībai, zonas pārvaldei vai brīvostas pārvaldei brīvostas vai speciālās ekonomiskās zonas teritorijā ietilpstošajā brīvajā zonā (turpmāk — brīvā zona) to tālākai eksportēšanai;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2) tādām preču piegādēm licencētai kapitālsabiedrībai, zonas kapitālsabiedrībai, zonas pārvaldei vai brīvostas pārvaldei, kuras atbilst šā likuma </w:t>
            </w:r>
            <w:hyperlink r:id="rId118" w:anchor="p1" w:history="1">
              <w:r w:rsidRPr="005B06E0">
                <w:rPr>
                  <w:rFonts w:eastAsia="Times New Roman"/>
                  <w:sz w:val="20"/>
                  <w:szCs w:val="20"/>
                </w:rPr>
                <w:t>1.panta</w:t>
              </w:r>
            </w:hyperlink>
            <w:r w:rsidRPr="005B06E0">
              <w:rPr>
                <w:rFonts w:eastAsia="Times New Roman"/>
                <w:sz w:val="20"/>
                <w:szCs w:val="20"/>
              </w:rPr>
              <w:t xml:space="preserve"> 2.daļas 12.punktā noteiktajām prasībām; </w:t>
            </w:r>
          </w:p>
          <w:p w:rsidR="006D3AB5" w:rsidRPr="005B06E0" w:rsidRDefault="006D3AB5" w:rsidP="002A30A0">
            <w:pPr>
              <w:spacing w:after="60"/>
              <w:rPr>
                <w:rFonts w:eastAsia="Times New Roman"/>
                <w:sz w:val="20"/>
                <w:szCs w:val="20"/>
              </w:rPr>
            </w:pPr>
            <w:r w:rsidRPr="005B06E0">
              <w:rPr>
                <w:rFonts w:eastAsia="Times New Roman"/>
                <w:sz w:val="20"/>
                <w:szCs w:val="20"/>
              </w:rPr>
              <w:t>(3.panta 2.daļa)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rFonts w:eastAsia="Times New Roman"/>
                <w:sz w:val="20"/>
                <w:szCs w:val="20"/>
              </w:rPr>
            </w:pPr>
            <w:r w:rsidRPr="005B06E0">
              <w:rPr>
                <w:rFonts w:eastAsia="Times New Roman"/>
                <w:bCs/>
                <w:sz w:val="20"/>
                <w:szCs w:val="20"/>
              </w:rPr>
              <w:t>Zonas kapitālsabiedrības vai licencētas kapitālsabiedrības veiktie ieguldījumi</w:t>
            </w:r>
            <w:r w:rsidRPr="005B06E0">
              <w:rPr>
                <w:rFonts w:eastAsia="Times New Roman"/>
                <w:b/>
                <w:bCs/>
                <w:sz w:val="20"/>
                <w:szCs w:val="20"/>
              </w:rPr>
              <w:t xml:space="preserve"> </w:t>
            </w:r>
            <w:r w:rsidRPr="005B06E0">
              <w:rPr>
                <w:rFonts w:eastAsia="Times New Roman"/>
                <w:sz w:val="20"/>
                <w:szCs w:val="20"/>
              </w:rPr>
              <w:t xml:space="preserve">— tie zonas kapitālsabiedrības vai licencētas kapitālsabiedrības, kā arī zonas pārvaldes vai brīvostas pārvaldes pamatlīdzekļos veiktie ilgtermiņa ieguldījumi [materiālie ieguldījumi (ēkas, būves, tehnoloģiskās iekārtas un mašīnas, nepabeigtie celtniecības objekti) un nemateriālie ieguldījumi (izmaksas patentu iegūšanai un tehnoloģiju apgūšanai)], kuri atbilst šādiem nosacījumiem: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a) paredzēti zonas pārvaldes un zonas kapitālsabiedrības vai brīvostas pārvaldes un licencētas kapitālsabiedrības noslēgtajā līgumā par ieguldījumu veikšanu vai brīvostas vai zonas valdes lēmumā,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b) atbilst Eiropas Komisijas 2006.gada 24.oktobra regulas (EK) Nr. </w:t>
            </w:r>
            <w:hyperlink r:id="rId119" w:tgtFrame="_blank" w:tooltip="Atvērt regulu latviešu valodā" w:history="1">
              <w:r w:rsidRPr="005B06E0">
                <w:rPr>
                  <w:rFonts w:eastAsia="Times New Roman"/>
                  <w:sz w:val="20"/>
                  <w:szCs w:val="20"/>
                </w:rPr>
                <w:t>1628/2006</w:t>
              </w:r>
            </w:hyperlink>
            <w:r w:rsidRPr="005B06E0">
              <w:rPr>
                <w:rFonts w:eastAsia="Times New Roman"/>
                <w:sz w:val="20"/>
                <w:szCs w:val="20"/>
              </w:rPr>
              <w:t xml:space="preserve"> par Līguma 87. un 88.panta piemērošanu valstu reģionālajam ieguldījumu atbalstam (turpmāk - Komisijas regula Nr. </w:t>
            </w:r>
            <w:hyperlink r:id="rId120" w:tgtFrame="_blank" w:tooltip="Atvērt regulu latviešu valodā" w:history="1">
              <w:r w:rsidRPr="005B06E0">
                <w:rPr>
                  <w:rFonts w:eastAsia="Times New Roman"/>
                  <w:sz w:val="20"/>
                  <w:szCs w:val="20"/>
                </w:rPr>
                <w:t>1628/2006</w:t>
              </w:r>
            </w:hyperlink>
            <w:r w:rsidRPr="005B06E0">
              <w:rPr>
                <w:rFonts w:eastAsia="Times New Roman"/>
                <w:sz w:val="20"/>
                <w:szCs w:val="20"/>
              </w:rPr>
              <w:t>) 2.panta 1.punkta "c" apakšpunktā, kā arī 4.panta 2., 5. un 8.punktā noteiktajām prasībām.</w:t>
            </w:r>
          </w:p>
          <w:p w:rsidR="006D3AB5" w:rsidRPr="005B06E0" w:rsidRDefault="006D3AB5" w:rsidP="002A30A0">
            <w:pPr>
              <w:spacing w:after="60"/>
              <w:rPr>
                <w:rFonts w:eastAsia="Times New Roman"/>
                <w:sz w:val="20"/>
                <w:szCs w:val="20"/>
              </w:rPr>
            </w:pPr>
            <w:r w:rsidRPr="005B06E0">
              <w:rPr>
                <w:rFonts w:eastAsia="Times New Roman"/>
                <w:sz w:val="20"/>
                <w:szCs w:val="20"/>
              </w:rPr>
              <w:t>(1.panta 2.daļas 12.punkts)</w:t>
            </w:r>
          </w:p>
        </w:tc>
        <w:tc>
          <w:tcPr>
            <w:tcW w:w="4140" w:type="dxa"/>
          </w:tcPr>
          <w:p w:rsidR="006D3AB5" w:rsidRPr="005B06E0" w:rsidRDefault="006D3AB5" w:rsidP="002A30A0">
            <w:pPr>
              <w:spacing w:after="60"/>
              <w:rPr>
                <w:rFonts w:eastAsia="Times New Roman"/>
                <w:sz w:val="20"/>
                <w:szCs w:val="20"/>
              </w:rPr>
            </w:pPr>
          </w:p>
          <w:p w:rsidR="006D3AB5" w:rsidRPr="005B06E0" w:rsidRDefault="006D3AB5" w:rsidP="002A30A0">
            <w:pPr>
              <w:spacing w:after="60"/>
              <w:rPr>
                <w:rFonts w:eastAsia="Times New Roman"/>
                <w:sz w:val="20"/>
                <w:szCs w:val="20"/>
              </w:rPr>
            </w:pPr>
          </w:p>
        </w:tc>
      </w:tr>
      <w:tr w:rsidR="006D3AB5" w:rsidRPr="005B06E0" w:rsidTr="006D3AB5">
        <w:trPr>
          <w:trHeight w:val="800"/>
        </w:trPr>
        <w:tc>
          <w:tcPr>
            <w:tcW w:w="558"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31.</w:t>
            </w:r>
          </w:p>
        </w:tc>
        <w:tc>
          <w:tcPr>
            <w:tcW w:w="3870" w:type="dxa"/>
          </w:tcPr>
          <w:p w:rsidR="006D3AB5" w:rsidRPr="005B06E0" w:rsidRDefault="006D3AB5" w:rsidP="002A30A0">
            <w:pPr>
              <w:spacing w:after="60"/>
              <w:rPr>
                <w:b/>
                <w:sz w:val="20"/>
                <w:szCs w:val="20"/>
              </w:rPr>
            </w:pPr>
            <w:r w:rsidRPr="005B06E0">
              <w:rPr>
                <w:b/>
                <w:sz w:val="20"/>
                <w:szCs w:val="20"/>
              </w:rPr>
              <w:t>Akcīzes nodokļa atvieglojumi.</w:t>
            </w:r>
          </w:p>
          <w:p w:rsidR="006D3AB5" w:rsidRPr="005B06E0" w:rsidRDefault="006D3AB5" w:rsidP="002A30A0">
            <w:pPr>
              <w:spacing w:after="60"/>
              <w:rPr>
                <w:sz w:val="20"/>
                <w:szCs w:val="20"/>
              </w:rPr>
            </w:pPr>
            <w:r w:rsidRPr="005B06E0">
              <w:rPr>
                <w:sz w:val="20"/>
                <w:szCs w:val="20"/>
              </w:rPr>
              <w:t>Naftas produkti, kurus piegādā licencētai kapitālsabiedrībai, zonas kapitālsabiedrībai, zonas pārvaldei vai brīvostas pārvaldei, ir atbrīvoti no akcīzes nodokļa, kamēr tie atrodas licencētas kapitālsabiedrības, zonas kapitālsabiedrības, zonas pārvaldes vai brīvostas pārvaldes brīvās zonas teritorijā.</w:t>
            </w:r>
          </w:p>
          <w:p w:rsidR="006D3AB5" w:rsidRPr="005B06E0" w:rsidRDefault="006D3AB5" w:rsidP="002A30A0">
            <w:pPr>
              <w:spacing w:after="60"/>
              <w:rPr>
                <w:sz w:val="20"/>
                <w:szCs w:val="20"/>
              </w:rPr>
            </w:pPr>
            <w:r w:rsidRPr="005B06E0">
              <w:rPr>
                <w:sz w:val="20"/>
                <w:szCs w:val="20"/>
              </w:rPr>
              <w:t>(3.panta 7.daļa)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 akcīzes nodokļa atbrīvo naftas produktus, kurus licencēta kapitālsabiedrība, zonas kapitālsabiedrība, zonas pārvalde vai brīvostas pārvalde izmanto: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kuģos un citos peldlīdzekļos, kuri netiek izmantoti atpūtas un izklaides vajadzībām;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kuģos to būvēšanas, izmēģināšanas un uzturēšanas vajadzībām;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3) kuģos un citos peldlīdzekļos, kurus izmanto ūdensceļu padziļināšanas un paplašināšanas darbos;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4) elektroenerģijas ražošanai vai kombinētās iekārtās, kas ražo elektroenerģiju un siltumenerģiju. </w:t>
            </w:r>
          </w:p>
          <w:p w:rsidR="006D3AB5" w:rsidRPr="005B06E0" w:rsidRDefault="006D3AB5" w:rsidP="002A30A0">
            <w:pPr>
              <w:spacing w:after="60"/>
              <w:rPr>
                <w:sz w:val="20"/>
                <w:szCs w:val="20"/>
              </w:rPr>
            </w:pPr>
            <w:r w:rsidRPr="005B06E0">
              <w:rPr>
                <w:sz w:val="20"/>
                <w:szCs w:val="20"/>
              </w:rPr>
              <w:t>(3.panta 8.daļa)</w:t>
            </w:r>
          </w:p>
        </w:tc>
        <w:tc>
          <w:tcPr>
            <w:tcW w:w="4140" w:type="dxa"/>
          </w:tcPr>
          <w:p w:rsidR="006D3AB5" w:rsidRPr="005B06E0" w:rsidRDefault="006D3AB5" w:rsidP="002A30A0">
            <w:pPr>
              <w:spacing w:after="60"/>
              <w:rPr>
                <w:rFonts w:eastAsia="Times New Roman"/>
                <w:sz w:val="20"/>
                <w:szCs w:val="20"/>
              </w:rPr>
            </w:pPr>
          </w:p>
        </w:tc>
      </w:tr>
    </w:tbl>
    <w:p w:rsidR="006D3AB5" w:rsidRDefault="006D3AB5" w:rsidP="006D3AB5"/>
    <w:p w:rsidR="005B06E0" w:rsidRDefault="005B06E0" w:rsidP="006D3AB5"/>
    <w:p w:rsidR="005B06E0" w:rsidRPr="00DB426E" w:rsidRDefault="005B06E0" w:rsidP="006D3AB5"/>
    <w:p w:rsidR="006D3AB5" w:rsidRPr="00DB426E" w:rsidRDefault="006D3AB5" w:rsidP="00475128">
      <w:pPr>
        <w:pStyle w:val="Heading3"/>
        <w:numPr>
          <w:ilvl w:val="2"/>
          <w:numId w:val="4"/>
        </w:numPr>
      </w:pPr>
      <w:bookmarkStart w:id="305" w:name="_Toc356472879"/>
      <w:bookmarkStart w:id="306" w:name="_Toc358978722"/>
      <w:r w:rsidRPr="00DB426E">
        <w:t>Likums „PVN likums”</w:t>
      </w:r>
      <w:bookmarkEnd w:id="305"/>
      <w:bookmarkEnd w:id="306"/>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66"/>
        <w:gridCol w:w="4140"/>
      </w:tblGrid>
      <w:tr w:rsidR="006D3AB5" w:rsidRPr="005B06E0" w:rsidTr="00475128">
        <w:tc>
          <w:tcPr>
            <w:tcW w:w="562" w:type="dxa"/>
            <w:shd w:val="clear" w:color="auto" w:fill="F2F2F2"/>
            <w:vAlign w:val="center"/>
          </w:tcPr>
          <w:p w:rsidR="006D3AB5" w:rsidRPr="005B06E0" w:rsidRDefault="006D3AB5" w:rsidP="002A30A0">
            <w:pPr>
              <w:spacing w:after="60"/>
              <w:jc w:val="center"/>
              <w:rPr>
                <w:b/>
                <w:sz w:val="20"/>
                <w:szCs w:val="20"/>
              </w:rPr>
            </w:pPr>
            <w:proofErr w:type="spellStart"/>
            <w:r w:rsidRPr="005B06E0">
              <w:rPr>
                <w:b/>
                <w:sz w:val="20"/>
                <w:szCs w:val="20"/>
              </w:rPr>
              <w:t>Nr.p.k</w:t>
            </w:r>
            <w:proofErr w:type="spellEnd"/>
            <w:r w:rsidRPr="005B06E0">
              <w:rPr>
                <w:b/>
                <w:sz w:val="20"/>
                <w:szCs w:val="20"/>
              </w:rPr>
              <w:t>.</w:t>
            </w:r>
          </w:p>
        </w:tc>
        <w:tc>
          <w:tcPr>
            <w:tcW w:w="3866"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apraksts</w:t>
            </w:r>
          </w:p>
        </w:tc>
        <w:tc>
          <w:tcPr>
            <w:tcW w:w="414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piemērošanas ierobežojumi</w:t>
            </w:r>
          </w:p>
        </w:tc>
      </w:tr>
      <w:tr w:rsidR="006D3AB5" w:rsidRPr="005B06E0" w:rsidTr="006D3AB5">
        <w:trPr>
          <w:trHeight w:val="62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32.</w:t>
            </w:r>
          </w:p>
        </w:tc>
        <w:tc>
          <w:tcPr>
            <w:tcW w:w="3866" w:type="dxa"/>
          </w:tcPr>
          <w:p w:rsidR="006D3AB5" w:rsidRPr="005B06E0" w:rsidRDefault="006D3AB5" w:rsidP="002A30A0">
            <w:pPr>
              <w:spacing w:after="60"/>
              <w:rPr>
                <w:b/>
                <w:sz w:val="20"/>
                <w:szCs w:val="20"/>
              </w:rPr>
            </w:pPr>
            <w:r w:rsidRPr="005B06E0">
              <w:rPr>
                <w:b/>
                <w:sz w:val="20"/>
                <w:szCs w:val="20"/>
              </w:rPr>
              <w:t>Samazināta PVN likme 12% apmērā.</w:t>
            </w:r>
          </w:p>
          <w:p w:rsidR="006D3AB5" w:rsidRPr="005B06E0" w:rsidRDefault="006D3AB5" w:rsidP="002A30A0">
            <w:pPr>
              <w:spacing w:after="60"/>
              <w:rPr>
                <w:sz w:val="20"/>
                <w:szCs w:val="20"/>
              </w:rPr>
            </w:pPr>
            <w:r w:rsidRPr="005B06E0">
              <w:rPr>
                <w:sz w:val="20"/>
                <w:szCs w:val="20"/>
              </w:rPr>
              <w:t>Samazināto PVN likmi piemēro:</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medikamentu piegādei;</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medicīnisko ierīču (arī to komplektējošo daļu, rezerves daļu un piederumu) piegādei;</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zīdaiņiem paredzēto specializēto pārtikas produktu piegādei;</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pasažieru un to bagāžas regulāro pārvadājumu pakalpojumiem iekšzemē;</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 xml:space="preserve">iespieddarba vai elektroniska izdevuma formā izdotai mācību literatūras un oriģinālliteratūras (literāru darbu — daiļliteratūrā, bērnu literatūrā, zinātniskajā un populārzinātniskajā literatūrā, uzziņu literatūrā, reliģiskā literatūrā, </w:t>
            </w:r>
            <w:proofErr w:type="spellStart"/>
            <w:r w:rsidRPr="00475128">
              <w:rPr>
                <w:sz w:val="20"/>
                <w:szCs w:val="20"/>
                <w:lang w:val="lv-LV" w:eastAsia="en-US"/>
              </w:rPr>
              <w:t>memuārliteratūrā</w:t>
            </w:r>
            <w:proofErr w:type="spellEnd"/>
            <w:r w:rsidRPr="00475128">
              <w:rPr>
                <w:sz w:val="20"/>
                <w:szCs w:val="20"/>
                <w:lang w:val="lv-LV" w:eastAsia="en-US"/>
              </w:rPr>
              <w:t xml:space="preserve"> — un to tulkojumu) piegādei, izņemot minētās literatūras piegādi tiešsaistes režīmā vai to lejupielādējot;</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izmitināšanas pakalpojumiem tūristu mītnēs;</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koksnes kurināmā piegādēm, ja tā faktiskais patērētājs ir iedzīvotājs, kas pērk un patērē koksnes kurināmo mājsaimniecības vajadzībām;</w:t>
            </w:r>
          </w:p>
          <w:p w:rsidR="006D3AB5" w:rsidRPr="00475128" w:rsidRDefault="006D3AB5" w:rsidP="00475128">
            <w:pPr>
              <w:pStyle w:val="ListParagraph"/>
              <w:numPr>
                <w:ilvl w:val="0"/>
                <w:numId w:val="21"/>
              </w:numPr>
              <w:suppressAutoHyphens w:val="0"/>
              <w:spacing w:after="60" w:line="276" w:lineRule="auto"/>
              <w:rPr>
                <w:sz w:val="20"/>
                <w:szCs w:val="20"/>
                <w:lang w:val="lv-LV" w:eastAsia="en-US"/>
              </w:rPr>
            </w:pPr>
            <w:r w:rsidRPr="00475128">
              <w:rPr>
                <w:sz w:val="20"/>
                <w:szCs w:val="20"/>
                <w:lang w:val="lv-LV" w:eastAsia="en-US"/>
              </w:rPr>
              <w:t>siltumenerģijas piegādei, ja tās faktiskais patērētājs ir iedzīvotājs, kas pērk un patērē siltumenerģiju mājsaimniecības vajadzībām.</w:t>
            </w:r>
          </w:p>
          <w:p w:rsidR="006D3AB5" w:rsidRPr="005B06E0" w:rsidRDefault="006D3AB5" w:rsidP="002A30A0">
            <w:pPr>
              <w:spacing w:after="60"/>
              <w:rPr>
                <w:sz w:val="20"/>
                <w:szCs w:val="20"/>
              </w:rPr>
            </w:pPr>
            <w:r w:rsidRPr="005B06E0">
              <w:rPr>
                <w:sz w:val="20"/>
                <w:szCs w:val="20"/>
              </w:rPr>
              <w:t>(42.panta 1.-12.daļa)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Nodokļa samazināto likmi piemēro arī to šajā pantā minēto preču importam, kurām piemērojama samazinātā likme, un šo preču iegādēm Eiropas Savienības teritorijā.</w:t>
            </w:r>
          </w:p>
          <w:p w:rsidR="006D3AB5" w:rsidRPr="005B06E0" w:rsidRDefault="006D3AB5" w:rsidP="002A30A0">
            <w:pPr>
              <w:spacing w:after="60"/>
              <w:rPr>
                <w:sz w:val="20"/>
                <w:szCs w:val="20"/>
              </w:rPr>
            </w:pPr>
            <w:r w:rsidRPr="005B06E0">
              <w:rPr>
                <w:sz w:val="20"/>
                <w:szCs w:val="20"/>
              </w:rPr>
              <w:t>(42.panta 15.daļa)</w:t>
            </w:r>
          </w:p>
        </w:tc>
        <w:tc>
          <w:tcPr>
            <w:tcW w:w="4140" w:type="dxa"/>
          </w:tcPr>
          <w:p w:rsidR="006D3AB5" w:rsidRPr="005B06E0" w:rsidRDefault="006D3AB5" w:rsidP="002A30A0">
            <w:pPr>
              <w:spacing w:after="60"/>
              <w:rPr>
                <w:sz w:val="20"/>
                <w:szCs w:val="20"/>
              </w:rPr>
            </w:pPr>
            <w:r w:rsidRPr="005B06E0">
              <w:rPr>
                <w:sz w:val="20"/>
                <w:szCs w:val="20"/>
              </w:rPr>
              <w:t>Nodokļa samazināto likmi piemēro tādu iespieddarba vai elektroniska izdevuma formā izdotu avīžu, žurnālu, biļetenu un citu periodisko izdevumu piegādei (izņemot minēto periodisko izdevumu piegādi tiešsaistes režīmā vai tos lejupielādējot), kuri iznāk ne retāk kā reizi trijos mēnešos un kuru vienreizējā tirāža pārsniedz 100 eksemplāru, kā arī to abonentmaksai.</w:t>
            </w:r>
          </w:p>
          <w:p w:rsidR="006D3AB5" w:rsidRPr="005B06E0" w:rsidRDefault="006D3AB5" w:rsidP="002A30A0">
            <w:pPr>
              <w:spacing w:after="60"/>
              <w:rPr>
                <w:sz w:val="20"/>
                <w:szCs w:val="20"/>
              </w:rPr>
            </w:pPr>
            <w:r w:rsidRPr="005B06E0">
              <w:rPr>
                <w:sz w:val="20"/>
                <w:szCs w:val="20"/>
              </w:rPr>
              <w:t>(42.panta 7.daļa)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 xml:space="preserve">Šā panta septītā daļa nav piemērojama erotiska un pornogrāfiska rakstura izdevumiem, kā arī tādiem izdevumiem, kuru saturiskā ievirze un uzdevums ir reklāmas vai </w:t>
            </w:r>
            <w:proofErr w:type="spellStart"/>
            <w:r w:rsidRPr="005B06E0">
              <w:rPr>
                <w:sz w:val="20"/>
                <w:szCs w:val="20"/>
              </w:rPr>
              <w:t>komercsludinājumu</w:t>
            </w:r>
            <w:proofErr w:type="spellEnd"/>
            <w:r w:rsidRPr="005B06E0">
              <w:rPr>
                <w:sz w:val="20"/>
                <w:szCs w:val="20"/>
              </w:rPr>
              <w:t xml:space="preserve"> publicēšana.</w:t>
            </w:r>
          </w:p>
          <w:p w:rsidR="006D3AB5" w:rsidRPr="005B06E0" w:rsidRDefault="006D3AB5" w:rsidP="002A30A0">
            <w:pPr>
              <w:spacing w:after="60"/>
              <w:rPr>
                <w:rFonts w:eastAsia="Times New Roman"/>
                <w:sz w:val="20"/>
                <w:szCs w:val="20"/>
              </w:rPr>
            </w:pPr>
            <w:r w:rsidRPr="005B06E0">
              <w:rPr>
                <w:sz w:val="20"/>
                <w:szCs w:val="20"/>
              </w:rPr>
              <w:t>(42.panta 8.daļa)</w:t>
            </w:r>
          </w:p>
        </w:tc>
      </w:tr>
      <w:tr w:rsidR="006D3AB5" w:rsidRPr="005B06E0" w:rsidTr="006D3AB5">
        <w:trPr>
          <w:trHeight w:val="62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33.</w:t>
            </w:r>
          </w:p>
        </w:tc>
        <w:tc>
          <w:tcPr>
            <w:tcW w:w="3866" w:type="dxa"/>
          </w:tcPr>
          <w:p w:rsidR="006D3AB5" w:rsidRPr="005B06E0" w:rsidRDefault="006D3AB5" w:rsidP="002A30A0">
            <w:pPr>
              <w:spacing w:after="60"/>
              <w:rPr>
                <w:b/>
                <w:sz w:val="20"/>
                <w:szCs w:val="20"/>
              </w:rPr>
            </w:pPr>
            <w:r w:rsidRPr="005B06E0">
              <w:rPr>
                <w:b/>
                <w:sz w:val="20"/>
                <w:szCs w:val="20"/>
              </w:rPr>
              <w:t>0% likmes piemērošana preču piegādēm.</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eksportam. </w:t>
            </w:r>
          </w:p>
          <w:p w:rsidR="006D3AB5" w:rsidRPr="005B06E0" w:rsidRDefault="006D3AB5" w:rsidP="002A30A0">
            <w:pPr>
              <w:spacing w:after="60"/>
              <w:rPr>
                <w:rFonts w:eastAsia="Times New Roman"/>
                <w:sz w:val="20"/>
                <w:szCs w:val="20"/>
              </w:rPr>
            </w:pPr>
            <w:r w:rsidRPr="005B06E0">
              <w:rPr>
                <w:rFonts w:eastAsia="Times New Roman"/>
                <w:sz w:val="20"/>
                <w:szCs w:val="20"/>
              </w:rPr>
              <w:t>(43.panta 1.daļa)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eksporta ietvaros fiskālajam pārstāvim nosūtītajām precēm, ja šīs preces ir nosūtītas nolūkā tās eksportēt tālāk un novietotas muitas noliktavā vai akcīzes preču noliktavā. </w:t>
            </w:r>
          </w:p>
          <w:p w:rsidR="006D3AB5" w:rsidRPr="005B06E0" w:rsidRDefault="006D3AB5" w:rsidP="002A30A0">
            <w:pPr>
              <w:spacing w:after="60"/>
              <w:rPr>
                <w:rFonts w:eastAsia="Times New Roman"/>
                <w:sz w:val="20"/>
                <w:szCs w:val="20"/>
              </w:rPr>
            </w:pPr>
            <w:r w:rsidRPr="005B06E0">
              <w:rPr>
                <w:rFonts w:eastAsia="Times New Roman"/>
                <w:sz w:val="20"/>
                <w:szCs w:val="20"/>
              </w:rPr>
              <w:t>(43.panta 2.daļa)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šādu preču piegādei muitas noliktavās un brīvajās zonās: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 tādu preču piegādei, kuras ievestas Eiropas Savienības teritorijā no trešajām valstīm vai trešajām teritorijām un nav izlaistas brīvam apgrozījumam;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2) tādu preču piegādei, kurām citā dalībvalstī ir uzsākta eksporta procedūra un kuras ievestas iekšzemē tālākai eksportēšanai. </w:t>
            </w:r>
          </w:p>
          <w:p w:rsidR="006D3AB5" w:rsidRPr="005B06E0" w:rsidRDefault="006D3AB5" w:rsidP="002A30A0">
            <w:pPr>
              <w:spacing w:after="60"/>
              <w:rPr>
                <w:rFonts w:eastAsia="Times New Roman"/>
                <w:sz w:val="20"/>
                <w:szCs w:val="20"/>
              </w:rPr>
            </w:pPr>
            <w:r w:rsidRPr="005B06E0">
              <w:rPr>
                <w:rFonts w:eastAsia="Times New Roman"/>
                <w:sz w:val="20"/>
                <w:szCs w:val="20"/>
              </w:rPr>
              <w:t>(43.panta 3.daļa)</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piegādei Eiropas Savienības teritorijā, ja tiek izpildīti abi šie nosacījumi: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 preču transporta pavaddokumentos un nodokļa rēķinā norādītais preču saņēmējs ir uzrādījis preču piegādātājam darījuma brīdī derīgu citas dalībvalsts nodokļa maksātāja reģistrācijas numuru;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2) preces ir nosūtītas vai transportētas no iekšzemes uz galamērķi citā dalībvalstī, un to apliecina preču piegādātāja rīcībā esošie preču transporta pavaddokumenti. </w:t>
            </w:r>
          </w:p>
          <w:p w:rsidR="006D3AB5" w:rsidRPr="005B06E0" w:rsidRDefault="006D3AB5" w:rsidP="002A30A0">
            <w:pPr>
              <w:spacing w:after="60"/>
              <w:rPr>
                <w:rFonts w:eastAsia="Times New Roman"/>
                <w:sz w:val="20"/>
                <w:szCs w:val="20"/>
              </w:rPr>
            </w:pPr>
            <w:r w:rsidRPr="005B06E0">
              <w:rPr>
                <w:rFonts w:eastAsia="Times New Roman"/>
                <w:sz w:val="20"/>
                <w:szCs w:val="20"/>
              </w:rPr>
              <w:t>(43.panta 4.daļa)</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piegādei Eiropas Savienības teritorijā, ko veic reģistrēts nodokļa maksātājs, piedaloties šā likuma </w:t>
            </w:r>
            <w:hyperlink r:id="rId121" w:anchor="p16" w:history="1">
              <w:r w:rsidRPr="005B06E0">
                <w:rPr>
                  <w:rFonts w:eastAsia="Times New Roman"/>
                  <w:sz w:val="20"/>
                  <w:szCs w:val="20"/>
                </w:rPr>
                <w:t>16.panta</w:t>
              </w:r>
            </w:hyperlink>
            <w:r w:rsidRPr="005B06E0">
              <w:rPr>
                <w:rFonts w:eastAsia="Times New Roman"/>
                <w:sz w:val="20"/>
                <w:szCs w:val="20"/>
              </w:rPr>
              <w:t xml:space="preserve"> 4.daļā minētajā preču piegādē. </w:t>
            </w:r>
          </w:p>
          <w:p w:rsidR="006D3AB5" w:rsidRPr="005B06E0" w:rsidRDefault="006D3AB5" w:rsidP="002A30A0">
            <w:pPr>
              <w:spacing w:after="60"/>
              <w:rPr>
                <w:rFonts w:eastAsia="Times New Roman"/>
                <w:sz w:val="20"/>
                <w:szCs w:val="20"/>
              </w:rPr>
            </w:pPr>
            <w:r w:rsidRPr="005B06E0">
              <w:rPr>
                <w:rFonts w:eastAsia="Times New Roman"/>
                <w:sz w:val="20"/>
                <w:szCs w:val="20"/>
              </w:rPr>
              <w:t>(43.panta 5.daļa)</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jauna transportlīdzekļa piegādei citas dalībvalsts jebkurai personai. </w:t>
            </w:r>
          </w:p>
          <w:p w:rsidR="006D3AB5" w:rsidRPr="005B06E0" w:rsidRDefault="006D3AB5" w:rsidP="002A30A0">
            <w:pPr>
              <w:spacing w:after="60"/>
              <w:rPr>
                <w:rFonts w:eastAsia="Times New Roman"/>
                <w:sz w:val="20"/>
                <w:szCs w:val="20"/>
              </w:rPr>
            </w:pPr>
            <w:r w:rsidRPr="005B06E0">
              <w:rPr>
                <w:rFonts w:eastAsia="Times New Roman"/>
                <w:sz w:val="20"/>
                <w:szCs w:val="20"/>
              </w:rPr>
              <w:t>(43.panta 6.daļa)</w:t>
            </w:r>
          </w:p>
          <w:p w:rsidR="006D3AB5" w:rsidRPr="005B06E0" w:rsidRDefault="006D3AB5" w:rsidP="002A30A0">
            <w:pPr>
              <w:spacing w:after="60"/>
              <w:rPr>
                <w:rFonts w:eastAsia="Times New Roman"/>
                <w:sz w:val="20"/>
                <w:szCs w:val="20"/>
              </w:rPr>
            </w:pPr>
            <w:r w:rsidRPr="005B06E0">
              <w:rPr>
                <w:rFonts w:eastAsia="Times New Roman"/>
                <w:sz w:val="20"/>
                <w:szCs w:val="20"/>
              </w:rPr>
              <w:t>Nodokļa 0% likmi piemēro beznodokļu tirdzniecības veikalos veiktajām preču piegādēm fiziskajām personām, kuras izbrauc no iekšzemes uz trešajām valstīm vai trešajām teritorijām.</w:t>
            </w:r>
          </w:p>
          <w:p w:rsidR="006D3AB5" w:rsidRPr="00475128" w:rsidRDefault="006D3AB5" w:rsidP="002A30A0">
            <w:pPr>
              <w:pStyle w:val="ListParagraph"/>
              <w:spacing w:after="60" w:line="276" w:lineRule="auto"/>
              <w:ind w:left="0"/>
              <w:rPr>
                <w:sz w:val="20"/>
                <w:szCs w:val="20"/>
                <w:lang w:val="lv-LV" w:eastAsia="en-US"/>
              </w:rPr>
            </w:pPr>
            <w:r w:rsidRPr="00475128">
              <w:rPr>
                <w:sz w:val="20"/>
                <w:szCs w:val="20"/>
                <w:lang w:val="lv-LV" w:eastAsia="en-US"/>
              </w:rPr>
              <w:t>(43.panta 7.daļa)</w:t>
            </w:r>
          </w:p>
        </w:tc>
        <w:tc>
          <w:tcPr>
            <w:tcW w:w="4140" w:type="dxa"/>
          </w:tcPr>
          <w:p w:rsidR="006D3AB5" w:rsidRPr="005B06E0" w:rsidRDefault="006D3AB5" w:rsidP="002A30A0">
            <w:pPr>
              <w:spacing w:after="60"/>
              <w:rPr>
                <w:sz w:val="20"/>
                <w:szCs w:val="20"/>
              </w:rPr>
            </w:pPr>
            <w:r w:rsidRPr="005B06E0">
              <w:rPr>
                <w:sz w:val="20"/>
                <w:szCs w:val="20"/>
              </w:rPr>
              <w:t xml:space="preserve">Nodokļa 0% likmi nepiemēro, ja reģistrēts nodokļa maksātājs, kurš ir veicis darījumu, kam atbilstoši šā likuma </w:t>
            </w:r>
            <w:hyperlink r:id="rId122" w:anchor="p43" w:history="1">
              <w:r w:rsidRPr="005B06E0">
                <w:rPr>
                  <w:sz w:val="20"/>
                  <w:szCs w:val="20"/>
                </w:rPr>
                <w:t>43.</w:t>
              </w:r>
            </w:hyperlink>
            <w:r w:rsidRPr="005B06E0">
              <w:rPr>
                <w:sz w:val="20"/>
                <w:szCs w:val="20"/>
              </w:rPr>
              <w:t xml:space="preserve">, </w:t>
            </w:r>
            <w:hyperlink r:id="rId123" w:anchor="p44" w:history="1">
              <w:r w:rsidRPr="005B06E0">
                <w:rPr>
                  <w:sz w:val="20"/>
                  <w:szCs w:val="20"/>
                </w:rPr>
                <w:t>44.</w:t>
              </w:r>
            </w:hyperlink>
            <w:r w:rsidRPr="005B06E0">
              <w:rPr>
                <w:sz w:val="20"/>
                <w:szCs w:val="20"/>
              </w:rPr>
              <w:t xml:space="preserve">, </w:t>
            </w:r>
            <w:hyperlink r:id="rId124" w:anchor="p45" w:history="1">
              <w:r w:rsidRPr="005B06E0">
                <w:rPr>
                  <w:sz w:val="20"/>
                  <w:szCs w:val="20"/>
                </w:rPr>
                <w:t>45.</w:t>
              </w:r>
            </w:hyperlink>
            <w:r w:rsidRPr="005B06E0">
              <w:rPr>
                <w:sz w:val="20"/>
                <w:szCs w:val="20"/>
              </w:rPr>
              <w:t xml:space="preserve">, </w:t>
            </w:r>
            <w:hyperlink r:id="rId125" w:anchor="p46" w:history="1">
              <w:r w:rsidRPr="005B06E0">
                <w:rPr>
                  <w:sz w:val="20"/>
                  <w:szCs w:val="20"/>
                </w:rPr>
                <w:t>46.</w:t>
              </w:r>
            </w:hyperlink>
            <w:r w:rsidRPr="005B06E0">
              <w:rPr>
                <w:sz w:val="20"/>
                <w:szCs w:val="20"/>
              </w:rPr>
              <w:t xml:space="preserve">, </w:t>
            </w:r>
            <w:hyperlink r:id="rId126" w:anchor="p47" w:history="1">
              <w:r w:rsidRPr="005B06E0">
                <w:rPr>
                  <w:sz w:val="20"/>
                  <w:szCs w:val="20"/>
                </w:rPr>
                <w:t>47.</w:t>
              </w:r>
            </w:hyperlink>
            <w:r w:rsidRPr="005B06E0">
              <w:rPr>
                <w:sz w:val="20"/>
                <w:szCs w:val="20"/>
              </w:rPr>
              <w:t xml:space="preserve"> un </w:t>
            </w:r>
            <w:hyperlink r:id="rId127" w:anchor="p48" w:history="1">
              <w:r w:rsidRPr="005B06E0">
                <w:rPr>
                  <w:sz w:val="20"/>
                  <w:szCs w:val="20"/>
                </w:rPr>
                <w:t>48.</w:t>
              </w:r>
            </w:hyperlink>
            <w:r w:rsidRPr="005B06E0">
              <w:rPr>
                <w:sz w:val="20"/>
                <w:szCs w:val="20"/>
              </w:rPr>
              <w:t>pantam piemērojama nodokļa 0% likme, nevar uzrādīt preču eksportu apliecinošus dokumentus vai dokumentus, kas apliecina nodokļa 0% likmes piemērošanu.</w:t>
            </w:r>
          </w:p>
          <w:p w:rsidR="006D3AB5" w:rsidRPr="005B06E0" w:rsidRDefault="006D3AB5" w:rsidP="002A30A0">
            <w:pPr>
              <w:spacing w:after="60"/>
              <w:rPr>
                <w:sz w:val="20"/>
                <w:szCs w:val="20"/>
              </w:rPr>
            </w:pPr>
            <w:r w:rsidRPr="005B06E0">
              <w:rPr>
                <w:sz w:val="20"/>
                <w:szCs w:val="20"/>
              </w:rPr>
              <w:t>(51.panta 1.daļa)</w:t>
            </w:r>
          </w:p>
          <w:p w:rsidR="006D3AB5" w:rsidRPr="005B06E0" w:rsidRDefault="006D3AB5" w:rsidP="002A30A0">
            <w:pPr>
              <w:spacing w:after="60"/>
              <w:rPr>
                <w:sz w:val="20"/>
                <w:szCs w:val="20"/>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nepiemēro, ja reģistrēts nodokļa maksātājs ir saņēmis avansa maksājumu par nodokļa rēķinā par avansa pieprasījumu norādīto preci vai pakalpojumu, kuram saskaņā ar 43.panta pirmo, otro, trešo, sesto un septīto daļu, 44., 45., 46., 47. un 48.pantu piemērojama nodokļa 0% likme, bet sešu mēnešu laikā no avansa saņemšanas dienas prece nav nosūtīta vai pakalpojuma sniegšana nav uzsākta. </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4.daļa)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Šā panta 4.daļu nepiemēro, ja reģistrēts nodokļa maksātājs saskaņā ar noslēgtajiem līgumiem ir saņēmis avansa maksājumu par tādu preču piegādi, kuru ražošanas (izgatavošanas) tehnoloģiskais process ir ilgāks par sešiem mēnešiem, vai ja avansa maksājuma saņemšanas brīdī preču piegāde vai pakalpojuma sniegšana ir uzsākta.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5.daļa)</w:t>
            </w:r>
          </w:p>
          <w:p w:rsidR="006D3AB5" w:rsidRPr="005B06E0" w:rsidRDefault="006D3AB5" w:rsidP="002A30A0">
            <w:pPr>
              <w:spacing w:after="60"/>
              <w:rPr>
                <w:sz w:val="20"/>
                <w:szCs w:val="20"/>
              </w:rPr>
            </w:pPr>
          </w:p>
          <w:p w:rsidR="006D3AB5" w:rsidRPr="005B06E0" w:rsidRDefault="006D3AB5" w:rsidP="002A30A0">
            <w:pPr>
              <w:spacing w:after="60"/>
              <w:rPr>
                <w:rFonts w:eastAsia="Times New Roman"/>
                <w:sz w:val="20"/>
                <w:szCs w:val="20"/>
              </w:rPr>
            </w:pPr>
          </w:p>
        </w:tc>
      </w:tr>
      <w:tr w:rsidR="006D3AB5" w:rsidRPr="005B06E0" w:rsidTr="006D3AB5">
        <w:trPr>
          <w:trHeight w:val="359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33.</w:t>
            </w:r>
          </w:p>
        </w:tc>
        <w:tc>
          <w:tcPr>
            <w:tcW w:w="3866" w:type="dxa"/>
          </w:tcPr>
          <w:p w:rsidR="006D3AB5" w:rsidRPr="005B06E0" w:rsidRDefault="006D3AB5" w:rsidP="002A30A0">
            <w:pPr>
              <w:spacing w:after="60"/>
              <w:rPr>
                <w:b/>
                <w:sz w:val="20"/>
                <w:szCs w:val="20"/>
              </w:rPr>
            </w:pPr>
            <w:r w:rsidRPr="005B06E0">
              <w:rPr>
                <w:b/>
                <w:sz w:val="20"/>
                <w:szCs w:val="20"/>
              </w:rPr>
              <w:t>0% likmes piemērošana preču piegādēm.</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eksportam. </w:t>
            </w:r>
          </w:p>
          <w:p w:rsidR="006D3AB5" w:rsidRPr="005B06E0" w:rsidRDefault="006D3AB5" w:rsidP="002A30A0">
            <w:pPr>
              <w:spacing w:after="60"/>
              <w:rPr>
                <w:rFonts w:eastAsia="Times New Roman"/>
                <w:sz w:val="20"/>
                <w:szCs w:val="20"/>
              </w:rPr>
            </w:pPr>
            <w:r w:rsidRPr="005B06E0">
              <w:rPr>
                <w:rFonts w:eastAsia="Times New Roman"/>
                <w:sz w:val="20"/>
                <w:szCs w:val="20"/>
              </w:rPr>
              <w:t>(43.panta 1.daļa)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eksporta ietvaros fiskālajam pārstāvim nosūtītajām precēm, ja šīs preces ir nosūtītas nolūkā tās eksportēt tālāk un novietotas muitas noliktavā vai akcīzes preču noliktavā. </w:t>
            </w:r>
          </w:p>
          <w:p w:rsidR="006D3AB5" w:rsidRPr="005B06E0" w:rsidRDefault="006D3AB5" w:rsidP="002A30A0">
            <w:pPr>
              <w:spacing w:after="60"/>
              <w:rPr>
                <w:rFonts w:eastAsia="Times New Roman"/>
                <w:sz w:val="20"/>
                <w:szCs w:val="20"/>
              </w:rPr>
            </w:pPr>
            <w:r w:rsidRPr="005B06E0">
              <w:rPr>
                <w:rFonts w:eastAsia="Times New Roman"/>
                <w:sz w:val="20"/>
                <w:szCs w:val="20"/>
              </w:rPr>
              <w:t>(43.panta 2.daļa)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šādu preču piegādei muitas noliktavās un brīvajās zonās: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 tādu preču piegādei, kuras ievestas Eiropas Savienības teritorijā no trešajām valstīm vai trešajām teritorijām un nav izlaistas brīvam apgrozījumam;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2) tādu preču piegādei, kurām citā dalībvalstī ir uzsākta eksporta procedūra un kuras ievestas iekšzemē tālākai eksportēšanai. </w:t>
            </w:r>
          </w:p>
          <w:p w:rsidR="006D3AB5" w:rsidRPr="005B06E0" w:rsidRDefault="006D3AB5" w:rsidP="002A30A0">
            <w:pPr>
              <w:spacing w:after="60"/>
              <w:rPr>
                <w:rFonts w:eastAsia="Times New Roman"/>
                <w:sz w:val="20"/>
                <w:szCs w:val="20"/>
              </w:rPr>
            </w:pPr>
            <w:r w:rsidRPr="005B06E0">
              <w:rPr>
                <w:rFonts w:eastAsia="Times New Roman"/>
                <w:sz w:val="20"/>
                <w:szCs w:val="20"/>
              </w:rPr>
              <w:t>(43.panta 3.daļa)</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piegādei Eiropas Savienības teritorijā, ja tiek izpildīti abi šie nosacījumi: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 preču transporta pavaddokumentos un nodokļa rēķinā norādītais preču saņēmējs ir uzrādījis preču piegādātājam darījuma brīdī derīgu citas dalībvalsts nodokļa maksātāja reģistrācijas numuru;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2) preces ir nosūtītas vai transportētas no iekšzemes uz galamērķi citā dalībvalstī, un to apliecina preču piegādātāja rīcībā esošie preču transporta pavaddokumenti. </w:t>
            </w:r>
          </w:p>
          <w:p w:rsidR="006D3AB5" w:rsidRPr="005B06E0" w:rsidRDefault="006D3AB5" w:rsidP="002A30A0">
            <w:pPr>
              <w:spacing w:after="60"/>
              <w:rPr>
                <w:rFonts w:eastAsia="Times New Roman"/>
                <w:sz w:val="20"/>
                <w:szCs w:val="20"/>
              </w:rPr>
            </w:pPr>
            <w:r w:rsidRPr="005B06E0">
              <w:rPr>
                <w:rFonts w:eastAsia="Times New Roman"/>
                <w:sz w:val="20"/>
                <w:szCs w:val="20"/>
              </w:rPr>
              <w:t>(43.panta 4.daļa)</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preču piegādei Eiropas Savienības teritorijā, ko veic reģistrēts nodokļa maksātājs, piedaloties šā likuma </w:t>
            </w:r>
            <w:hyperlink r:id="rId128" w:anchor="p16" w:history="1">
              <w:r w:rsidRPr="005B06E0">
                <w:rPr>
                  <w:rFonts w:eastAsia="Times New Roman"/>
                  <w:sz w:val="20"/>
                  <w:szCs w:val="20"/>
                </w:rPr>
                <w:t>16.panta</w:t>
              </w:r>
            </w:hyperlink>
            <w:r w:rsidRPr="005B06E0">
              <w:rPr>
                <w:rFonts w:eastAsia="Times New Roman"/>
                <w:sz w:val="20"/>
                <w:szCs w:val="20"/>
              </w:rPr>
              <w:t xml:space="preserve"> 4.daļā minētajā preču piegādē. </w:t>
            </w:r>
          </w:p>
          <w:p w:rsidR="006D3AB5" w:rsidRPr="005B06E0" w:rsidRDefault="006D3AB5" w:rsidP="002A30A0">
            <w:pPr>
              <w:spacing w:after="60"/>
              <w:rPr>
                <w:rFonts w:eastAsia="Times New Roman"/>
                <w:sz w:val="20"/>
                <w:szCs w:val="20"/>
              </w:rPr>
            </w:pPr>
            <w:r w:rsidRPr="005B06E0">
              <w:rPr>
                <w:rFonts w:eastAsia="Times New Roman"/>
                <w:sz w:val="20"/>
                <w:szCs w:val="20"/>
              </w:rPr>
              <w:t>(43.panta 5.daļa)</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jauna transportlīdzekļa piegādei citas dalībvalsts jebkurai personai. </w:t>
            </w:r>
          </w:p>
          <w:p w:rsidR="006D3AB5" w:rsidRPr="005B06E0" w:rsidRDefault="006D3AB5" w:rsidP="002A30A0">
            <w:pPr>
              <w:spacing w:after="60"/>
              <w:rPr>
                <w:rFonts w:eastAsia="Times New Roman"/>
                <w:sz w:val="20"/>
                <w:szCs w:val="20"/>
              </w:rPr>
            </w:pPr>
            <w:r w:rsidRPr="005B06E0">
              <w:rPr>
                <w:rFonts w:eastAsia="Times New Roman"/>
                <w:sz w:val="20"/>
                <w:szCs w:val="20"/>
              </w:rPr>
              <w:t>(43.panta 6.daļa)</w:t>
            </w:r>
          </w:p>
          <w:p w:rsidR="006D3AB5" w:rsidRPr="005B06E0" w:rsidRDefault="006D3AB5" w:rsidP="002A30A0">
            <w:pPr>
              <w:spacing w:after="60"/>
              <w:rPr>
                <w:rFonts w:eastAsia="Times New Roman"/>
                <w:sz w:val="20"/>
                <w:szCs w:val="20"/>
              </w:rPr>
            </w:pPr>
            <w:r w:rsidRPr="005B06E0">
              <w:rPr>
                <w:rFonts w:eastAsia="Times New Roman"/>
                <w:sz w:val="20"/>
                <w:szCs w:val="20"/>
              </w:rPr>
              <w:t>Nodokļa 0% likmi piemēro beznodokļu tirdzniecības veikalos veiktajām preču piegādēm fiziskajām personām, kuras izbrauc no iekšzemes uz trešajām valstīm vai trešajām teritorijām.</w:t>
            </w:r>
          </w:p>
          <w:p w:rsidR="006D3AB5" w:rsidRPr="00475128" w:rsidRDefault="006D3AB5" w:rsidP="002A30A0">
            <w:pPr>
              <w:pStyle w:val="ListParagraph"/>
              <w:spacing w:after="60" w:line="276" w:lineRule="auto"/>
              <w:ind w:left="0"/>
              <w:rPr>
                <w:sz w:val="20"/>
                <w:szCs w:val="20"/>
                <w:lang w:val="lv-LV" w:eastAsia="en-US"/>
              </w:rPr>
            </w:pPr>
            <w:r w:rsidRPr="00475128">
              <w:rPr>
                <w:sz w:val="20"/>
                <w:szCs w:val="20"/>
                <w:lang w:val="lv-LV" w:eastAsia="en-US"/>
              </w:rPr>
              <w:t>(43.panta 7.daļa)</w:t>
            </w:r>
          </w:p>
        </w:tc>
        <w:tc>
          <w:tcPr>
            <w:tcW w:w="4140" w:type="dxa"/>
          </w:tcPr>
          <w:p w:rsidR="006D3AB5" w:rsidRPr="005B06E0" w:rsidRDefault="006D3AB5" w:rsidP="002A30A0">
            <w:pPr>
              <w:spacing w:after="60"/>
              <w:rPr>
                <w:sz w:val="20"/>
                <w:szCs w:val="20"/>
              </w:rPr>
            </w:pPr>
            <w:r w:rsidRPr="005B06E0">
              <w:rPr>
                <w:sz w:val="20"/>
                <w:szCs w:val="20"/>
              </w:rPr>
              <w:t xml:space="preserve">Nodokļa 0% likmi nepiemēro, ja reģistrēts nodokļa maksātājs, kurš ir veicis darījumu, kam atbilstoši šā likuma </w:t>
            </w:r>
            <w:hyperlink r:id="rId129" w:anchor="p43" w:history="1">
              <w:r w:rsidRPr="005B06E0">
                <w:rPr>
                  <w:sz w:val="20"/>
                  <w:szCs w:val="20"/>
                </w:rPr>
                <w:t>43.</w:t>
              </w:r>
            </w:hyperlink>
            <w:r w:rsidRPr="005B06E0">
              <w:rPr>
                <w:sz w:val="20"/>
                <w:szCs w:val="20"/>
              </w:rPr>
              <w:t xml:space="preserve">, </w:t>
            </w:r>
            <w:hyperlink r:id="rId130" w:anchor="p44" w:history="1">
              <w:r w:rsidRPr="005B06E0">
                <w:rPr>
                  <w:sz w:val="20"/>
                  <w:szCs w:val="20"/>
                </w:rPr>
                <w:t>44.</w:t>
              </w:r>
            </w:hyperlink>
            <w:r w:rsidRPr="005B06E0">
              <w:rPr>
                <w:sz w:val="20"/>
                <w:szCs w:val="20"/>
              </w:rPr>
              <w:t xml:space="preserve">, </w:t>
            </w:r>
            <w:hyperlink r:id="rId131" w:anchor="p45" w:history="1">
              <w:r w:rsidRPr="005B06E0">
                <w:rPr>
                  <w:sz w:val="20"/>
                  <w:szCs w:val="20"/>
                </w:rPr>
                <w:t>45.</w:t>
              </w:r>
            </w:hyperlink>
            <w:r w:rsidRPr="005B06E0">
              <w:rPr>
                <w:sz w:val="20"/>
                <w:szCs w:val="20"/>
              </w:rPr>
              <w:t xml:space="preserve">, </w:t>
            </w:r>
            <w:hyperlink r:id="rId132" w:anchor="p46" w:history="1">
              <w:r w:rsidRPr="005B06E0">
                <w:rPr>
                  <w:sz w:val="20"/>
                  <w:szCs w:val="20"/>
                </w:rPr>
                <w:t>46.</w:t>
              </w:r>
            </w:hyperlink>
            <w:r w:rsidRPr="005B06E0">
              <w:rPr>
                <w:sz w:val="20"/>
                <w:szCs w:val="20"/>
              </w:rPr>
              <w:t xml:space="preserve">, </w:t>
            </w:r>
            <w:hyperlink r:id="rId133" w:anchor="p47" w:history="1">
              <w:r w:rsidRPr="005B06E0">
                <w:rPr>
                  <w:sz w:val="20"/>
                  <w:szCs w:val="20"/>
                </w:rPr>
                <w:t>47.</w:t>
              </w:r>
            </w:hyperlink>
            <w:r w:rsidRPr="005B06E0">
              <w:rPr>
                <w:sz w:val="20"/>
                <w:szCs w:val="20"/>
              </w:rPr>
              <w:t xml:space="preserve"> un </w:t>
            </w:r>
            <w:hyperlink r:id="rId134" w:anchor="p48" w:history="1">
              <w:r w:rsidRPr="005B06E0">
                <w:rPr>
                  <w:sz w:val="20"/>
                  <w:szCs w:val="20"/>
                </w:rPr>
                <w:t>48.</w:t>
              </w:r>
            </w:hyperlink>
            <w:r w:rsidRPr="005B06E0">
              <w:rPr>
                <w:sz w:val="20"/>
                <w:szCs w:val="20"/>
              </w:rPr>
              <w:t>pantam piemērojama nodokļa 0% likme, nevar uzrādīt preču eksportu apliecinošus dokumentus vai dokumentus, kas apliecina nodokļa 0% likmes piemērošanu.</w:t>
            </w:r>
          </w:p>
          <w:p w:rsidR="006D3AB5" w:rsidRPr="005B06E0" w:rsidRDefault="006D3AB5" w:rsidP="002A30A0">
            <w:pPr>
              <w:spacing w:after="60"/>
              <w:rPr>
                <w:sz w:val="20"/>
                <w:szCs w:val="20"/>
              </w:rPr>
            </w:pPr>
            <w:r w:rsidRPr="005B06E0">
              <w:rPr>
                <w:sz w:val="20"/>
                <w:szCs w:val="20"/>
              </w:rPr>
              <w:t>(51.panta 1.daļa)</w:t>
            </w:r>
          </w:p>
          <w:p w:rsidR="006D3AB5" w:rsidRPr="005B06E0" w:rsidRDefault="006D3AB5" w:rsidP="002A30A0">
            <w:pPr>
              <w:spacing w:after="60"/>
              <w:rPr>
                <w:sz w:val="20"/>
                <w:szCs w:val="20"/>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nepiemēro, ja reģistrēts nodokļa maksātājs ir saņēmis avansa maksājumu par nodokļa rēķinā par avansa pieprasījumu norādīto preci vai pakalpojumu, kuram saskaņā ar 43.panta pirmo, otro, trešo, sesto un septīto daļu, 44., 45., 46., 47. un 48.pantu piemērojama nodokļa 0% likme, bet sešu mēnešu laikā no avansa saņemšanas dienas prece nav nosūtīta vai pakalpojuma sniegšana nav uzsākta. </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4.daļa)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Šā panta 4.daļu nepiemēro, ja reģistrēts nodokļa maksātājs saskaņā ar noslēgtajiem līgumiem ir saņēmis avansa maksājumu par tādu preču piegādi, kuru ražošanas (izgatavošanas) tehnoloģiskais process ir ilgāks par sešiem mēnešiem, vai ja avansa maksājuma saņemšanas brīdī preču piegāde vai pakalpojuma sniegšana ir uzsākta.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5.daļa)</w:t>
            </w:r>
          </w:p>
          <w:p w:rsidR="006D3AB5" w:rsidRPr="005B06E0" w:rsidRDefault="006D3AB5" w:rsidP="002A30A0">
            <w:pPr>
              <w:spacing w:after="60"/>
              <w:rPr>
                <w:sz w:val="20"/>
                <w:szCs w:val="20"/>
              </w:rPr>
            </w:pPr>
          </w:p>
          <w:p w:rsidR="006D3AB5" w:rsidRPr="005B06E0" w:rsidRDefault="006D3AB5" w:rsidP="002A30A0">
            <w:pPr>
              <w:spacing w:after="60"/>
              <w:rPr>
                <w:rFonts w:eastAsia="Times New Roman"/>
                <w:sz w:val="20"/>
                <w:szCs w:val="20"/>
              </w:rPr>
            </w:pPr>
          </w:p>
        </w:tc>
      </w:tr>
      <w:tr w:rsidR="006D3AB5" w:rsidRPr="005B06E0" w:rsidTr="006D3AB5">
        <w:trPr>
          <w:trHeight w:val="98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34.</w:t>
            </w:r>
          </w:p>
        </w:tc>
        <w:tc>
          <w:tcPr>
            <w:tcW w:w="3866" w:type="dxa"/>
          </w:tcPr>
          <w:p w:rsidR="006D3AB5" w:rsidRPr="005B06E0" w:rsidRDefault="006D3AB5" w:rsidP="002A30A0">
            <w:pPr>
              <w:spacing w:after="60"/>
              <w:rPr>
                <w:b/>
                <w:bCs/>
                <w:sz w:val="20"/>
                <w:szCs w:val="20"/>
              </w:rPr>
            </w:pPr>
            <w:r w:rsidRPr="005B06E0">
              <w:rPr>
                <w:b/>
                <w:bCs/>
                <w:sz w:val="20"/>
                <w:szCs w:val="20"/>
              </w:rPr>
              <w:t>Nodokļa 0% likmes piemērošana fiskālā pārstāvja veiktai preču iegādei Eiropas Savienības teritorijā.</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Fiskālā pārstāvja veiktai preču iegādei Eiropas Savienības teritorijā piemēro nodokļa 0 procentu likmi, ja attiecīgās preces ir piegādātas šim fiskālajam pārstāvim nolūkā tās eksportēt un novietotas muitas noliktavā vai akcīzes preču noliktavā.</w:t>
            </w:r>
          </w:p>
          <w:p w:rsidR="006D3AB5" w:rsidRPr="00475128" w:rsidRDefault="006D3AB5" w:rsidP="005B06E0">
            <w:pPr>
              <w:pStyle w:val="ListParagraph"/>
              <w:spacing w:after="60" w:line="276" w:lineRule="auto"/>
              <w:ind w:left="0"/>
              <w:rPr>
                <w:sz w:val="20"/>
                <w:szCs w:val="20"/>
                <w:lang w:val="lv-LV"/>
              </w:rPr>
            </w:pPr>
            <w:r w:rsidRPr="00475128">
              <w:rPr>
                <w:sz w:val="20"/>
                <w:szCs w:val="20"/>
                <w:lang w:val="lv-LV" w:eastAsia="en-US"/>
              </w:rPr>
              <w:t>(44.pants)</w:t>
            </w:r>
          </w:p>
        </w:tc>
        <w:tc>
          <w:tcPr>
            <w:tcW w:w="4140" w:type="dxa"/>
          </w:tcPr>
          <w:p w:rsidR="006D3AB5" w:rsidRPr="005B06E0" w:rsidRDefault="006D3AB5" w:rsidP="002A30A0">
            <w:pPr>
              <w:spacing w:after="60"/>
              <w:rPr>
                <w:sz w:val="20"/>
                <w:szCs w:val="20"/>
              </w:rPr>
            </w:pPr>
            <w:r w:rsidRPr="005B06E0">
              <w:rPr>
                <w:sz w:val="20"/>
                <w:szCs w:val="20"/>
              </w:rPr>
              <w:t xml:space="preserve">Nodokļa 0% likmi nepiemēro, ja reģistrēts nodokļa maksātājs, kurš ir veicis darījumu, kam atbilstoši šā likuma </w:t>
            </w:r>
            <w:hyperlink r:id="rId135" w:anchor="p43" w:history="1">
              <w:r w:rsidRPr="005B06E0">
                <w:rPr>
                  <w:sz w:val="20"/>
                  <w:szCs w:val="20"/>
                </w:rPr>
                <w:t>43.</w:t>
              </w:r>
            </w:hyperlink>
            <w:r w:rsidRPr="005B06E0">
              <w:rPr>
                <w:sz w:val="20"/>
                <w:szCs w:val="20"/>
              </w:rPr>
              <w:t xml:space="preserve">, </w:t>
            </w:r>
            <w:hyperlink r:id="rId136" w:anchor="p44" w:history="1">
              <w:r w:rsidRPr="005B06E0">
                <w:rPr>
                  <w:sz w:val="20"/>
                  <w:szCs w:val="20"/>
                </w:rPr>
                <w:t>44.</w:t>
              </w:r>
            </w:hyperlink>
            <w:r w:rsidRPr="005B06E0">
              <w:rPr>
                <w:sz w:val="20"/>
                <w:szCs w:val="20"/>
              </w:rPr>
              <w:t xml:space="preserve">, </w:t>
            </w:r>
            <w:hyperlink r:id="rId137" w:anchor="p45" w:history="1">
              <w:r w:rsidRPr="005B06E0">
                <w:rPr>
                  <w:sz w:val="20"/>
                  <w:szCs w:val="20"/>
                </w:rPr>
                <w:t>45.</w:t>
              </w:r>
            </w:hyperlink>
            <w:r w:rsidRPr="005B06E0">
              <w:rPr>
                <w:sz w:val="20"/>
                <w:szCs w:val="20"/>
              </w:rPr>
              <w:t xml:space="preserve">, </w:t>
            </w:r>
            <w:hyperlink r:id="rId138" w:anchor="p46" w:history="1">
              <w:r w:rsidRPr="005B06E0">
                <w:rPr>
                  <w:sz w:val="20"/>
                  <w:szCs w:val="20"/>
                </w:rPr>
                <w:t>46.</w:t>
              </w:r>
            </w:hyperlink>
            <w:r w:rsidRPr="005B06E0">
              <w:rPr>
                <w:sz w:val="20"/>
                <w:szCs w:val="20"/>
              </w:rPr>
              <w:t xml:space="preserve">, </w:t>
            </w:r>
            <w:hyperlink r:id="rId139" w:anchor="p47" w:history="1">
              <w:r w:rsidRPr="005B06E0">
                <w:rPr>
                  <w:sz w:val="20"/>
                  <w:szCs w:val="20"/>
                </w:rPr>
                <w:t>47.</w:t>
              </w:r>
            </w:hyperlink>
            <w:r w:rsidRPr="005B06E0">
              <w:rPr>
                <w:sz w:val="20"/>
                <w:szCs w:val="20"/>
              </w:rPr>
              <w:t xml:space="preserve"> un </w:t>
            </w:r>
            <w:hyperlink r:id="rId140" w:anchor="p48" w:history="1">
              <w:r w:rsidRPr="005B06E0">
                <w:rPr>
                  <w:sz w:val="20"/>
                  <w:szCs w:val="20"/>
                </w:rPr>
                <w:t>48.</w:t>
              </w:r>
            </w:hyperlink>
            <w:r w:rsidRPr="005B06E0">
              <w:rPr>
                <w:sz w:val="20"/>
                <w:szCs w:val="20"/>
              </w:rPr>
              <w:t>pantam piemērojama nodokļa 0% likme, nevar uzrādīt preču eksportu apliecinošus dokumentus vai dokumentus, kas apliecina nodokļa 0% likmes piemērošanu.</w:t>
            </w:r>
          </w:p>
          <w:p w:rsidR="006D3AB5" w:rsidRPr="005B06E0" w:rsidRDefault="006D3AB5" w:rsidP="002A30A0">
            <w:pPr>
              <w:spacing w:after="60"/>
              <w:rPr>
                <w:sz w:val="20"/>
                <w:szCs w:val="20"/>
              </w:rPr>
            </w:pPr>
            <w:r w:rsidRPr="005B06E0">
              <w:rPr>
                <w:sz w:val="20"/>
                <w:szCs w:val="20"/>
              </w:rPr>
              <w:t>(51.panta 1.daļa)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nepiemēro, ja reģistrēts nodokļa maksātājs ir saņēmis avansa maksājumu par nodokļa rēķinā par avansa pieprasījumu norādīto preci vai pakalpojumu, kuram saskaņā ar 43.panta pirmo, otro, trešo, sesto un septīto daļu, 44., 45., 46., 47. un 48.pantu piemērojama nodokļa 0% likme, bet sešu mēnešu laikā no avansa saņemšanas dienas prece nav nosūtīta vai pakalpojuma sniegšana nav uzsākta.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4.daļa)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Šā panta 4.daļu nepiemēro, ja reģistrēts nodokļa maksātājs saskaņā ar noslēgtajiem līgumiem ir saņēmis avansa maksājumu par tādu preču piegādi, kuru ražošanas (izgatavošanas) tehnoloģiskais process ir ilgāks par sešiem mēnešiem, vai ja avansa maksājuma saņemšanas brīdī preču piegāde vai pakalpojuma sniegšana ir uzsākta.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5.daļa)</w:t>
            </w:r>
          </w:p>
        </w:tc>
      </w:tr>
      <w:tr w:rsidR="006D3AB5" w:rsidRPr="005B06E0" w:rsidTr="006D3AB5">
        <w:trPr>
          <w:trHeight w:val="44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35.</w:t>
            </w:r>
          </w:p>
        </w:tc>
        <w:tc>
          <w:tcPr>
            <w:tcW w:w="3866" w:type="dxa"/>
          </w:tcPr>
          <w:p w:rsidR="006D3AB5" w:rsidRPr="005B06E0" w:rsidRDefault="006D3AB5" w:rsidP="002A30A0">
            <w:pPr>
              <w:spacing w:after="60"/>
              <w:rPr>
                <w:b/>
                <w:bCs/>
                <w:sz w:val="20"/>
                <w:szCs w:val="20"/>
              </w:rPr>
            </w:pPr>
            <w:r w:rsidRPr="005B06E0">
              <w:rPr>
                <w:b/>
                <w:bCs/>
                <w:sz w:val="20"/>
                <w:szCs w:val="20"/>
              </w:rPr>
              <w:t>Nodokļa 0% likmes piemērošana preču importam.</w:t>
            </w:r>
          </w:p>
          <w:p w:rsidR="006D3AB5" w:rsidRPr="00475128" w:rsidRDefault="006D3AB5" w:rsidP="002A30A0">
            <w:pPr>
              <w:pStyle w:val="ListParagraph"/>
              <w:spacing w:after="60" w:line="276" w:lineRule="auto"/>
              <w:ind w:left="0"/>
              <w:rPr>
                <w:sz w:val="20"/>
                <w:szCs w:val="20"/>
                <w:lang w:val="lv-LV" w:eastAsia="en-US"/>
              </w:rPr>
            </w:pPr>
            <w:r w:rsidRPr="00475128">
              <w:rPr>
                <w:sz w:val="20"/>
                <w:szCs w:val="20"/>
                <w:lang w:val="lv-LV" w:eastAsia="en-US"/>
              </w:rPr>
              <w:t>Nodokļa 0% likmi piemēro preču importam, ja reģistrēts nodokļa maksātājs, kas darbojas citas dalībvalsts reģistrēta nodokļa maksātāja vārdā, šīs preces 30 kalendāra dienu laikā pēc to importa nemainīgā veidā piegādā uz citu dalībvalsti preču saņēmējam, kurš ir citas dalībvalsts reģistrēts nodokļa maksātājs.</w:t>
            </w:r>
          </w:p>
          <w:p w:rsidR="006D3AB5" w:rsidRPr="00475128" w:rsidRDefault="006D3AB5" w:rsidP="002A30A0">
            <w:pPr>
              <w:pStyle w:val="ListParagraph"/>
              <w:spacing w:after="60" w:line="276" w:lineRule="auto"/>
              <w:ind w:left="0"/>
              <w:rPr>
                <w:sz w:val="20"/>
                <w:szCs w:val="20"/>
                <w:lang w:val="lv-LV" w:eastAsia="en-US"/>
              </w:rPr>
            </w:pPr>
            <w:r w:rsidRPr="00475128">
              <w:rPr>
                <w:sz w:val="20"/>
                <w:szCs w:val="20"/>
                <w:lang w:val="lv-LV" w:eastAsia="en-US"/>
              </w:rPr>
              <w:t>(45.panta 1.daļa)</w:t>
            </w:r>
          </w:p>
          <w:p w:rsidR="006D3AB5" w:rsidRPr="00475128" w:rsidRDefault="006D3AB5" w:rsidP="002A30A0">
            <w:pPr>
              <w:pStyle w:val="ListParagraph"/>
              <w:spacing w:after="60" w:line="276" w:lineRule="auto"/>
              <w:ind w:left="0"/>
              <w:rPr>
                <w:sz w:val="20"/>
                <w:szCs w:val="20"/>
                <w:lang w:val="lv-LV" w:eastAsia="en-US"/>
              </w:rPr>
            </w:pPr>
          </w:p>
          <w:p w:rsidR="006D3AB5" w:rsidRPr="00475128" w:rsidRDefault="006D3AB5" w:rsidP="002A30A0">
            <w:pPr>
              <w:pStyle w:val="ListParagraph"/>
              <w:spacing w:after="60" w:line="276" w:lineRule="auto"/>
              <w:ind w:left="0"/>
              <w:rPr>
                <w:sz w:val="20"/>
                <w:szCs w:val="20"/>
                <w:lang w:val="lv-LV" w:eastAsia="en-US"/>
              </w:rPr>
            </w:pPr>
            <w:r w:rsidRPr="00475128">
              <w:rPr>
                <w:sz w:val="20"/>
                <w:szCs w:val="20"/>
                <w:lang w:val="lv-LV" w:eastAsia="en-US"/>
              </w:rPr>
              <w:t>Nodokļa 0% likmi piemēro preču importam, ja fiskālais pārstāvis, kas pārstāv trešās valsts vai trešās teritorijas reģistrētu nodokļa maksātāju vai citas dalībvalsts reģistrētu nodokļa maksātāju, šīs preces 30 kalendāra dienu laikā pēc to importēšanas piegādā uz citu dalībvalsti preču saņēmējam, kurš ir citas dalībvalsts reģistrēts nodokļa maksātājs.</w:t>
            </w:r>
          </w:p>
          <w:p w:rsidR="006D3AB5" w:rsidRPr="00475128" w:rsidRDefault="006D3AB5" w:rsidP="002A30A0">
            <w:pPr>
              <w:pStyle w:val="ListParagraph"/>
              <w:spacing w:after="60" w:line="276" w:lineRule="auto"/>
              <w:ind w:left="0"/>
              <w:rPr>
                <w:sz w:val="20"/>
                <w:szCs w:val="20"/>
                <w:lang w:val="lv-LV" w:eastAsia="en-US"/>
              </w:rPr>
            </w:pPr>
            <w:r w:rsidRPr="00475128">
              <w:rPr>
                <w:sz w:val="20"/>
                <w:szCs w:val="20"/>
                <w:lang w:val="lv-LV" w:eastAsia="en-US"/>
              </w:rPr>
              <w:t>(45.panta 2.daļa)</w:t>
            </w:r>
          </w:p>
          <w:p w:rsidR="006D3AB5" w:rsidRPr="005B06E0" w:rsidRDefault="006D3AB5" w:rsidP="002A30A0">
            <w:pPr>
              <w:spacing w:after="60"/>
              <w:rPr>
                <w:sz w:val="20"/>
                <w:szCs w:val="20"/>
              </w:rPr>
            </w:pPr>
          </w:p>
        </w:tc>
        <w:tc>
          <w:tcPr>
            <w:tcW w:w="4140" w:type="dxa"/>
          </w:tcPr>
          <w:p w:rsidR="006D3AB5" w:rsidRPr="005B06E0" w:rsidRDefault="006D3AB5" w:rsidP="002A30A0">
            <w:pPr>
              <w:spacing w:after="60"/>
              <w:rPr>
                <w:sz w:val="20"/>
                <w:szCs w:val="20"/>
              </w:rPr>
            </w:pPr>
            <w:r w:rsidRPr="005B06E0">
              <w:rPr>
                <w:sz w:val="20"/>
                <w:szCs w:val="20"/>
              </w:rPr>
              <w:t>Ja reģistrēts nodokļa maksātājs saskaņā ar šā panta pirmo vai otro daļu piemēro nodokļa 0 procentu likmi, tā rīcībā jābūt dokumentiem, kas apliecina, ka importētās preces ir vai tiks nosūtītas uz citu dalībvalsti.</w:t>
            </w:r>
          </w:p>
          <w:p w:rsidR="006D3AB5" w:rsidRPr="005B06E0" w:rsidRDefault="006D3AB5" w:rsidP="002A30A0">
            <w:pPr>
              <w:spacing w:after="60"/>
              <w:rPr>
                <w:sz w:val="20"/>
                <w:szCs w:val="20"/>
              </w:rPr>
            </w:pPr>
            <w:r w:rsidRPr="005B06E0">
              <w:rPr>
                <w:sz w:val="20"/>
                <w:szCs w:val="20"/>
              </w:rPr>
              <w:t>(45.panta 3.daļa)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 xml:space="preserve">Nodokļa 0% likmi nepiemēro, ja reģistrēts nodokļa maksātājs, kurš ir veicis darījumu, kam atbilstoši šā likuma </w:t>
            </w:r>
            <w:hyperlink r:id="rId141" w:anchor="p43" w:history="1">
              <w:r w:rsidRPr="005B06E0">
                <w:rPr>
                  <w:sz w:val="20"/>
                  <w:szCs w:val="20"/>
                </w:rPr>
                <w:t>43.</w:t>
              </w:r>
            </w:hyperlink>
            <w:r w:rsidRPr="005B06E0">
              <w:rPr>
                <w:sz w:val="20"/>
                <w:szCs w:val="20"/>
              </w:rPr>
              <w:t xml:space="preserve">, </w:t>
            </w:r>
            <w:hyperlink r:id="rId142" w:anchor="p44" w:history="1">
              <w:r w:rsidRPr="005B06E0">
                <w:rPr>
                  <w:sz w:val="20"/>
                  <w:szCs w:val="20"/>
                </w:rPr>
                <w:t>44.</w:t>
              </w:r>
            </w:hyperlink>
            <w:r w:rsidRPr="005B06E0">
              <w:rPr>
                <w:sz w:val="20"/>
                <w:szCs w:val="20"/>
              </w:rPr>
              <w:t xml:space="preserve">, </w:t>
            </w:r>
            <w:hyperlink r:id="rId143" w:anchor="p45" w:history="1">
              <w:r w:rsidRPr="005B06E0">
                <w:rPr>
                  <w:sz w:val="20"/>
                  <w:szCs w:val="20"/>
                </w:rPr>
                <w:t>45.</w:t>
              </w:r>
            </w:hyperlink>
            <w:r w:rsidRPr="005B06E0">
              <w:rPr>
                <w:sz w:val="20"/>
                <w:szCs w:val="20"/>
              </w:rPr>
              <w:t xml:space="preserve">, </w:t>
            </w:r>
            <w:hyperlink r:id="rId144" w:anchor="p46" w:history="1">
              <w:r w:rsidRPr="005B06E0">
                <w:rPr>
                  <w:sz w:val="20"/>
                  <w:szCs w:val="20"/>
                </w:rPr>
                <w:t>46.</w:t>
              </w:r>
            </w:hyperlink>
            <w:r w:rsidRPr="005B06E0">
              <w:rPr>
                <w:sz w:val="20"/>
                <w:szCs w:val="20"/>
              </w:rPr>
              <w:t xml:space="preserve">, </w:t>
            </w:r>
            <w:hyperlink r:id="rId145" w:anchor="p47" w:history="1">
              <w:r w:rsidRPr="005B06E0">
                <w:rPr>
                  <w:sz w:val="20"/>
                  <w:szCs w:val="20"/>
                </w:rPr>
                <w:t>47.</w:t>
              </w:r>
            </w:hyperlink>
            <w:r w:rsidRPr="005B06E0">
              <w:rPr>
                <w:sz w:val="20"/>
                <w:szCs w:val="20"/>
              </w:rPr>
              <w:t xml:space="preserve"> un </w:t>
            </w:r>
            <w:hyperlink r:id="rId146" w:anchor="p48" w:history="1">
              <w:r w:rsidRPr="005B06E0">
                <w:rPr>
                  <w:sz w:val="20"/>
                  <w:szCs w:val="20"/>
                </w:rPr>
                <w:t>48.</w:t>
              </w:r>
            </w:hyperlink>
            <w:r w:rsidRPr="005B06E0">
              <w:rPr>
                <w:sz w:val="20"/>
                <w:szCs w:val="20"/>
              </w:rPr>
              <w:t>pantam piemērojama nodokļa 0% likme, nevar uzrādīt preču eksportu apliecinošus dokumentus vai dokumentus, kas apliecina nodokļa 0% likmes piemērošanu.</w:t>
            </w:r>
          </w:p>
          <w:p w:rsidR="006D3AB5" w:rsidRPr="005B06E0" w:rsidRDefault="006D3AB5" w:rsidP="002A30A0">
            <w:pPr>
              <w:spacing w:after="60"/>
              <w:rPr>
                <w:sz w:val="20"/>
                <w:szCs w:val="20"/>
              </w:rPr>
            </w:pPr>
            <w:r w:rsidRPr="005B06E0">
              <w:rPr>
                <w:sz w:val="20"/>
                <w:szCs w:val="20"/>
              </w:rPr>
              <w:t>(51.panta 1.daļa)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 xml:space="preserve">Nodokļa 0% likmi nepiemēro, ja reģistrēts nodokļa maksātājs nav ievērojis šā likuma </w:t>
            </w:r>
            <w:hyperlink r:id="rId147" w:anchor="p45" w:history="1">
              <w:r w:rsidRPr="005B06E0">
                <w:rPr>
                  <w:sz w:val="20"/>
                  <w:szCs w:val="20"/>
                </w:rPr>
                <w:t>45.panta</w:t>
              </w:r>
            </w:hyperlink>
            <w:r w:rsidRPr="005B06E0">
              <w:rPr>
                <w:sz w:val="20"/>
                <w:szCs w:val="20"/>
              </w:rPr>
              <w:t xml:space="preserve"> 1. un 2.daļā noteikto preču nosūtīšanas termiņu un nevar to pamatot ar objektīviem piespiedu apstākļiem.</w:t>
            </w:r>
          </w:p>
          <w:p w:rsidR="006D3AB5" w:rsidRPr="005B06E0" w:rsidRDefault="006D3AB5" w:rsidP="002A30A0">
            <w:pPr>
              <w:spacing w:after="60"/>
              <w:rPr>
                <w:sz w:val="20"/>
                <w:szCs w:val="20"/>
              </w:rPr>
            </w:pPr>
            <w:r w:rsidRPr="005B06E0">
              <w:rPr>
                <w:sz w:val="20"/>
                <w:szCs w:val="20"/>
              </w:rPr>
              <w:t>(51.panta 3.daļa)</w:t>
            </w:r>
          </w:p>
          <w:p w:rsidR="006D3AB5" w:rsidRPr="005B06E0" w:rsidRDefault="006D3AB5" w:rsidP="002A30A0">
            <w:pPr>
              <w:spacing w:after="60"/>
              <w:rPr>
                <w:sz w:val="20"/>
                <w:szCs w:val="20"/>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nepiemēro, ja reģistrēts nodokļa maksātājs ir saņēmis avansa maksājumu par nodokļa rēķinā par avansa pieprasījumu norādīto preci vai pakalpojumu, kuram saskaņā ar 43.panta pirmo, otro, trešo, sesto un septīto daļu, 44., 45., 46., 47. un 48.pantu piemērojama nodokļa 0% likme, bet sešu mēnešu laikā no avansa saņemšanas dienas prece nav nosūtīta vai pakalpojuma sniegšana nav uzsākta. </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4.daļa)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Šā panta 4.daļu nepiemēro, ja reģistrēts nodokļa maksātājs saskaņā ar noslēgtajiem līgumiem ir saņēmis avansa maksājumu par tādu preču piegādi, kuru ražošanas (izgatavošanas) tehnoloģiskais process ir ilgāks par sešiem mēnešiem, vai ja avansa maksājuma saņemšanas brīdī preču piegāde vai pakalpojuma sniegšana ir uzsākta.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5.daļa)</w:t>
            </w:r>
          </w:p>
        </w:tc>
      </w:tr>
      <w:tr w:rsidR="006D3AB5" w:rsidRPr="005B06E0" w:rsidTr="006D3AB5">
        <w:trPr>
          <w:trHeight w:val="35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36.</w:t>
            </w:r>
          </w:p>
        </w:tc>
        <w:tc>
          <w:tcPr>
            <w:tcW w:w="3866" w:type="dxa"/>
          </w:tcPr>
          <w:p w:rsidR="006D3AB5" w:rsidRPr="005B06E0" w:rsidRDefault="006D3AB5" w:rsidP="002A30A0">
            <w:pPr>
              <w:spacing w:after="60"/>
              <w:rPr>
                <w:b/>
                <w:bCs/>
                <w:sz w:val="20"/>
                <w:szCs w:val="20"/>
              </w:rPr>
            </w:pPr>
            <w:r w:rsidRPr="005B06E0">
              <w:rPr>
                <w:b/>
                <w:bCs/>
                <w:sz w:val="20"/>
                <w:szCs w:val="20"/>
              </w:rPr>
              <w:t>Nodokļa 0% likmes piemērošana pakalpojumiem.</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Nodokļa 0% likmi piemēro, ja pakalpojumi: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1) tieši saistīti ar preču eksportu, tai skaitā arī tādu preču eksportu, kurām muitas procedūra uzsākta citā dalībvalstī;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2) tieši saistīti ar preču importu gadījumos, kad šādu pakalpojumu vērtība ieskaitāma ar nodokli apliekamajā darījuma vērtībā saskaņā ar šā likuma </w:t>
            </w:r>
            <w:hyperlink r:id="rId148" w:anchor="p36" w:history="1">
              <w:r w:rsidRPr="005B06E0">
                <w:rPr>
                  <w:rFonts w:eastAsia="Times New Roman"/>
                  <w:sz w:val="20"/>
                  <w:szCs w:val="20"/>
                </w:rPr>
                <w:t>36.panta</w:t>
              </w:r>
            </w:hyperlink>
            <w:r w:rsidRPr="005B06E0">
              <w:rPr>
                <w:rFonts w:eastAsia="Times New Roman"/>
                <w:sz w:val="20"/>
                <w:szCs w:val="20"/>
              </w:rPr>
              <w:t xml:space="preserve"> 1.daļu;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3) tieši saistīti ar tranzīta pārvadājumiem; </w:t>
            </w:r>
          </w:p>
          <w:p w:rsidR="006D3AB5" w:rsidRPr="005B06E0" w:rsidRDefault="006D3AB5" w:rsidP="002A30A0">
            <w:pPr>
              <w:spacing w:after="60"/>
              <w:rPr>
                <w:rFonts w:eastAsia="Times New Roman"/>
                <w:sz w:val="20"/>
                <w:szCs w:val="20"/>
              </w:rPr>
            </w:pPr>
            <w:r w:rsidRPr="005B06E0">
              <w:rPr>
                <w:rFonts w:eastAsia="Times New Roman"/>
                <w:sz w:val="20"/>
                <w:szCs w:val="20"/>
              </w:rPr>
              <w:t xml:space="preserve">4) sniegti brīvajā zonā vai muitas noliktavā un ir tieši saistīti ar precēm, kas ievestas Eiropas Savienības teritorijā no trešajām valstīm vai trešajām teritorijām un nav izlaistas brīvam apgrozījumam. </w:t>
            </w:r>
          </w:p>
          <w:p w:rsidR="006D3AB5" w:rsidRPr="005B06E0" w:rsidRDefault="006D3AB5" w:rsidP="002A30A0">
            <w:pPr>
              <w:spacing w:after="60"/>
              <w:rPr>
                <w:sz w:val="20"/>
                <w:szCs w:val="20"/>
              </w:rPr>
            </w:pPr>
            <w:r w:rsidRPr="005B06E0">
              <w:rPr>
                <w:sz w:val="20"/>
                <w:szCs w:val="20"/>
              </w:rPr>
              <w:t>(46.panta 1.daļa)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Nodokļa 0% likmi piemēro pasažieru pārvadājumiem starptautiskajos maršrutos, arī pasažieru pārvadājumiem uz citām dalībvalstīm, ja pasažieris šķērso Latvijas Republikas valsts robežu, kā arī tās bagāžas pārvadājumam, kuru pasažieris ved sev līdzi, un tā transportlīdzekļa pārvadājumam, ar kuru viņš ceļo.</w:t>
            </w:r>
          </w:p>
          <w:p w:rsidR="006D3AB5" w:rsidRPr="005B06E0" w:rsidRDefault="006D3AB5" w:rsidP="002A30A0">
            <w:pPr>
              <w:spacing w:after="60"/>
              <w:rPr>
                <w:sz w:val="20"/>
                <w:szCs w:val="20"/>
              </w:rPr>
            </w:pPr>
            <w:r w:rsidRPr="005B06E0">
              <w:rPr>
                <w:sz w:val="20"/>
                <w:szCs w:val="20"/>
              </w:rPr>
              <w:t>(46.panta 3.daļa)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Nodokļa 0% likmi piemēro starpniecības pakalpojumiem, ko starpnieks sniedz, pārdodot biļetes šā panta trešajā daļā minētajiem pasažieru pārvadājumiem starptautiskajos maršrutos.</w:t>
            </w:r>
          </w:p>
          <w:p w:rsidR="006D3AB5" w:rsidRPr="005B06E0" w:rsidRDefault="006D3AB5" w:rsidP="002A30A0">
            <w:pPr>
              <w:spacing w:after="60"/>
              <w:rPr>
                <w:sz w:val="20"/>
                <w:szCs w:val="20"/>
              </w:rPr>
            </w:pPr>
            <w:r w:rsidRPr="005B06E0">
              <w:rPr>
                <w:sz w:val="20"/>
                <w:szCs w:val="20"/>
              </w:rPr>
              <w:t>(46.panta 4.daļa)</w:t>
            </w:r>
          </w:p>
        </w:tc>
        <w:tc>
          <w:tcPr>
            <w:tcW w:w="4140" w:type="dxa"/>
          </w:tcPr>
          <w:p w:rsidR="006D3AB5" w:rsidRPr="005B06E0" w:rsidRDefault="006D3AB5" w:rsidP="002A30A0">
            <w:pPr>
              <w:spacing w:after="60"/>
              <w:rPr>
                <w:sz w:val="20"/>
                <w:szCs w:val="20"/>
              </w:rPr>
            </w:pPr>
            <w:r w:rsidRPr="005B06E0">
              <w:rPr>
                <w:sz w:val="20"/>
                <w:szCs w:val="20"/>
              </w:rPr>
              <w:t xml:space="preserve">Nodokļa 0% likmi nepiemēro, ja reģistrēts nodokļa maksātājs, kurš ir veicis darījumu, kam atbilstoši šā likuma </w:t>
            </w:r>
            <w:hyperlink r:id="rId149" w:anchor="p43" w:history="1">
              <w:r w:rsidRPr="005B06E0">
                <w:rPr>
                  <w:sz w:val="20"/>
                  <w:szCs w:val="20"/>
                </w:rPr>
                <w:t>43.</w:t>
              </w:r>
            </w:hyperlink>
            <w:r w:rsidRPr="005B06E0">
              <w:rPr>
                <w:sz w:val="20"/>
                <w:szCs w:val="20"/>
              </w:rPr>
              <w:t xml:space="preserve">, </w:t>
            </w:r>
            <w:hyperlink r:id="rId150" w:anchor="p44" w:history="1">
              <w:r w:rsidRPr="005B06E0">
                <w:rPr>
                  <w:sz w:val="20"/>
                  <w:szCs w:val="20"/>
                </w:rPr>
                <w:t>44.</w:t>
              </w:r>
            </w:hyperlink>
            <w:r w:rsidRPr="005B06E0">
              <w:rPr>
                <w:sz w:val="20"/>
                <w:szCs w:val="20"/>
              </w:rPr>
              <w:t xml:space="preserve">, </w:t>
            </w:r>
            <w:hyperlink r:id="rId151" w:anchor="p45" w:history="1">
              <w:r w:rsidRPr="005B06E0">
                <w:rPr>
                  <w:sz w:val="20"/>
                  <w:szCs w:val="20"/>
                </w:rPr>
                <w:t>45.</w:t>
              </w:r>
            </w:hyperlink>
            <w:r w:rsidRPr="005B06E0">
              <w:rPr>
                <w:sz w:val="20"/>
                <w:szCs w:val="20"/>
              </w:rPr>
              <w:t xml:space="preserve">, </w:t>
            </w:r>
            <w:hyperlink r:id="rId152" w:anchor="p46" w:history="1">
              <w:r w:rsidRPr="005B06E0">
                <w:rPr>
                  <w:sz w:val="20"/>
                  <w:szCs w:val="20"/>
                </w:rPr>
                <w:t>46.</w:t>
              </w:r>
            </w:hyperlink>
            <w:r w:rsidRPr="005B06E0">
              <w:rPr>
                <w:sz w:val="20"/>
                <w:szCs w:val="20"/>
              </w:rPr>
              <w:t xml:space="preserve">, </w:t>
            </w:r>
            <w:hyperlink r:id="rId153" w:anchor="p47" w:history="1">
              <w:r w:rsidRPr="005B06E0">
                <w:rPr>
                  <w:sz w:val="20"/>
                  <w:szCs w:val="20"/>
                </w:rPr>
                <w:t>47.</w:t>
              </w:r>
            </w:hyperlink>
            <w:r w:rsidRPr="005B06E0">
              <w:rPr>
                <w:sz w:val="20"/>
                <w:szCs w:val="20"/>
              </w:rPr>
              <w:t xml:space="preserve"> un </w:t>
            </w:r>
            <w:hyperlink r:id="rId154" w:anchor="p48" w:history="1">
              <w:r w:rsidRPr="005B06E0">
                <w:rPr>
                  <w:sz w:val="20"/>
                  <w:szCs w:val="20"/>
                </w:rPr>
                <w:t>48.</w:t>
              </w:r>
            </w:hyperlink>
            <w:r w:rsidRPr="005B06E0">
              <w:rPr>
                <w:sz w:val="20"/>
                <w:szCs w:val="20"/>
              </w:rPr>
              <w:t>pantam piemērojama nodokļa 0% likme, nevar uzrādīt preču eksportu apliecinošus dokumentus vai dokumentus, kas apliecina nodokļa 0% likmes piemērošanu.</w:t>
            </w:r>
          </w:p>
          <w:p w:rsidR="006D3AB5" w:rsidRPr="005B06E0" w:rsidRDefault="006D3AB5" w:rsidP="002A30A0">
            <w:pPr>
              <w:spacing w:after="60"/>
              <w:rPr>
                <w:sz w:val="20"/>
                <w:szCs w:val="20"/>
              </w:rPr>
            </w:pPr>
            <w:r w:rsidRPr="005B06E0">
              <w:rPr>
                <w:sz w:val="20"/>
                <w:szCs w:val="20"/>
              </w:rPr>
              <w:t>(51.panta 1.daļa)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nepiemēro, ja reģistrēts nodokļa maksātājs ir saņēmis avansa maksājumu par nodokļa rēķinā par avansa pieprasījumu norādīto preci vai pakalpojumu, kuram saskaņā ar 43.panta pirmo, otro, trešo, sesto un septīto daļu, 44., 45., 46., 47. un 48.pantu piemērojama nodokļa 0% likme, bet sešu mēnešu laikā no avansa saņemšanas dienas prece nav nosūtīta vai pakalpojuma sniegšana nav uzsākta.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4.daļa)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Šā panta 4.daļu nepiemēro, ja reģistrēts nodokļa maksātājs saskaņā ar noslēgtajiem līgumiem ir saņēmis avansa maksājumu par tādu preču piegādi, kuru ražošanas (izgatavošanas) tehnoloģiskais process ir ilgāks par sešiem mēnešiem, vai ja avansa maksājuma saņemšanas brīdī preču piegāde vai pakalpojuma sniegšana ir uzsākta.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5.daļa)</w:t>
            </w:r>
          </w:p>
          <w:p w:rsidR="006D3AB5" w:rsidRPr="005B06E0" w:rsidRDefault="006D3AB5" w:rsidP="002A30A0">
            <w:pPr>
              <w:spacing w:after="60"/>
              <w:rPr>
                <w:rFonts w:eastAsia="Times New Roman"/>
                <w:sz w:val="20"/>
                <w:szCs w:val="20"/>
              </w:rPr>
            </w:pPr>
          </w:p>
        </w:tc>
      </w:tr>
      <w:tr w:rsidR="006D3AB5" w:rsidRPr="005B06E0" w:rsidTr="006D3AB5">
        <w:trPr>
          <w:trHeight w:val="287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37.</w:t>
            </w:r>
          </w:p>
        </w:tc>
        <w:tc>
          <w:tcPr>
            <w:tcW w:w="3866" w:type="dxa"/>
          </w:tcPr>
          <w:p w:rsidR="006D3AB5" w:rsidRPr="005B06E0" w:rsidRDefault="006D3AB5" w:rsidP="002A30A0">
            <w:pPr>
              <w:spacing w:after="60"/>
              <w:rPr>
                <w:b/>
                <w:bCs/>
                <w:sz w:val="20"/>
                <w:szCs w:val="20"/>
              </w:rPr>
            </w:pPr>
            <w:r w:rsidRPr="005B06E0">
              <w:rPr>
                <w:b/>
                <w:bCs/>
                <w:sz w:val="20"/>
                <w:szCs w:val="20"/>
              </w:rPr>
              <w:t>Nodokļa 0% likmes piemērošana kuģu piegādēm, preču piegādēm kuģiem un ar šīm piegādēm saistītiem pakalpojumiem.</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tādu kuģu piegādei un importam, kurus izmanto: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kuģošanai starptautiskajos ūdeņos un kuri pārvadā pasažierus par atlīdzību vai kurus izmanto komercdarbībai, zvejniecībai vai rūpnieciskai darbībai;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glābšanas vai palīdzības darbiem jūrā;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3) piekrastes zvejai. </w:t>
            </w:r>
          </w:p>
          <w:p w:rsidR="006D3AB5" w:rsidRPr="005B06E0" w:rsidRDefault="006D3AB5" w:rsidP="002A30A0">
            <w:pPr>
              <w:spacing w:after="60"/>
              <w:rPr>
                <w:sz w:val="20"/>
                <w:szCs w:val="20"/>
              </w:rPr>
            </w:pPr>
            <w:r w:rsidRPr="005B06E0">
              <w:rPr>
                <w:sz w:val="20"/>
                <w:szCs w:val="20"/>
              </w:rPr>
              <w:t>(47.panta 1.daļa)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Nodokļa 0% likmi piemēro arī šā panta 1.daļā minēto kuģu rezerves daļu un tajos iebūvētā vai lietotā aprīkojuma, tostarp zvejas aprīkojuma, piegādei un importam, kā arī degvielas uzpildei šiem kuģiem.</w:t>
            </w:r>
          </w:p>
          <w:p w:rsidR="006D3AB5" w:rsidRPr="005B06E0" w:rsidRDefault="006D3AB5" w:rsidP="002A30A0">
            <w:pPr>
              <w:spacing w:after="60"/>
              <w:rPr>
                <w:sz w:val="20"/>
                <w:szCs w:val="20"/>
              </w:rPr>
            </w:pPr>
            <w:r w:rsidRPr="005B06E0">
              <w:rPr>
                <w:sz w:val="20"/>
                <w:szCs w:val="20"/>
              </w:rPr>
              <w:t>(47.panta 2.daļa)</w:t>
            </w:r>
          </w:p>
          <w:p w:rsidR="006D3AB5" w:rsidRPr="005B06E0" w:rsidRDefault="006D3AB5" w:rsidP="002A30A0">
            <w:pPr>
              <w:spacing w:after="60"/>
              <w:rPr>
                <w:sz w:val="20"/>
                <w:szCs w:val="20"/>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šā panta 1.daļas 1. un 2.punktā minēto kuģu apgādei paredzēto preču piegādei;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šā panta 1.daļā minēto kuģu pārbūvei, remontam, tehniskajai apkopei, fraktēšanai un nomai;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3) šā panta 1.daļā minētajos kuģos iebūvētā vai tajos lietotā aprīkojuma, tostarp zvejas aprīkojuma, remontam, tehniskajai apkopei un nomai;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4) pakalpojumiem, kas nav minēti šajā daļā un kas sniegti, lai nodrošinātu šā panta pirmajā daļā minēto kuģu vai to kravu tiešās vajadzības, tai skaitā kuģu aģentu sniegtajiem pakalpojumiem. </w:t>
            </w:r>
          </w:p>
          <w:p w:rsidR="006D3AB5" w:rsidRPr="005B06E0" w:rsidRDefault="006D3AB5" w:rsidP="002A30A0">
            <w:pPr>
              <w:spacing w:after="60"/>
              <w:rPr>
                <w:sz w:val="20"/>
                <w:szCs w:val="20"/>
              </w:rPr>
            </w:pPr>
            <w:r w:rsidRPr="005B06E0">
              <w:rPr>
                <w:sz w:val="20"/>
                <w:szCs w:val="20"/>
              </w:rPr>
              <w:t>(47.panta 3.daļa)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 xml:space="preserve">Nodokļa 0% likmi piemēro degvielas uzpildei un apgādei paredzēto preču piegādei karakuģiem, kuri tiek klasificēti Kombinētās nomenklatūras, kas noteikta Padomes 1987.gada 23.jūlija regulas (EEK) Nr. </w:t>
            </w:r>
            <w:hyperlink r:id="rId155" w:tgtFrame="_blank" w:tooltip="Atvērt regulu latviešu valodā" w:history="1">
              <w:r w:rsidRPr="005B06E0">
                <w:rPr>
                  <w:sz w:val="20"/>
                  <w:szCs w:val="20"/>
                </w:rPr>
                <w:t>2658/87</w:t>
              </w:r>
            </w:hyperlink>
            <w:r w:rsidRPr="005B06E0">
              <w:rPr>
                <w:sz w:val="20"/>
                <w:szCs w:val="20"/>
              </w:rPr>
              <w:t xml:space="preserve"> par tarifu un statistikas nomenklatūru un kopējo muitas tarifu I pielikuma  apakšpozīcijā 8906 10 00, un kuri atstāj valsti un dodas uz ostām vai enkurvietām citās dalībvalstīs vai trešajās valstīs, vai trešajās teritorijās.</w:t>
            </w:r>
          </w:p>
          <w:p w:rsidR="006D3AB5" w:rsidRPr="005B06E0" w:rsidRDefault="006D3AB5" w:rsidP="002A30A0">
            <w:pPr>
              <w:spacing w:after="60"/>
              <w:rPr>
                <w:sz w:val="20"/>
                <w:szCs w:val="20"/>
              </w:rPr>
            </w:pPr>
            <w:r w:rsidRPr="005B06E0">
              <w:rPr>
                <w:sz w:val="20"/>
                <w:szCs w:val="20"/>
              </w:rPr>
              <w:t>(47.panta 4.daļa)</w:t>
            </w:r>
          </w:p>
        </w:tc>
        <w:tc>
          <w:tcPr>
            <w:tcW w:w="4140" w:type="dxa"/>
          </w:tcPr>
          <w:p w:rsidR="006D3AB5" w:rsidRPr="005B06E0" w:rsidRDefault="006D3AB5" w:rsidP="002A30A0">
            <w:pPr>
              <w:spacing w:after="60"/>
              <w:rPr>
                <w:sz w:val="20"/>
                <w:szCs w:val="20"/>
              </w:rPr>
            </w:pPr>
            <w:r w:rsidRPr="005B06E0">
              <w:rPr>
                <w:sz w:val="20"/>
                <w:szCs w:val="20"/>
              </w:rPr>
              <w:t xml:space="preserve">Nodokļa 0% likmi nepiemēro, ja reģistrēts nodokļa maksātājs, kurš ir veicis darījumu, kam atbilstoši šā likuma </w:t>
            </w:r>
            <w:hyperlink r:id="rId156" w:anchor="p43" w:history="1">
              <w:r w:rsidRPr="005B06E0">
                <w:rPr>
                  <w:sz w:val="20"/>
                  <w:szCs w:val="20"/>
                </w:rPr>
                <w:t>43.</w:t>
              </w:r>
            </w:hyperlink>
            <w:r w:rsidRPr="005B06E0">
              <w:rPr>
                <w:sz w:val="20"/>
                <w:szCs w:val="20"/>
              </w:rPr>
              <w:t xml:space="preserve">, </w:t>
            </w:r>
            <w:hyperlink r:id="rId157" w:anchor="p44" w:history="1">
              <w:r w:rsidRPr="005B06E0">
                <w:rPr>
                  <w:sz w:val="20"/>
                  <w:szCs w:val="20"/>
                </w:rPr>
                <w:t>44.</w:t>
              </w:r>
            </w:hyperlink>
            <w:r w:rsidRPr="005B06E0">
              <w:rPr>
                <w:sz w:val="20"/>
                <w:szCs w:val="20"/>
              </w:rPr>
              <w:t xml:space="preserve">, </w:t>
            </w:r>
            <w:hyperlink r:id="rId158" w:anchor="p45" w:history="1">
              <w:r w:rsidRPr="005B06E0">
                <w:rPr>
                  <w:sz w:val="20"/>
                  <w:szCs w:val="20"/>
                </w:rPr>
                <w:t>45.</w:t>
              </w:r>
            </w:hyperlink>
            <w:r w:rsidRPr="005B06E0">
              <w:rPr>
                <w:sz w:val="20"/>
                <w:szCs w:val="20"/>
              </w:rPr>
              <w:t xml:space="preserve">, </w:t>
            </w:r>
            <w:hyperlink r:id="rId159" w:anchor="p46" w:history="1">
              <w:r w:rsidRPr="005B06E0">
                <w:rPr>
                  <w:sz w:val="20"/>
                  <w:szCs w:val="20"/>
                </w:rPr>
                <w:t>46.</w:t>
              </w:r>
            </w:hyperlink>
            <w:r w:rsidRPr="005B06E0">
              <w:rPr>
                <w:sz w:val="20"/>
                <w:szCs w:val="20"/>
              </w:rPr>
              <w:t xml:space="preserve">, </w:t>
            </w:r>
            <w:hyperlink r:id="rId160" w:anchor="p47" w:history="1">
              <w:r w:rsidRPr="005B06E0">
                <w:rPr>
                  <w:sz w:val="20"/>
                  <w:szCs w:val="20"/>
                </w:rPr>
                <w:t>47.</w:t>
              </w:r>
            </w:hyperlink>
            <w:r w:rsidRPr="005B06E0">
              <w:rPr>
                <w:sz w:val="20"/>
                <w:szCs w:val="20"/>
              </w:rPr>
              <w:t xml:space="preserve"> un </w:t>
            </w:r>
            <w:hyperlink r:id="rId161" w:anchor="p48" w:history="1">
              <w:r w:rsidRPr="005B06E0">
                <w:rPr>
                  <w:sz w:val="20"/>
                  <w:szCs w:val="20"/>
                </w:rPr>
                <w:t>48.</w:t>
              </w:r>
            </w:hyperlink>
            <w:r w:rsidRPr="005B06E0">
              <w:rPr>
                <w:sz w:val="20"/>
                <w:szCs w:val="20"/>
              </w:rPr>
              <w:t>pantam piemērojama nodokļa 0% likme, nevar uzrādīt preču eksportu apliecinošus dokumentus vai dokumentus, kas apliecina nodokļa 0% likmes piemērošanu.</w:t>
            </w:r>
          </w:p>
          <w:p w:rsidR="006D3AB5" w:rsidRPr="005B06E0" w:rsidRDefault="006D3AB5" w:rsidP="002A30A0">
            <w:pPr>
              <w:spacing w:after="60"/>
              <w:rPr>
                <w:sz w:val="20"/>
                <w:szCs w:val="20"/>
              </w:rPr>
            </w:pPr>
            <w:r w:rsidRPr="005B06E0">
              <w:rPr>
                <w:sz w:val="20"/>
                <w:szCs w:val="20"/>
              </w:rPr>
              <w:t>(51.panta 1.daļa)</w:t>
            </w:r>
          </w:p>
          <w:p w:rsidR="006D3AB5" w:rsidRPr="005B06E0" w:rsidRDefault="006D3AB5" w:rsidP="002A30A0">
            <w:pPr>
              <w:spacing w:after="60"/>
              <w:rPr>
                <w:sz w:val="20"/>
                <w:szCs w:val="20"/>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nepiemēro, ja reģistrēts nodokļa maksātājs ir saņēmis avansa maksājumu par nodokļa rēķinā par avansa pieprasījumu norādīto preci vai pakalpojumu, kuram saskaņā ar 43.panta pirmo, otro, trešo, sesto un septīto daļu, 44., 45., 46., 47. un 48.pantu piemērojama nodokļa 0% likme, bet sešu mēnešu laikā no avansa saņemšanas dienas prece nav nosūtīta vai pakalpojuma sniegšana nav uzsākta.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4.daļa)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Šā panta 4.daļu nepiemēro, ja reģistrēts nodokļa maksātājs saskaņā ar noslēgtajiem līgumiem ir saņēmis avansa maksājumu par tādu preču piegādi, kuru ražošanas (izgatavošanas) tehnoloģiskais process ir ilgāks par sešiem mēnešiem, vai ja avansa maksājuma saņemšanas brīdī preču piegāde vai pakalpojuma sniegšana ir uzsākta.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5.daļa)</w:t>
            </w:r>
          </w:p>
          <w:p w:rsidR="006D3AB5" w:rsidRPr="005B06E0" w:rsidRDefault="006D3AB5" w:rsidP="002A30A0">
            <w:pPr>
              <w:spacing w:after="60"/>
              <w:rPr>
                <w:rFonts w:eastAsia="Times New Roman"/>
                <w:sz w:val="20"/>
                <w:szCs w:val="20"/>
              </w:rPr>
            </w:pPr>
          </w:p>
        </w:tc>
      </w:tr>
      <w:tr w:rsidR="006D3AB5" w:rsidRPr="005B06E0" w:rsidTr="006D3AB5">
        <w:trPr>
          <w:trHeight w:val="206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38.</w:t>
            </w:r>
          </w:p>
        </w:tc>
        <w:tc>
          <w:tcPr>
            <w:tcW w:w="3866" w:type="dxa"/>
          </w:tcPr>
          <w:p w:rsidR="006D3AB5" w:rsidRPr="005B06E0" w:rsidRDefault="006D3AB5" w:rsidP="002A30A0">
            <w:pPr>
              <w:spacing w:after="60"/>
              <w:rPr>
                <w:b/>
                <w:bCs/>
                <w:sz w:val="20"/>
                <w:szCs w:val="20"/>
              </w:rPr>
            </w:pPr>
            <w:r w:rsidRPr="005B06E0">
              <w:rPr>
                <w:b/>
                <w:bCs/>
                <w:sz w:val="20"/>
                <w:szCs w:val="20"/>
              </w:rPr>
              <w:t>Nodokļa 0% likmes piemērošana gaisakuģu piegādēm, preču piegādēm gaisakuģiem un ar šīm piegādēm saistītiem pakalpojumiem.</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tādu gaisakuģu piegādei un importam, kurus lieto aviosabiedrības, kas darbojas par atlīdzību galvenokārt starptautiskos maršrutos.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(48.panta 1.daļa)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arī šā panta pirmajā daļā minēto gaisakuģu rezerves daļu un tajos iebūvētā vai lietotā aprīkojuma piegādei un importam, kā arī degvielas uzpildei šiem gaisakuģiem.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(48.panta 2.daļa)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šā panta pirmajā daļā minēto gaisakuģu apgādei paredzēto preču piegādei;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šā panta pirmajā daļā minēto gaisakuģu pārbūvei, remontam, tehniskajai apkopei, fraktēšanai un nomai;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3) šā panta pirmajā daļā minētajos gaisakuģos iebūvētā vai tajos lietotā aprīkojuma remontam, tehniskajai apkopei un nomai;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4) pakalpojumiem, kas nav minēti šajā daļā un kas sniegti, lai nodrošinātu šā panta pirmajā daļā minēto gaisakuģu vai to kravu tiešās vajadzības, tai skaitā gaisakuģu aģentu sniegtajiem pakalpojumiem.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(48.panta 3.daļa)</w:t>
            </w:r>
          </w:p>
          <w:p w:rsidR="006D3AB5" w:rsidRPr="005B06E0" w:rsidRDefault="006D3AB5" w:rsidP="002A30A0">
            <w:pPr>
              <w:spacing w:after="60"/>
              <w:rPr>
                <w:sz w:val="20"/>
                <w:szCs w:val="20"/>
              </w:rPr>
            </w:pPr>
          </w:p>
        </w:tc>
        <w:tc>
          <w:tcPr>
            <w:tcW w:w="4140" w:type="dxa"/>
          </w:tcPr>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Uzskata, ka aviosabiedrība darbojas galvenokārt starptautiskajos maršrutos, ja tiek izpildīti abi šie nosacījumi: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aviosabiedrības gada apgrozījums starptautiskajos maršrutos ir vismaz 80% no kopējā apgrozījuma;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2) aviosabiedrības maršrutu skaits starptautiskajos maršrutos ir vismaz 80% no kopējā maršrutu skaita.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(48.panta 4.daļa)</w:t>
            </w:r>
          </w:p>
          <w:p w:rsidR="006D3AB5" w:rsidRPr="005B06E0" w:rsidRDefault="006D3AB5" w:rsidP="002A30A0">
            <w:pPr>
              <w:spacing w:after="60"/>
              <w:rPr>
                <w:rFonts w:eastAsia="Times New Roman"/>
                <w:sz w:val="20"/>
                <w:szCs w:val="20"/>
              </w:rPr>
            </w:pPr>
          </w:p>
          <w:p w:rsidR="006D3AB5" w:rsidRPr="005B06E0" w:rsidRDefault="006D3AB5" w:rsidP="002A30A0">
            <w:pPr>
              <w:spacing w:after="60"/>
              <w:rPr>
                <w:sz w:val="20"/>
                <w:szCs w:val="20"/>
              </w:rPr>
            </w:pPr>
            <w:r w:rsidRPr="005B06E0">
              <w:rPr>
                <w:sz w:val="20"/>
                <w:szCs w:val="20"/>
              </w:rPr>
              <w:t xml:space="preserve">Nodokļa 0% likmi nepiemēro, ja reģistrēts nodokļa maksātājs, kurš ir veicis darījumu, kam atbilstoši šā likuma </w:t>
            </w:r>
            <w:hyperlink r:id="rId162" w:anchor="p43" w:history="1">
              <w:r w:rsidRPr="005B06E0">
                <w:rPr>
                  <w:sz w:val="20"/>
                  <w:szCs w:val="20"/>
                </w:rPr>
                <w:t>43.</w:t>
              </w:r>
            </w:hyperlink>
            <w:r w:rsidRPr="005B06E0">
              <w:rPr>
                <w:sz w:val="20"/>
                <w:szCs w:val="20"/>
              </w:rPr>
              <w:t xml:space="preserve">, </w:t>
            </w:r>
            <w:hyperlink r:id="rId163" w:anchor="p44" w:history="1">
              <w:r w:rsidRPr="005B06E0">
                <w:rPr>
                  <w:sz w:val="20"/>
                  <w:szCs w:val="20"/>
                </w:rPr>
                <w:t>44.</w:t>
              </w:r>
            </w:hyperlink>
            <w:r w:rsidRPr="005B06E0">
              <w:rPr>
                <w:sz w:val="20"/>
                <w:szCs w:val="20"/>
              </w:rPr>
              <w:t xml:space="preserve">, </w:t>
            </w:r>
            <w:hyperlink r:id="rId164" w:anchor="p45" w:history="1">
              <w:r w:rsidRPr="005B06E0">
                <w:rPr>
                  <w:sz w:val="20"/>
                  <w:szCs w:val="20"/>
                </w:rPr>
                <w:t>45.</w:t>
              </w:r>
            </w:hyperlink>
            <w:r w:rsidRPr="005B06E0">
              <w:rPr>
                <w:sz w:val="20"/>
                <w:szCs w:val="20"/>
              </w:rPr>
              <w:t xml:space="preserve">, </w:t>
            </w:r>
            <w:hyperlink r:id="rId165" w:anchor="p46" w:history="1">
              <w:r w:rsidRPr="005B06E0">
                <w:rPr>
                  <w:sz w:val="20"/>
                  <w:szCs w:val="20"/>
                </w:rPr>
                <w:t>46.</w:t>
              </w:r>
            </w:hyperlink>
            <w:r w:rsidRPr="005B06E0">
              <w:rPr>
                <w:sz w:val="20"/>
                <w:szCs w:val="20"/>
              </w:rPr>
              <w:t xml:space="preserve">, </w:t>
            </w:r>
            <w:hyperlink r:id="rId166" w:anchor="p47" w:history="1">
              <w:r w:rsidRPr="005B06E0">
                <w:rPr>
                  <w:sz w:val="20"/>
                  <w:szCs w:val="20"/>
                </w:rPr>
                <w:t>47.</w:t>
              </w:r>
            </w:hyperlink>
            <w:r w:rsidRPr="005B06E0">
              <w:rPr>
                <w:sz w:val="20"/>
                <w:szCs w:val="20"/>
              </w:rPr>
              <w:t xml:space="preserve"> un </w:t>
            </w:r>
            <w:hyperlink r:id="rId167" w:anchor="p48" w:history="1">
              <w:r w:rsidRPr="005B06E0">
                <w:rPr>
                  <w:sz w:val="20"/>
                  <w:szCs w:val="20"/>
                </w:rPr>
                <w:t>48.</w:t>
              </w:r>
            </w:hyperlink>
            <w:r w:rsidRPr="005B06E0">
              <w:rPr>
                <w:sz w:val="20"/>
                <w:szCs w:val="20"/>
              </w:rPr>
              <w:t>pantam piemērojama nodokļa 0% likme, nevar uzrādīt preču eksportu apliecinošus dokumentus vai dokumentus, kas apliecina nodokļa 0% likmes piemērošanu.</w:t>
            </w:r>
          </w:p>
          <w:p w:rsidR="006D3AB5" w:rsidRPr="005B06E0" w:rsidRDefault="006D3AB5" w:rsidP="002A30A0">
            <w:pPr>
              <w:spacing w:after="60"/>
              <w:rPr>
                <w:sz w:val="20"/>
                <w:szCs w:val="20"/>
              </w:rPr>
            </w:pPr>
            <w:r w:rsidRPr="005B06E0">
              <w:rPr>
                <w:sz w:val="20"/>
                <w:szCs w:val="20"/>
              </w:rPr>
              <w:t>(51.panta 1.daļa)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nepiemēro, ja reģistrēts nodokļa maksātājs ir saņēmis avansa maksājumu par nodokļa rēķinā par avansa pieprasījumu norādīto preci vai pakalpojumu, kuram saskaņā ar 43.panta pirmo, otro, trešo, sesto un septīto daļu, 44., 45., 46., 47. un 48.pantu piemērojama nodokļa 0% likme, bet sešu mēnešu laikā no avansa saņemšanas dienas prece nav nosūtīta vai pakalpojuma sniegšana nav uzsākta.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4.daļa)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Šā panta 4.daļu nepiemēro, ja reģistrēts nodokļa maksātājs saskaņā ar noslēgtajiem līgumiem ir saņēmis avansa maksājumu par tādu preču piegādi, kuru ražošanas (izgatavošanas) tehnoloģiskais process ir ilgāks par sešiem mēnešiem, vai ja avansa maksājuma saņemšanas brīdī preču piegāde vai pakalpojuma sniegšana ir uzsākta.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(51.panta 5.daļa)</w:t>
            </w:r>
          </w:p>
        </w:tc>
      </w:tr>
      <w:tr w:rsidR="006D3AB5" w:rsidRPr="005B06E0" w:rsidTr="006D3AB5">
        <w:trPr>
          <w:trHeight w:val="395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39.</w:t>
            </w:r>
          </w:p>
        </w:tc>
        <w:tc>
          <w:tcPr>
            <w:tcW w:w="3866" w:type="dxa"/>
          </w:tcPr>
          <w:p w:rsidR="006D3AB5" w:rsidRPr="005B06E0" w:rsidRDefault="006D3AB5" w:rsidP="002A30A0">
            <w:pPr>
              <w:spacing w:after="60"/>
              <w:rPr>
                <w:b/>
                <w:bCs/>
                <w:sz w:val="20"/>
                <w:szCs w:val="20"/>
              </w:rPr>
            </w:pPr>
            <w:r w:rsidRPr="005B06E0">
              <w:rPr>
                <w:b/>
                <w:bCs/>
                <w:sz w:val="20"/>
                <w:szCs w:val="20"/>
              </w:rPr>
              <w:t>Nodokļa 0% likmes piemērošana preču piegādēm, ja trešās valsts vai trešās teritorijas fiziskā persona, kas nav nodokļa maksātājs Eiropas Savienības teritorijā, izved iekšzemē iegādātās preces no Eiropas Savienības teritorijas.</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Ministru kabineta noteiktajā kārtībā piemēro preču piegādēm, ja trešās valsts vai trešās teritorijas fiziskā persona, kas nav nodokļa maksātājs Eiropas Savienības teritorijā, izved iekšzemē iegādātās preces no Eiropas Savienības teritorijas.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(49.panta 1.daļa)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netieši, atmaksājot samaksāto nodokli.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(49.panta 2.daļa)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Reģistrēts nodokļa maksātājs, kas atbilst Ministru kabineta noteiktajiem kritērijiem, atmaksā trešās valsts vai trešās teritorijas fiziskajai personai, kas nav nodokļa maksātājs Eiropas Savienības teritorijā, samaksāto nodokli par iekšzemē iegādātajām precēm, ja: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preču vērtība (bez nodokļa) nav mazāka par 50 latiem;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fiziskā persona izved preces no Eiropas Savienības teritorijas.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(49.panta 3.daļa)</w:t>
            </w:r>
          </w:p>
        </w:tc>
        <w:tc>
          <w:tcPr>
            <w:tcW w:w="4140" w:type="dxa"/>
          </w:tcPr>
          <w:p w:rsidR="006D3AB5" w:rsidRPr="005B06E0" w:rsidRDefault="006D3AB5" w:rsidP="002A30A0">
            <w:pPr>
              <w:spacing w:after="60"/>
              <w:rPr>
                <w:rFonts w:eastAsia="Times New Roman"/>
                <w:sz w:val="20"/>
                <w:szCs w:val="20"/>
              </w:rPr>
            </w:pPr>
          </w:p>
        </w:tc>
      </w:tr>
      <w:tr w:rsidR="006D3AB5" w:rsidRPr="005B06E0" w:rsidTr="006D3AB5">
        <w:trPr>
          <w:trHeight w:val="44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40.</w:t>
            </w:r>
          </w:p>
        </w:tc>
        <w:tc>
          <w:tcPr>
            <w:tcW w:w="3866" w:type="dxa"/>
          </w:tcPr>
          <w:p w:rsidR="006D3AB5" w:rsidRPr="005B06E0" w:rsidRDefault="006D3AB5" w:rsidP="002A30A0">
            <w:pPr>
              <w:spacing w:after="60"/>
              <w:rPr>
                <w:sz w:val="20"/>
                <w:szCs w:val="20"/>
              </w:rPr>
            </w:pPr>
            <w:r w:rsidRPr="005B06E0">
              <w:rPr>
                <w:sz w:val="20"/>
                <w:szCs w:val="20"/>
              </w:rPr>
              <w:t xml:space="preserve"> </w:t>
            </w:r>
            <w:r w:rsidRPr="005B06E0">
              <w:rPr>
                <w:b/>
                <w:bCs/>
                <w:sz w:val="20"/>
                <w:szCs w:val="20"/>
              </w:rPr>
              <w:t>Nodokļa 0% likmes piemērošana preču piegādēm un pakalpojumiem, kas sniegti diplomātiskajām un konsulārajām pārstāvniecībām, starptautiskajām organizācijām, Eiropas Savienības institūcijām un Ziemeļatlantijas līguma organizācijai (NATO).</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netieši, atmaksājot samaksāto nodokli, preču piegādēm un pakalpojumiem, kas iekšzemē sniegti Latvijas Republikā reģistrētām: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trešo valstu diplomātiskajām un konsulārajām pārstāvniecībām, to diplomātiskajiem un konsulārajiem aģentiem, administratīvi tehniskajam personālam, kā arī minēto personu ģimenes locekļiem, — ievērojot paritātes principu;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citu dalībvalstu diplomātiskajām un konsulārajām pārstāvniecībām, to diplomātiskajiem un konsulārajiem aģentiem, administratīvi tehniskajam personālam, kā arī minēto personu ģimenes locekļiem;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3) Eiropas Savienības institūcijām vai to pārstāvniecībām un ar tām saistītajām personām vai ar Eiropas Savienības tiesību aktiem izveidotajām struktūrām, kurām piemēro 1965.gada 8.aprīļa Protokolu par privilēģijām un imunitāti Eiropas Savienībā, — saskaņā ar ierobežojumiem un nosacījumiem, kas paredzēti minētajā protokolā un tā īstenošanas līgumos vai mītnes līgumos;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4) starptautiskajām struktūrām, kuras nav minētas šā panta pirmās daļas 3.punktā un kuras par tādām atzinušas Latvijas Republikas kompetentās iestādes, un šādu struktūru dalībniekiem, — saskaņā ar ierobežojumiem un nosacījumiem, kas paredzēti starptautiskajās konvencijās, ar kurām šīs struktūras izveidotas, vai mītnes līgumos;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5) starptautiskajām organizācijām vai to pārstāvniecībām un šādu organizāciju vai to pārstāvniecību darbiniekiem, kuriem Latvijas Republikas teritorijā ir diplomātiskais statuss, — saskaņā ar ierobežojumiem un nosacījumiem, kas paredzēti starptautiskajās konvencijās, ar kurām šīs organizācijas izveidotas, vai mītnes līgumos.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(50.panta 1.daļa)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netieši, atmaksājot samaksāto nodokli, preču piegādēm un pakalpojumiem, kas iekšzemē sniegti Ziemeļatlantijas līguma organizācijas (NATO) dalībvalstu bruņoto spēku vienībām, kuras uzturas Latvijas Republikas teritorijā (izņemot Latvijas Republikas Nacionālos bruņotos spēkus), tai skaitā pavadošā civilā personāla vajadzībām un šo bruņoto spēku vienību virtuves vai ēdnīcas apgādei. </w:t>
            </w:r>
          </w:p>
          <w:p w:rsidR="006D3AB5" w:rsidRPr="005B06E0" w:rsidRDefault="006D3AB5" w:rsidP="002A30A0">
            <w:pPr>
              <w:spacing w:after="60"/>
              <w:rPr>
                <w:sz w:val="20"/>
                <w:szCs w:val="20"/>
              </w:rPr>
            </w:pPr>
            <w:r w:rsidRPr="005B06E0">
              <w:rPr>
                <w:sz w:val="20"/>
                <w:szCs w:val="20"/>
              </w:rPr>
              <w:t>(50.panta 2.daļa)</w:t>
            </w:r>
          </w:p>
          <w:p w:rsidR="006D3AB5" w:rsidRPr="005B06E0" w:rsidRDefault="006D3AB5" w:rsidP="002A30A0">
            <w:pPr>
              <w:pStyle w:val="tv2131"/>
              <w:spacing w:before="0" w:after="60" w:line="276" w:lineRule="auto"/>
              <w:ind w:firstLine="0"/>
              <w:rPr>
                <w:rFonts w:ascii="Calibri" w:eastAsia="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tieši, pamatojoties uz attiecīgās dalībvalsts kompetentās iestādes apstiprinātu sertifikātu, preču piegādēm un pakalpojumiem, kas iekšzemē sniegti: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Ziemeļatlantijas līguma organizācijas (NATO) struktūrvienībām saskaņā ar noslēgto starptautisko līgumu, ja par piegādātajām precēm un sniegtajiem pakalpojumiem samaksāts no Ziemeļatlantijas līguma organizācijas (NATO) līdzekļiem;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Ziemeļatlantijas līguma organizācijas (NATO) dalībvalstu bruņoto spēku vienībām, kas ierodas uz kopējo NATO dalībvalstu aizsardzības pasākumu Latvijas Republikas teritorijā, tai skaitā pavadošā civilā personāla vajadzībām un šo bruņoto spēku vienību virtuves un ēdnīcas apgādei. </w:t>
            </w:r>
          </w:p>
          <w:p w:rsidR="006D3AB5" w:rsidRPr="005B06E0" w:rsidRDefault="006D3AB5" w:rsidP="002A30A0">
            <w:pPr>
              <w:spacing w:after="60"/>
              <w:rPr>
                <w:sz w:val="20"/>
                <w:szCs w:val="20"/>
              </w:rPr>
            </w:pPr>
            <w:r w:rsidRPr="005B06E0">
              <w:rPr>
                <w:sz w:val="20"/>
                <w:szCs w:val="20"/>
              </w:rPr>
              <w:t>(50.panta 5.daļa)</w:t>
            </w:r>
          </w:p>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 xml:space="preserve">Nodokļa 0% likmi piemēro tieši, pamatojoties uz Latvijas Republikas kompetento iestāžu apstiprināto sertifikātu, preču piegādēm un pakalpojumiem, kas iekšzemē sniegti Latvijas Republikā reģistrētām diplomātiskajām un konsulārajām pārstāvniecībām vai Eiropas Savienības institūcijām vai to pārstāvniecībām, vai saskaņā ar Eiropas Savienības tiesību aktiem izveidotajām struktūrām, kurām piemēro 1965.gada 8.aprīļa Protokolu par privilēģijām un imunitāti Eiropas Savienībā, vai starptautiskajām struktūrām, kuras nav minētas šā panta pirmās daļas 3.punktā un kuras par tādām atzinušas Latvijas Republikas kompetentās iestādes, un šādu struktūru dalībniekiem, vai starptautiskajām organizācijām, vai to pārstāvniecībām, vai Ziemeļatlantijas līguma organizācijas (NATO) dalībvalstu bruņoto spēku vienībām, kas uzturas Latvijas Republikas teritorijā (izņemot Latvijas Republikas Nacionālos bruņotos spēkus), ja: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1) šīs personas iekšzemē būvē nekustamo īpašumu oficiālajām vajadzībām, — sertifikātā norādīto šā nekustamā īpašuma būvniecībai paredzēto preču iegādei un pakalpojumu saņemšanai būvniecības projekta izpildes laikā;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2) šīs personas vai ar tām saistītās personas iegādājas akcīzes preces no akcīzes preču noliktavas iekšzemē, — sertifikātā norādīto akcīzes preču iegādei.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(50.panta 6.daļa)</w:t>
            </w:r>
          </w:p>
          <w:p w:rsidR="006D3AB5" w:rsidRPr="005B06E0" w:rsidRDefault="006D3AB5" w:rsidP="002A30A0">
            <w:pPr>
              <w:pStyle w:val="tv2131"/>
              <w:spacing w:before="0" w:after="60" w:line="276" w:lineRule="auto"/>
              <w:ind w:firstLine="0"/>
              <w:rPr>
                <w:rFonts w:ascii="Calibri" w:hAnsi="Calibri"/>
                <w:sz w:val="20"/>
                <w:szCs w:val="20"/>
                <w:lang w:val="lv-LV"/>
              </w:rPr>
            </w:pP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Nodokļa 0% likmi piemēro tieši, pamatojoties uz Latvijas Republikas kompetento iestāžu apstiprināto sertifikātu, preču piegādēm un pakalpojumiem, kas iekšzemē sniegti šā panta 5.daļā minētajām personām, kuras ierodas Latvijas Republikā no valsts, kurā nevar tikt noformēts sertifikāts, — sertifikātā norādīto preču iegādei un pakalpojumu saņemšanai.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(50.panta 7.daļa)</w:t>
            </w:r>
          </w:p>
        </w:tc>
        <w:tc>
          <w:tcPr>
            <w:tcW w:w="4140" w:type="dxa"/>
          </w:tcPr>
          <w:p w:rsidR="006D3AB5" w:rsidRPr="005B06E0" w:rsidRDefault="006D3AB5" w:rsidP="002A30A0">
            <w:pPr>
              <w:spacing w:after="60"/>
              <w:rPr>
                <w:rFonts w:eastAsia="Times New Roman"/>
                <w:sz w:val="20"/>
                <w:szCs w:val="20"/>
              </w:rPr>
            </w:pPr>
          </w:p>
        </w:tc>
      </w:tr>
      <w:tr w:rsidR="006D3AB5" w:rsidRPr="005B06E0" w:rsidTr="006D3AB5">
        <w:trPr>
          <w:trHeight w:val="70"/>
        </w:trPr>
        <w:tc>
          <w:tcPr>
            <w:tcW w:w="562"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41.</w:t>
            </w:r>
          </w:p>
        </w:tc>
        <w:tc>
          <w:tcPr>
            <w:tcW w:w="3866" w:type="dxa"/>
          </w:tcPr>
          <w:p w:rsidR="006D3AB5" w:rsidRPr="005B06E0" w:rsidRDefault="006D3AB5" w:rsidP="002A30A0">
            <w:pPr>
              <w:spacing w:after="60"/>
              <w:rPr>
                <w:b/>
                <w:sz w:val="20"/>
                <w:szCs w:val="20"/>
              </w:rPr>
            </w:pPr>
            <w:r w:rsidRPr="005B06E0">
              <w:rPr>
                <w:b/>
                <w:sz w:val="20"/>
                <w:szCs w:val="20"/>
              </w:rPr>
              <w:t>Atbrīvojums no nodokļa.</w:t>
            </w:r>
          </w:p>
          <w:p w:rsidR="006D3AB5" w:rsidRPr="005B06E0" w:rsidRDefault="006D3AB5" w:rsidP="002A30A0">
            <w:pPr>
              <w:spacing w:after="60"/>
              <w:rPr>
                <w:sz w:val="20"/>
                <w:szCs w:val="20"/>
              </w:rPr>
            </w:pPr>
            <w:r w:rsidRPr="005B06E0">
              <w:rPr>
                <w:sz w:val="20"/>
                <w:szCs w:val="20"/>
              </w:rPr>
              <w:t>Dažādas preču piegādes un pakalpojumi, kā arī preču imports.</w:t>
            </w:r>
          </w:p>
        </w:tc>
        <w:tc>
          <w:tcPr>
            <w:tcW w:w="4140" w:type="dxa"/>
          </w:tcPr>
          <w:p w:rsidR="006D3AB5" w:rsidRPr="005B06E0" w:rsidRDefault="006D3AB5" w:rsidP="002A30A0">
            <w:pPr>
              <w:spacing w:after="60"/>
              <w:rPr>
                <w:rFonts w:eastAsia="Times New Roman"/>
                <w:sz w:val="20"/>
                <w:szCs w:val="20"/>
              </w:rPr>
            </w:pPr>
          </w:p>
        </w:tc>
      </w:tr>
    </w:tbl>
    <w:p w:rsidR="006D3AB5" w:rsidRPr="00DB426E" w:rsidRDefault="006D3AB5" w:rsidP="006D3AB5"/>
    <w:p w:rsidR="006D3AB5" w:rsidRPr="00DB426E" w:rsidRDefault="006D3AB5" w:rsidP="00475128">
      <w:pPr>
        <w:pStyle w:val="Heading3"/>
        <w:numPr>
          <w:ilvl w:val="2"/>
          <w:numId w:val="4"/>
        </w:numPr>
      </w:pPr>
      <w:bookmarkStart w:id="307" w:name="_Toc356472880"/>
      <w:bookmarkStart w:id="308" w:name="_Toc358978723"/>
      <w:r w:rsidRPr="00DB426E">
        <w:t>Likums „Mikrouzņēmumu nodokļa likums”</w:t>
      </w:r>
      <w:bookmarkEnd w:id="307"/>
      <w:bookmarkEnd w:id="308"/>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870"/>
        <w:gridCol w:w="4140"/>
      </w:tblGrid>
      <w:tr w:rsidR="006D3AB5" w:rsidRPr="005B06E0" w:rsidTr="00475128">
        <w:tc>
          <w:tcPr>
            <w:tcW w:w="558" w:type="dxa"/>
            <w:shd w:val="clear" w:color="auto" w:fill="F2F2F2"/>
            <w:vAlign w:val="center"/>
          </w:tcPr>
          <w:p w:rsidR="006D3AB5" w:rsidRPr="005B06E0" w:rsidRDefault="006D3AB5" w:rsidP="002A30A0">
            <w:pPr>
              <w:spacing w:after="60"/>
              <w:jc w:val="center"/>
              <w:rPr>
                <w:b/>
                <w:sz w:val="20"/>
                <w:szCs w:val="20"/>
              </w:rPr>
            </w:pPr>
            <w:proofErr w:type="spellStart"/>
            <w:r w:rsidRPr="005B06E0">
              <w:rPr>
                <w:b/>
                <w:sz w:val="20"/>
                <w:szCs w:val="20"/>
              </w:rPr>
              <w:t>Nr.p.k</w:t>
            </w:r>
            <w:proofErr w:type="spellEnd"/>
            <w:r w:rsidRPr="005B06E0">
              <w:rPr>
                <w:b/>
                <w:sz w:val="20"/>
                <w:szCs w:val="20"/>
              </w:rPr>
              <w:t>.</w:t>
            </w:r>
          </w:p>
        </w:tc>
        <w:tc>
          <w:tcPr>
            <w:tcW w:w="387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apraksts</w:t>
            </w:r>
          </w:p>
        </w:tc>
        <w:tc>
          <w:tcPr>
            <w:tcW w:w="414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piemērošanas ierobežojumi</w:t>
            </w:r>
          </w:p>
        </w:tc>
      </w:tr>
      <w:tr w:rsidR="006D3AB5" w:rsidRPr="005B06E0" w:rsidTr="006D3AB5">
        <w:trPr>
          <w:trHeight w:val="1700"/>
        </w:trPr>
        <w:tc>
          <w:tcPr>
            <w:tcW w:w="558"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42.</w:t>
            </w:r>
          </w:p>
        </w:tc>
        <w:tc>
          <w:tcPr>
            <w:tcW w:w="3870" w:type="dxa"/>
          </w:tcPr>
          <w:p w:rsidR="006D3AB5" w:rsidRPr="005B06E0" w:rsidRDefault="006D3AB5" w:rsidP="002A30A0">
            <w:pPr>
              <w:spacing w:after="60"/>
              <w:rPr>
                <w:rFonts w:eastAsia="Times New Roman"/>
                <w:b/>
                <w:sz w:val="20"/>
                <w:szCs w:val="20"/>
              </w:rPr>
            </w:pPr>
            <w:r w:rsidRPr="005B06E0">
              <w:rPr>
                <w:rFonts w:eastAsia="Times New Roman"/>
                <w:b/>
                <w:sz w:val="20"/>
                <w:szCs w:val="20"/>
              </w:rPr>
              <w:t>Mikrouzņēmumu nodoklis 9% apmērā no apgrozījuma.</w:t>
            </w:r>
          </w:p>
          <w:p w:rsidR="006D3AB5" w:rsidRPr="005B06E0" w:rsidRDefault="006D3AB5" w:rsidP="002A30A0">
            <w:pPr>
              <w:spacing w:after="60"/>
              <w:rPr>
                <w:rFonts w:eastAsia="Times New Roman"/>
                <w:sz w:val="20"/>
                <w:szCs w:val="20"/>
              </w:rPr>
            </w:pPr>
            <w:r w:rsidRPr="005B06E0">
              <w:rPr>
                <w:rFonts w:eastAsia="Times New Roman"/>
                <w:sz w:val="20"/>
                <w:szCs w:val="20"/>
              </w:rPr>
              <w:t>Pieejams uzņēmumiem, kas atbilst mikrouzņēmumu statusam:</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bCs/>
                <w:sz w:val="20"/>
                <w:szCs w:val="20"/>
                <w:lang w:val="lv-LV"/>
              </w:rPr>
              <w:t>Mikrouzņēmums</w:t>
            </w:r>
            <w:r w:rsidRPr="005B06E0">
              <w:rPr>
                <w:rFonts w:ascii="Calibri" w:hAnsi="Calibri"/>
                <w:sz w:val="20"/>
                <w:szCs w:val="20"/>
                <w:lang w:val="lv-LV"/>
              </w:rPr>
              <w:t xml:space="preserve"> — individuālais komersants, individuālais uzņēmums, zemnieka vai zvejnieka saimniecība, kā arī fiziskā persona, kas reģistrēta Valsts ieņēmumu dienestā kā saimnieciskās darbības veicējs, vai sabiedrība ar ierobežotu atbildību, ja tie atbilst visiem turpmāk šajā punktā minētajiem kritērijiem: </w:t>
            </w:r>
          </w:p>
          <w:p w:rsidR="006D3AB5" w:rsidRPr="005B06E0" w:rsidRDefault="006D3AB5" w:rsidP="002A30A0">
            <w:pPr>
              <w:pStyle w:val="tv2131"/>
              <w:spacing w:before="0" w:after="60" w:line="276" w:lineRule="auto"/>
              <w:rPr>
                <w:rFonts w:ascii="Calibri" w:hAnsi="Calibri"/>
                <w:sz w:val="20"/>
                <w:szCs w:val="20"/>
                <w:lang w:val="lv-LV"/>
              </w:rPr>
            </w:pPr>
            <w:r w:rsidRPr="005B06E0">
              <w:rPr>
                <w:rFonts w:ascii="Calibri" w:hAnsi="Calibri"/>
                <w:sz w:val="20"/>
                <w:szCs w:val="20"/>
                <w:lang w:val="lv-LV"/>
              </w:rPr>
              <w:t xml:space="preserve">a) dalībnieki (ja tādi ir) ir fiziskās personas, </w:t>
            </w:r>
          </w:p>
          <w:p w:rsidR="006D3AB5" w:rsidRPr="005B06E0" w:rsidRDefault="006D3AB5" w:rsidP="002A30A0">
            <w:pPr>
              <w:pStyle w:val="tv2131"/>
              <w:spacing w:before="0" w:after="60" w:line="276" w:lineRule="auto"/>
              <w:rPr>
                <w:rFonts w:ascii="Calibri" w:hAnsi="Calibri"/>
                <w:sz w:val="20"/>
                <w:szCs w:val="20"/>
                <w:lang w:val="lv-LV"/>
              </w:rPr>
            </w:pPr>
            <w:r w:rsidRPr="005B06E0">
              <w:rPr>
                <w:rFonts w:ascii="Calibri" w:hAnsi="Calibri"/>
                <w:sz w:val="20"/>
                <w:szCs w:val="20"/>
                <w:lang w:val="lv-LV"/>
              </w:rPr>
              <w:t xml:space="preserve">b) apgrozījums kalendāra gadā nepārsniedz 70 000 latu, </w:t>
            </w:r>
          </w:p>
          <w:p w:rsidR="006D3AB5" w:rsidRPr="005B06E0" w:rsidRDefault="006D3AB5" w:rsidP="002A30A0">
            <w:pPr>
              <w:pStyle w:val="tv2131"/>
              <w:spacing w:before="0" w:after="60" w:line="276" w:lineRule="auto"/>
              <w:rPr>
                <w:rFonts w:ascii="Calibri" w:hAnsi="Calibri"/>
                <w:sz w:val="20"/>
                <w:szCs w:val="20"/>
                <w:lang w:val="lv-LV"/>
              </w:rPr>
            </w:pPr>
            <w:r w:rsidRPr="005B06E0">
              <w:rPr>
                <w:rFonts w:ascii="Calibri" w:hAnsi="Calibri"/>
                <w:sz w:val="20"/>
                <w:szCs w:val="20"/>
                <w:lang w:val="lv-LV"/>
              </w:rPr>
              <w:t xml:space="preserve">c) darbinieku skaits nevienā brīdī nav lielāks par pieciem. </w:t>
            </w:r>
          </w:p>
          <w:p w:rsidR="006D3AB5" w:rsidRPr="005B06E0" w:rsidRDefault="006D3AB5" w:rsidP="002A30A0">
            <w:pPr>
              <w:pStyle w:val="tv2131"/>
              <w:spacing w:before="0" w:after="60" w:line="276" w:lineRule="auto"/>
              <w:rPr>
                <w:rFonts w:ascii="Calibri" w:hAnsi="Calibri"/>
                <w:sz w:val="20"/>
                <w:szCs w:val="20"/>
                <w:lang w:val="lv-LV"/>
              </w:rPr>
            </w:pPr>
            <w:r w:rsidRPr="005B06E0">
              <w:rPr>
                <w:rFonts w:ascii="Calibri" w:hAnsi="Calibri"/>
                <w:sz w:val="20"/>
                <w:szCs w:val="20"/>
                <w:lang w:val="lv-LV"/>
              </w:rPr>
              <w:t>d) sabiedrības ar ierobežotu atbildību valdes locekļi ir tikai mikrouzņēmuma darbinieki.</w:t>
            </w:r>
          </w:p>
          <w:p w:rsidR="006D3AB5" w:rsidRPr="005B06E0" w:rsidRDefault="006D3AB5" w:rsidP="002A30A0">
            <w:pPr>
              <w:pStyle w:val="tv2131"/>
              <w:spacing w:before="0" w:after="60" w:line="276" w:lineRule="auto"/>
              <w:rPr>
                <w:rFonts w:ascii="Calibri" w:hAnsi="Calibri"/>
                <w:sz w:val="20"/>
                <w:szCs w:val="20"/>
                <w:lang w:val="lv-LV"/>
              </w:rPr>
            </w:pPr>
            <w:r w:rsidRPr="005B06E0">
              <w:rPr>
                <w:rFonts w:ascii="Calibri" w:hAnsi="Calibri"/>
                <w:sz w:val="20"/>
                <w:szCs w:val="20"/>
                <w:lang w:val="lv-LV"/>
              </w:rPr>
              <w:t>(1.panta 1.punkts)</w:t>
            </w:r>
          </w:p>
          <w:p w:rsidR="006D3AB5" w:rsidRPr="005B06E0" w:rsidRDefault="006D3AB5" w:rsidP="002A30A0">
            <w:pPr>
              <w:pStyle w:val="tv2131"/>
              <w:spacing w:before="0" w:after="60" w:line="276" w:lineRule="auto"/>
              <w:rPr>
                <w:rFonts w:ascii="Calibri" w:hAnsi="Calibri"/>
                <w:sz w:val="20"/>
                <w:szCs w:val="20"/>
                <w:lang w:val="lv-LV"/>
              </w:rPr>
            </w:pPr>
          </w:p>
          <w:p w:rsidR="006D3AB5" w:rsidRPr="005B06E0" w:rsidRDefault="006D3AB5" w:rsidP="002A30A0">
            <w:pPr>
              <w:pStyle w:val="tv2131"/>
              <w:spacing w:before="0" w:after="60" w:line="276" w:lineRule="auto"/>
              <w:ind w:hanging="18"/>
              <w:rPr>
                <w:rFonts w:ascii="Calibri" w:hAnsi="Calibri"/>
                <w:sz w:val="20"/>
                <w:szCs w:val="20"/>
                <w:lang w:val="lv-LV"/>
              </w:rPr>
            </w:pPr>
            <w:r w:rsidRPr="005B06E0">
              <w:rPr>
                <w:rFonts w:ascii="Calibri" w:hAnsi="Calibri"/>
                <w:sz w:val="20"/>
                <w:szCs w:val="20"/>
                <w:lang w:val="lv-LV"/>
              </w:rPr>
              <w:t>Mikrouzņēmumu nodoklis ietver:</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 xml:space="preserve">a) valsts sociālās apdrošināšanas obligātās iemaksas, iedzīvotāju ienākuma nodokli un uzņēmējdarbības riska valsts nodevu par mikrouzņēmuma darbiniekiem, </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 xml:space="preserve">b) uzņēmumu ienākuma nodokli, ja mikrouzņēmums atbilst uzņēmumu ienākuma nodokļa maksātāja pazīmēm, </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c) mikrouzņēmuma īpašnieka iedzīvotāju ienākuma nodokli par mikrouzņēmuma saimnieciskās darbības ieņēmumu daļu.</w:t>
            </w:r>
          </w:p>
          <w:p w:rsidR="006D3AB5" w:rsidRPr="005B06E0" w:rsidRDefault="006D3AB5" w:rsidP="002A30A0">
            <w:pPr>
              <w:pStyle w:val="tv2131"/>
              <w:spacing w:before="0" w:after="60" w:line="276" w:lineRule="auto"/>
              <w:ind w:hanging="18"/>
              <w:rPr>
                <w:rFonts w:ascii="Calibri" w:hAnsi="Calibri"/>
                <w:sz w:val="20"/>
                <w:szCs w:val="20"/>
                <w:lang w:val="lv-LV"/>
              </w:rPr>
            </w:pPr>
            <w:r w:rsidRPr="005B06E0">
              <w:rPr>
                <w:rFonts w:ascii="Calibri" w:hAnsi="Calibri"/>
                <w:sz w:val="20"/>
                <w:szCs w:val="20"/>
                <w:lang w:val="lv-LV"/>
              </w:rPr>
              <w:t>(1.panta 4.punkts)</w:t>
            </w:r>
          </w:p>
        </w:tc>
        <w:tc>
          <w:tcPr>
            <w:tcW w:w="4140" w:type="dxa"/>
          </w:tcPr>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Mikrouzņēmums ir tiesīgs izvēlēties maksāt mikrouzņēmumu nodokli, ja mikrouzņēmuma darbinieka ienākums no mikrouzņēmumu nodokli maksājošā mikrouzņēmuma nepārsniedz 500 latu mēnesī.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(2.panta 4.daļa)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 xml:space="preserve">Mikrouzņēmums ir tiesīgs iegūt mikrouzņēmumu nodokļa maksātāja statusu, ja ir rakstveidā vienojies ar visiem mikrouzņēmuma darbiniekiem par mikrouzņēmumu nodokļa piemērošanu. Šo vienošanos kā atsevišķu noteikumu var ietvert darba līgumā. </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(2.panta 5.daļa)</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Mikrouzņēmumu nodokļa maksātājs, kurš ir pārtraucis saimniecisko darbību un mikrouzņēmumu nodokļa maksāšanu taksācijas periodā, nevar atkārtoti izvēlēties maksāt mikrouzņēmumu nodokli tajā pašā taksācijas periodā un pēctaksācijas periodā.</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(2.panta 6.daļa)</w:t>
            </w:r>
          </w:p>
          <w:p w:rsidR="006D3AB5" w:rsidRPr="005B06E0" w:rsidRDefault="006D3AB5" w:rsidP="002A30A0">
            <w:pPr>
              <w:spacing w:after="60"/>
              <w:rPr>
                <w:rFonts w:eastAsia="Times New Roman"/>
                <w:sz w:val="20"/>
                <w:szCs w:val="20"/>
              </w:rPr>
            </w:pPr>
          </w:p>
        </w:tc>
      </w:tr>
    </w:tbl>
    <w:p w:rsidR="006D3AB5" w:rsidRPr="00DB426E" w:rsidRDefault="006D3AB5" w:rsidP="006D3AB5"/>
    <w:p w:rsidR="006D3AB5" w:rsidRPr="00DB426E" w:rsidRDefault="006D3AB5" w:rsidP="00475128">
      <w:pPr>
        <w:pStyle w:val="Heading3"/>
        <w:numPr>
          <w:ilvl w:val="2"/>
          <w:numId w:val="4"/>
        </w:numPr>
      </w:pPr>
      <w:bookmarkStart w:id="309" w:name="_Toc356472881"/>
      <w:bookmarkStart w:id="310" w:name="_Toc358978724"/>
      <w:r w:rsidRPr="00DB426E">
        <w:t>MK noteikumi Nr. 178 „Kārtība, kādā piemērojami starptautiskajos līgumos par nodokļu dubultās uzlikšanas un nodokļu nemaksāšanas novēršanu noteiktie nodokļu atvieglojumi”</w:t>
      </w:r>
      <w:bookmarkEnd w:id="309"/>
      <w:bookmarkEnd w:id="310"/>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870"/>
        <w:gridCol w:w="4140"/>
      </w:tblGrid>
      <w:tr w:rsidR="006D3AB5" w:rsidRPr="00DB426E" w:rsidTr="006D3AB5">
        <w:tc>
          <w:tcPr>
            <w:tcW w:w="558" w:type="dxa"/>
            <w:vAlign w:val="center"/>
          </w:tcPr>
          <w:p w:rsidR="006D3AB5" w:rsidRPr="00DB426E" w:rsidRDefault="006D3AB5" w:rsidP="002A30A0">
            <w:pPr>
              <w:spacing w:after="60"/>
              <w:jc w:val="center"/>
            </w:pPr>
            <w:proofErr w:type="spellStart"/>
            <w:r w:rsidRPr="00DB426E">
              <w:t>Nr.p.k</w:t>
            </w:r>
            <w:proofErr w:type="spellEnd"/>
            <w:r w:rsidRPr="00DB426E">
              <w:t>.</w:t>
            </w:r>
          </w:p>
        </w:tc>
        <w:tc>
          <w:tcPr>
            <w:tcW w:w="3870" w:type="dxa"/>
            <w:vAlign w:val="center"/>
          </w:tcPr>
          <w:p w:rsidR="006D3AB5" w:rsidRPr="00DB426E" w:rsidRDefault="006D3AB5" w:rsidP="002A30A0">
            <w:pPr>
              <w:spacing w:after="60"/>
              <w:jc w:val="center"/>
            </w:pPr>
            <w:r w:rsidRPr="00DB426E">
              <w:t>Atvieglojuma apraksts</w:t>
            </w:r>
          </w:p>
        </w:tc>
        <w:tc>
          <w:tcPr>
            <w:tcW w:w="4140" w:type="dxa"/>
            <w:vAlign w:val="center"/>
          </w:tcPr>
          <w:p w:rsidR="006D3AB5" w:rsidRPr="00DB426E" w:rsidRDefault="006D3AB5" w:rsidP="002A30A0">
            <w:pPr>
              <w:spacing w:after="60"/>
              <w:jc w:val="center"/>
            </w:pPr>
            <w:r w:rsidRPr="00DB426E">
              <w:t>Atvieglojuma piemērošanas ierobežojumi</w:t>
            </w:r>
          </w:p>
        </w:tc>
      </w:tr>
      <w:tr w:rsidR="006D3AB5" w:rsidRPr="00DB426E" w:rsidTr="006D3AB5">
        <w:trPr>
          <w:trHeight w:val="440"/>
        </w:trPr>
        <w:tc>
          <w:tcPr>
            <w:tcW w:w="558" w:type="dxa"/>
          </w:tcPr>
          <w:p w:rsidR="006D3AB5" w:rsidRPr="00DB426E" w:rsidRDefault="006D3AB5" w:rsidP="002A30A0">
            <w:pPr>
              <w:spacing w:after="60"/>
            </w:pPr>
          </w:p>
          <w:p w:rsidR="006D3AB5" w:rsidRPr="00DB426E" w:rsidRDefault="006D3AB5" w:rsidP="002A30A0">
            <w:pPr>
              <w:spacing w:after="60"/>
            </w:pPr>
            <w:r w:rsidRPr="00DB426E">
              <w:t>43.</w:t>
            </w:r>
          </w:p>
        </w:tc>
        <w:tc>
          <w:tcPr>
            <w:tcW w:w="3870" w:type="dxa"/>
          </w:tcPr>
          <w:p w:rsidR="006D3AB5" w:rsidRPr="00DB426E" w:rsidRDefault="006D3AB5" w:rsidP="002A30A0">
            <w:pPr>
              <w:spacing w:after="60"/>
              <w:rPr>
                <w:rFonts w:eastAsia="Times New Roman"/>
                <w:b/>
              </w:rPr>
            </w:pPr>
            <w:r w:rsidRPr="00DB426E">
              <w:rPr>
                <w:rFonts w:eastAsia="Times New Roman"/>
                <w:b/>
              </w:rPr>
              <w:t>Nodokļu līgumi paredz samazinātas likmes vai atbrīvojumu no aplikšanas ar nodokļiem dažādu ienākuma veidu maksājumiem otras līgumslēdzējas valsts rezidentiem.</w:t>
            </w:r>
          </w:p>
          <w:p w:rsidR="006D3AB5" w:rsidRPr="00DB426E" w:rsidRDefault="006D3AB5" w:rsidP="002A30A0">
            <w:pPr>
              <w:spacing w:after="60"/>
            </w:pPr>
            <w:r w:rsidRPr="00DB426E">
              <w:rPr>
                <w:rFonts w:eastAsia="Times New Roman"/>
              </w:rPr>
              <w:t xml:space="preserve">MK noteikumi Nr. 178 piemērojami, ja nodokļu līgumos noteiktā nodokļu </w:t>
            </w:r>
            <w:r w:rsidRPr="00DB426E">
              <w:t>maksāšanas kārtība maksājumiem, kurus otras līgumslēdzējas valsts rezidentam (turpmāk — maksājumu saņēmējs) izmaksā Latvijas rezidents vai nerezidenta pastāvīgā pārstāvniecība Latvijā (turpmāk — izmaksātājs), ir citāda, nekā noteikts Latvijas Republikas likumos un citos normatīvajos aktos.</w:t>
            </w:r>
          </w:p>
          <w:p w:rsidR="006D3AB5" w:rsidRPr="00DB426E" w:rsidRDefault="006D3AB5" w:rsidP="002A30A0">
            <w:pPr>
              <w:spacing w:after="60"/>
            </w:pPr>
            <w:r w:rsidRPr="00DB426E">
              <w:t>(2.punkts)</w:t>
            </w:r>
          </w:p>
          <w:p w:rsidR="006D3AB5" w:rsidRPr="00DB426E" w:rsidRDefault="006D3AB5" w:rsidP="002A30A0">
            <w:pPr>
              <w:spacing w:after="60"/>
            </w:pPr>
            <w:r w:rsidRPr="00DB426E">
              <w:t>Lai saņemt atvieglojumus, maksājumu saņēmējs pirms maksājumu izmaksas iesniedz izmaksātājam aizpildītu noteikta parauga rezidenta apliecību-iesniegumu nodokļu atvieglojumu piemērošanai (turpmāk — atvieglojumu apliecība).</w:t>
            </w:r>
          </w:p>
          <w:p w:rsidR="006D3AB5" w:rsidRPr="00DB426E" w:rsidRDefault="006D3AB5" w:rsidP="002A30A0">
            <w:pPr>
              <w:spacing w:after="60"/>
            </w:pPr>
            <w:r w:rsidRPr="00DB426E">
              <w:t>(3.punkts)</w:t>
            </w:r>
          </w:p>
          <w:p w:rsidR="006D3AB5" w:rsidRPr="00DB426E" w:rsidRDefault="006D3AB5" w:rsidP="002A30A0">
            <w:pPr>
              <w:spacing w:after="60"/>
            </w:pPr>
            <w:r w:rsidRPr="00DB426E">
              <w:t>Atvieglojumu apliecību aizpilda četros eksemplāros. Trīs eksemplārus atdod izmaksātājam, ceturtais eksemplārs paliek maksājumu saņēmējam.</w:t>
            </w:r>
          </w:p>
          <w:p w:rsidR="006D3AB5" w:rsidRPr="00DB426E" w:rsidRDefault="006D3AB5" w:rsidP="002A30A0">
            <w:pPr>
              <w:spacing w:after="60"/>
            </w:pPr>
            <w:r w:rsidRPr="00DB426E">
              <w:t>(4.punkts)</w:t>
            </w:r>
          </w:p>
          <w:p w:rsidR="006D3AB5" w:rsidRPr="00DB426E" w:rsidRDefault="006D3AB5" w:rsidP="002A30A0">
            <w:pPr>
              <w:spacing w:after="60"/>
            </w:pPr>
            <w:r w:rsidRPr="00DB426E">
              <w:t>Izmaksātājs saņemtos atvieglojumu apliecības eksemplārus iesniedz Valsts ieņēmumu dienesta teritoriālajā iestādē pēc reģistrācijas vietas (dzīvesvietas). Valsts ieņēmumu dienesta teritoriālā iestāde izskata saņemto atvieglojumu apliecību un ne vēlāk kā 30 dienu laikā no saņemšanas to apstiprina, aizpildot visu trīs atvieglojumu apliecības eksemplāru VI daļu un divus apstiprinātās atvieglojumu apliecības eksemplārus nosūtot izmaksātājam, vai sniedz rakstisku motivētu atteikumu apstiprināt atvieglojumu apliecību. Pēc apstiprinātās atvieglojumu apliecības saņemšanas izmaksātājs nodokļus no maksājumiem ietur saskaņā ar nodokļu līgumu, piemērojot samazinātu nodokļa likmi vai atbrīvojumu.</w:t>
            </w:r>
          </w:p>
          <w:p w:rsidR="006D3AB5" w:rsidRPr="00DB426E" w:rsidRDefault="006D3AB5" w:rsidP="002A30A0">
            <w:pPr>
              <w:spacing w:after="60"/>
            </w:pPr>
            <w:r w:rsidRPr="00DB426E">
              <w:t>(5.punkts)</w:t>
            </w:r>
          </w:p>
        </w:tc>
        <w:tc>
          <w:tcPr>
            <w:tcW w:w="4140" w:type="dxa"/>
          </w:tcPr>
          <w:p w:rsidR="006D3AB5" w:rsidRPr="00DB426E" w:rsidRDefault="006D3AB5" w:rsidP="002A30A0">
            <w:pPr>
              <w:spacing w:after="60"/>
              <w:rPr>
                <w:rFonts w:eastAsia="Times New Roman"/>
              </w:rPr>
            </w:pPr>
          </w:p>
        </w:tc>
      </w:tr>
    </w:tbl>
    <w:p w:rsidR="006D3AB5" w:rsidRPr="00DB426E" w:rsidRDefault="006D3AB5" w:rsidP="006D3AB5"/>
    <w:p w:rsidR="006D3AB5" w:rsidRPr="00DB426E" w:rsidRDefault="006D3AB5" w:rsidP="00475128">
      <w:pPr>
        <w:pStyle w:val="Heading3"/>
        <w:numPr>
          <w:ilvl w:val="2"/>
          <w:numId w:val="4"/>
        </w:numPr>
      </w:pPr>
      <w:bookmarkStart w:id="311" w:name="_Toc356472882"/>
      <w:bookmarkStart w:id="312" w:name="_Toc358978725"/>
      <w:r w:rsidRPr="00DB426E">
        <w:t>Transportlīdzekļa ekspluatācijas nodokļa un uzņēmumu vieglo transportlīdzekļu nodokļa likums</w:t>
      </w:r>
      <w:bookmarkEnd w:id="311"/>
      <w:bookmarkEnd w:id="312"/>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870"/>
        <w:gridCol w:w="4140"/>
      </w:tblGrid>
      <w:tr w:rsidR="006D3AB5" w:rsidRPr="005B06E0" w:rsidTr="00475128">
        <w:tc>
          <w:tcPr>
            <w:tcW w:w="558" w:type="dxa"/>
            <w:shd w:val="clear" w:color="auto" w:fill="F2F2F2"/>
            <w:vAlign w:val="center"/>
          </w:tcPr>
          <w:p w:rsidR="006D3AB5" w:rsidRPr="005B06E0" w:rsidRDefault="006D3AB5" w:rsidP="002A30A0">
            <w:pPr>
              <w:spacing w:after="60"/>
              <w:jc w:val="center"/>
              <w:rPr>
                <w:b/>
                <w:sz w:val="20"/>
                <w:szCs w:val="20"/>
              </w:rPr>
            </w:pPr>
            <w:proofErr w:type="spellStart"/>
            <w:r w:rsidRPr="005B06E0">
              <w:rPr>
                <w:b/>
                <w:sz w:val="20"/>
                <w:szCs w:val="20"/>
              </w:rPr>
              <w:t>Nr.p.k</w:t>
            </w:r>
            <w:proofErr w:type="spellEnd"/>
            <w:r w:rsidRPr="005B06E0">
              <w:rPr>
                <w:b/>
                <w:sz w:val="20"/>
                <w:szCs w:val="20"/>
              </w:rPr>
              <w:t>.</w:t>
            </w:r>
          </w:p>
        </w:tc>
        <w:tc>
          <w:tcPr>
            <w:tcW w:w="387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apraksts</w:t>
            </w:r>
          </w:p>
        </w:tc>
        <w:tc>
          <w:tcPr>
            <w:tcW w:w="4140" w:type="dxa"/>
            <w:shd w:val="clear" w:color="auto" w:fill="F2F2F2"/>
            <w:vAlign w:val="center"/>
          </w:tcPr>
          <w:p w:rsidR="006D3AB5" w:rsidRPr="005B06E0" w:rsidRDefault="006D3AB5" w:rsidP="002A30A0">
            <w:pPr>
              <w:spacing w:after="60"/>
              <w:jc w:val="center"/>
              <w:rPr>
                <w:b/>
                <w:sz w:val="20"/>
                <w:szCs w:val="20"/>
              </w:rPr>
            </w:pPr>
            <w:r w:rsidRPr="005B06E0">
              <w:rPr>
                <w:b/>
                <w:sz w:val="20"/>
                <w:szCs w:val="20"/>
              </w:rPr>
              <w:t>Atvieglojuma piemērošanas ierobežojumi</w:t>
            </w:r>
          </w:p>
        </w:tc>
      </w:tr>
      <w:tr w:rsidR="006D3AB5" w:rsidRPr="005B06E0" w:rsidTr="006D3AB5">
        <w:trPr>
          <w:trHeight w:val="710"/>
        </w:trPr>
        <w:tc>
          <w:tcPr>
            <w:tcW w:w="558" w:type="dxa"/>
          </w:tcPr>
          <w:p w:rsidR="006D3AB5" w:rsidRPr="005B06E0" w:rsidRDefault="006D3AB5" w:rsidP="002A30A0">
            <w:pPr>
              <w:spacing w:after="60"/>
              <w:rPr>
                <w:sz w:val="20"/>
                <w:szCs w:val="20"/>
              </w:rPr>
            </w:pPr>
          </w:p>
          <w:p w:rsidR="006D3AB5" w:rsidRPr="005B06E0" w:rsidRDefault="006D3AB5" w:rsidP="002A30A0">
            <w:pPr>
              <w:spacing w:after="60"/>
              <w:rPr>
                <w:sz w:val="20"/>
                <w:szCs w:val="20"/>
              </w:rPr>
            </w:pPr>
            <w:r w:rsidRPr="005B06E0">
              <w:rPr>
                <w:sz w:val="20"/>
                <w:szCs w:val="20"/>
              </w:rPr>
              <w:t>44.</w:t>
            </w:r>
          </w:p>
        </w:tc>
        <w:tc>
          <w:tcPr>
            <w:tcW w:w="3870" w:type="dxa"/>
          </w:tcPr>
          <w:p w:rsidR="006D3AB5" w:rsidRPr="005B06E0" w:rsidRDefault="006D3AB5" w:rsidP="002A30A0">
            <w:pPr>
              <w:pStyle w:val="tv2131"/>
              <w:spacing w:before="0" w:after="60" w:line="276" w:lineRule="auto"/>
              <w:ind w:firstLine="0"/>
              <w:rPr>
                <w:rFonts w:ascii="Calibri" w:hAnsi="Calibri"/>
                <w:b/>
                <w:sz w:val="20"/>
                <w:szCs w:val="20"/>
                <w:lang w:val="lv-LV"/>
              </w:rPr>
            </w:pPr>
            <w:r w:rsidRPr="005B06E0">
              <w:rPr>
                <w:rFonts w:ascii="Calibri" w:hAnsi="Calibri"/>
                <w:b/>
                <w:sz w:val="20"/>
                <w:szCs w:val="20"/>
                <w:lang w:val="lv-LV"/>
              </w:rPr>
              <w:t>Atbrīvojums no uzņēmumu vieglo transportlīdzekļu nodokļa maksas.</w:t>
            </w:r>
          </w:p>
          <w:p w:rsidR="006D3AB5" w:rsidRPr="005B06E0" w:rsidRDefault="006D3AB5" w:rsidP="002A30A0">
            <w:pPr>
              <w:pStyle w:val="tv2131"/>
              <w:spacing w:before="0" w:after="60" w:line="276" w:lineRule="auto"/>
              <w:ind w:firstLine="0"/>
              <w:rPr>
                <w:rFonts w:ascii="Calibri" w:hAnsi="Calibri"/>
                <w:sz w:val="20"/>
                <w:szCs w:val="20"/>
                <w:lang w:val="lv-LV"/>
              </w:rPr>
            </w:pPr>
            <w:r w:rsidRPr="005B06E0">
              <w:rPr>
                <w:rFonts w:ascii="Calibri" w:hAnsi="Calibri"/>
                <w:sz w:val="20"/>
                <w:szCs w:val="20"/>
                <w:lang w:val="lv-LV"/>
              </w:rPr>
              <w:t>Uzņēmumu vieglo transportlīdzekļu nodokli nemaksā:</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1) par operatīvajiem transportlīdzekļiem;</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2) par vieglajiem taksometriem;</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3) par transportlīdzekļu ražotāja pilnvarotas personas īpašumā vai turējumā esošiem transportlīdzekļiem, kuri tiek izmantoti kā demonstrācijas transportlīdzekļi un kurus komersants vai ārvalsts komersanta filiāle deklarējusi reģistrā;</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4) ja komersantam vai ārvalsts komersanta filiālei vieglo transportlīdzekļu iznomāšanas pakalpojumi vai vieglo transportlīdzekļu iznomāšanas pakalpojumi kopā ar vieglo transportlīdzekļu tirdzniecību veido ne mazāk kā 90 procentus no kopējā apgrozījuma, par viņa īpašumā vai turējumā esošiem īstermiņa (līdz vienam gadam) iznomāšanai paredzētiem transportlīdzekļiem, kurus komersants vai ārvalsts komersanta filiāle deklarējusi reģistrā;</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5) par transportlīdzekļiem, kurus nodokļa maksātājs izmanto tikai un vienīgi savas saimnieciskās darbības vajadzībām un deklarējusi reģistrā;</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 xml:space="preserve">6) nodokļa maksātājs, ja nodokļa maksātājs apstrādā īpašumā, pastāvīgā lietošanā vai nomā esošu lauksaimniecībā izmantojamo zemi un kārtējā gada 1.janvārī ir apstiprināta vienotā platību maksājuma saņemšanai Lauku atbalsta dienestā, ievērojot šādus nosacījumus: </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a) ja šā nodokļa maksātāja īpašumā vai turējumā ir reģistrēts viens vieglais transportlīdzeklis, nodokli par to nemaksā, ja nodokļa maksātāja ieņēmumi no lauksaimnieciskās ražošanas pēdējā iesniegtajā uzņēmuma gada pārskatā vai pēdējā iesniegtajā gada ienākumu deklarācijā ir vismaz 3000 latu (neieskaitot saņemto valsts un Eiropas Savienības atbalstu lauksaimniecībai un lauku attīstībai),</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b) ja šā nodokļa maksātāja īpašumā vai turējumā ir reģistrēti vairāki vieglie transportlīdzekļi, nodokli nemaksā par vienu vieglo transportlīdzekli, ja nodokļa maksātāja ieņēmumi no lauksaimnieciskās ražošanas pēdējā iesniegtajā uzņēmuma gada pārskatā vai pēdējā iesniegtajā gada ienākumu deklarācijā ir vismaz 3000 latu (neieskaitot saņemto valsts un Eiropas Savienības atbalstu lauksaimniecībai un lauku attīstībai), un par katru nākamo vieglo transportlīdzekli uz katriem 50 000 latu ieņēmumiem no lauksaimnieciskās ražošanas pēdējā iesniegtajā uzņēmuma gada pārskatā vai pēdējā iesniegtajā gada ienākumu deklarācijā (neieskaitot saņemto valsts un Eiropas Savienības atbalstu lauksaimniecībai un lauku attīstībai);</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7) par laiku, kad transportlīdzeklis bijis atzīts par nozagtu, ko apliecina Valsts policijas izsniegti dokumenti vai informācija reģistrā par transportlīdzekļa nozagšanu vai atrašanu;</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8) par laiku, kad transportlīdzeklis normatīvajos aktos paredzētajos gadījumos bijis apķīlāts un tā izmantošana ceļu satiksmē bijusi liegta;</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9) par laiku, kad transportlīdzeklis noņemts no uzskaites atsavināšanai Latvijā vai izvešanai no Latvijas vai transportlīdzekļa reģistrācija pārtraukta uz laiku, nododot numura zīmes;</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10) par transportlīdzekli, kuram ir reģistrēts vēsturiskā spēkrata statuss;</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11) par vieglo transportlīdzekli, kuram reģistrācijas apliecībā sadaļā “Piezīmes” ir atzīme “Sporta”;</w:t>
            </w:r>
          </w:p>
          <w:p w:rsidR="006D3AB5" w:rsidRPr="005B06E0" w:rsidRDefault="006D3AB5" w:rsidP="002A30A0">
            <w:pPr>
              <w:pStyle w:val="tv2131"/>
              <w:spacing w:before="0" w:after="60" w:line="276" w:lineRule="auto"/>
              <w:ind w:firstLine="302"/>
              <w:rPr>
                <w:rFonts w:ascii="Calibri" w:hAnsi="Calibri"/>
                <w:sz w:val="20"/>
                <w:szCs w:val="20"/>
                <w:lang w:val="lv-LV"/>
              </w:rPr>
            </w:pPr>
            <w:r w:rsidRPr="005B06E0">
              <w:rPr>
                <w:rFonts w:ascii="Calibri" w:hAnsi="Calibri"/>
                <w:sz w:val="20"/>
                <w:szCs w:val="20"/>
                <w:lang w:val="lv-LV"/>
              </w:rPr>
              <w:t>12) par laiku, kad Latvijā reģistrēts transportlīdzeklis bijis izvests no Latvijas un bijis reģistrēts ārzemēs.</w:t>
            </w:r>
          </w:p>
          <w:p w:rsidR="006D3AB5" w:rsidRPr="005B06E0" w:rsidRDefault="006D3AB5" w:rsidP="002A30A0">
            <w:pPr>
              <w:spacing w:after="60"/>
              <w:rPr>
                <w:rFonts w:eastAsia="Times New Roman"/>
                <w:sz w:val="20"/>
                <w:szCs w:val="20"/>
              </w:rPr>
            </w:pPr>
            <w:r w:rsidRPr="005B06E0">
              <w:rPr>
                <w:rFonts w:eastAsia="Times New Roman"/>
                <w:sz w:val="20"/>
                <w:szCs w:val="20"/>
              </w:rPr>
              <w:t>(14.panta 1.daļa)</w:t>
            </w:r>
          </w:p>
        </w:tc>
        <w:tc>
          <w:tcPr>
            <w:tcW w:w="4140" w:type="dxa"/>
          </w:tcPr>
          <w:p w:rsidR="006D3AB5" w:rsidRPr="005B06E0" w:rsidRDefault="006D3AB5" w:rsidP="002A30A0">
            <w:pPr>
              <w:spacing w:after="60"/>
              <w:rPr>
                <w:sz w:val="20"/>
                <w:szCs w:val="20"/>
              </w:rPr>
            </w:pPr>
            <w:r w:rsidRPr="005B06E0">
              <w:rPr>
                <w:sz w:val="20"/>
                <w:szCs w:val="20"/>
              </w:rPr>
              <w:t>Nodokļa maksātājam ir tiesības vienu reizi taksācijas periodā mainīt uzņēmumu vieglo transportlīdzekļu nodokļa piemērošanas kārtību — deklarējot atbrīvojumu vai to, ka vairs nepiemēros atbrīvojumu no nodokļa maksāšanas.</w:t>
            </w:r>
          </w:p>
          <w:p w:rsidR="006D3AB5" w:rsidRPr="005B06E0" w:rsidRDefault="006D3AB5" w:rsidP="002A30A0">
            <w:pPr>
              <w:spacing w:after="60"/>
              <w:rPr>
                <w:rFonts w:eastAsia="Times New Roman"/>
                <w:sz w:val="20"/>
                <w:szCs w:val="20"/>
              </w:rPr>
            </w:pPr>
            <w:r w:rsidRPr="005B06E0">
              <w:rPr>
                <w:sz w:val="20"/>
                <w:szCs w:val="20"/>
              </w:rPr>
              <w:t>(14.panta 2.</w:t>
            </w:r>
            <w:r w:rsidRPr="005B06E0">
              <w:rPr>
                <w:sz w:val="20"/>
                <w:szCs w:val="20"/>
                <w:vertAlign w:val="superscript"/>
              </w:rPr>
              <w:t>3</w:t>
            </w:r>
            <w:r w:rsidRPr="005B06E0">
              <w:rPr>
                <w:sz w:val="20"/>
                <w:szCs w:val="20"/>
              </w:rPr>
              <w:t xml:space="preserve">daļa) </w:t>
            </w:r>
          </w:p>
        </w:tc>
      </w:tr>
    </w:tbl>
    <w:p w:rsidR="006D3AB5" w:rsidRPr="00DB426E" w:rsidRDefault="006D3AB5" w:rsidP="006D3AB5"/>
    <w:p w:rsidR="006D3AB5" w:rsidRPr="00DB426E" w:rsidRDefault="006D3AB5" w:rsidP="00475128">
      <w:pPr>
        <w:pStyle w:val="Heading3"/>
        <w:numPr>
          <w:ilvl w:val="2"/>
          <w:numId w:val="4"/>
        </w:numPr>
      </w:pPr>
      <w:bookmarkStart w:id="313" w:name="_Toc356472883"/>
      <w:bookmarkStart w:id="314" w:name="_Toc358978726"/>
      <w:r w:rsidRPr="00DB426E">
        <w:t>Likums „Par nodokļiem un nodevām”</w:t>
      </w:r>
      <w:bookmarkEnd w:id="313"/>
      <w:bookmarkEnd w:id="314"/>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870"/>
        <w:gridCol w:w="4140"/>
      </w:tblGrid>
      <w:tr w:rsidR="006D3AB5" w:rsidRPr="00475128" w:rsidTr="00475128">
        <w:tc>
          <w:tcPr>
            <w:tcW w:w="558" w:type="dxa"/>
            <w:shd w:val="clear" w:color="auto" w:fill="F2F2F2"/>
            <w:vAlign w:val="center"/>
          </w:tcPr>
          <w:p w:rsidR="006D3AB5" w:rsidRPr="00475128" w:rsidRDefault="006D3AB5" w:rsidP="002A30A0">
            <w:pPr>
              <w:spacing w:after="60"/>
              <w:jc w:val="center"/>
              <w:rPr>
                <w:b/>
                <w:sz w:val="20"/>
                <w:szCs w:val="20"/>
              </w:rPr>
            </w:pPr>
            <w:proofErr w:type="spellStart"/>
            <w:r w:rsidRPr="00475128">
              <w:rPr>
                <w:b/>
                <w:sz w:val="20"/>
                <w:szCs w:val="20"/>
              </w:rPr>
              <w:t>Nr.p.k</w:t>
            </w:r>
            <w:proofErr w:type="spellEnd"/>
            <w:r w:rsidRPr="00475128">
              <w:rPr>
                <w:b/>
                <w:sz w:val="20"/>
                <w:szCs w:val="20"/>
              </w:rPr>
              <w:t>.</w:t>
            </w:r>
          </w:p>
        </w:tc>
        <w:tc>
          <w:tcPr>
            <w:tcW w:w="3870" w:type="dxa"/>
            <w:shd w:val="clear" w:color="auto" w:fill="F2F2F2"/>
            <w:vAlign w:val="center"/>
          </w:tcPr>
          <w:p w:rsidR="006D3AB5" w:rsidRPr="00475128" w:rsidRDefault="006D3AB5" w:rsidP="002A30A0">
            <w:pPr>
              <w:spacing w:after="60"/>
              <w:jc w:val="center"/>
              <w:rPr>
                <w:b/>
                <w:sz w:val="20"/>
                <w:szCs w:val="20"/>
              </w:rPr>
            </w:pPr>
            <w:r w:rsidRPr="00475128">
              <w:rPr>
                <w:b/>
                <w:sz w:val="20"/>
                <w:szCs w:val="20"/>
              </w:rPr>
              <w:t>Atvieglojuma apraksts</w:t>
            </w:r>
          </w:p>
        </w:tc>
        <w:tc>
          <w:tcPr>
            <w:tcW w:w="4140" w:type="dxa"/>
            <w:shd w:val="clear" w:color="auto" w:fill="F2F2F2"/>
            <w:vAlign w:val="center"/>
          </w:tcPr>
          <w:p w:rsidR="006D3AB5" w:rsidRPr="00475128" w:rsidRDefault="006D3AB5" w:rsidP="002A30A0">
            <w:pPr>
              <w:spacing w:after="60"/>
              <w:jc w:val="center"/>
              <w:rPr>
                <w:b/>
                <w:sz w:val="20"/>
                <w:szCs w:val="20"/>
              </w:rPr>
            </w:pPr>
            <w:r w:rsidRPr="00475128">
              <w:rPr>
                <w:b/>
                <w:sz w:val="20"/>
                <w:szCs w:val="20"/>
              </w:rPr>
              <w:t>Atvieglojuma piemērošanas ierobežojumi</w:t>
            </w:r>
          </w:p>
        </w:tc>
      </w:tr>
      <w:tr w:rsidR="006D3AB5" w:rsidRPr="00475128" w:rsidTr="006D3AB5">
        <w:trPr>
          <w:trHeight w:val="710"/>
        </w:trPr>
        <w:tc>
          <w:tcPr>
            <w:tcW w:w="558" w:type="dxa"/>
          </w:tcPr>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45.</w:t>
            </w:r>
          </w:p>
        </w:tc>
        <w:tc>
          <w:tcPr>
            <w:tcW w:w="3870" w:type="dxa"/>
          </w:tcPr>
          <w:p w:rsidR="006D3AB5" w:rsidRPr="00475128" w:rsidRDefault="006D3AB5" w:rsidP="002A30A0">
            <w:pPr>
              <w:spacing w:after="60"/>
              <w:rPr>
                <w:b/>
                <w:bCs/>
                <w:sz w:val="20"/>
                <w:szCs w:val="20"/>
              </w:rPr>
            </w:pPr>
            <w:r w:rsidRPr="00475128">
              <w:rPr>
                <w:b/>
                <w:bCs/>
                <w:sz w:val="20"/>
                <w:szCs w:val="20"/>
              </w:rPr>
              <w:t>Nodokļu samaksas termiņu pagarināšana.</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Nodokļu administrācijai uz nodokļu maksātāja motivēta rakstveida iesnieguma pamata ir tiesības:</w:t>
            </w:r>
          </w:p>
          <w:p w:rsidR="006D3AB5" w:rsidRPr="00475128" w:rsidRDefault="006D3AB5" w:rsidP="002A30A0">
            <w:pPr>
              <w:pStyle w:val="tv2131"/>
              <w:spacing w:before="0" w:after="60" w:line="276" w:lineRule="auto"/>
              <w:ind w:firstLine="302"/>
              <w:rPr>
                <w:rFonts w:ascii="Calibri" w:hAnsi="Calibri"/>
                <w:sz w:val="20"/>
                <w:szCs w:val="20"/>
                <w:lang w:val="lv-LV"/>
              </w:rPr>
            </w:pPr>
            <w:r w:rsidRPr="00475128">
              <w:rPr>
                <w:rFonts w:ascii="Calibri" w:hAnsi="Calibri"/>
                <w:sz w:val="20"/>
                <w:szCs w:val="20"/>
                <w:lang w:val="lv-LV"/>
              </w:rPr>
              <w:t>1) sadalīt termiņos uz laiku līdz vienam gadam, skaitot no iesnieguma iesniegšanas dienas, nodokļu maksājumu samaksu. Nodokļu maksātājs motivētu iesniegumu nodokļu administrācijai iesniedz ne vēlāk kā mēnesi pēc maksājuma termiņa iestāšanās. Nodokļu administrācija rakstveidā vienojas ar nodokļu maksātāju par parāda samaksas grafiku;</w:t>
            </w:r>
          </w:p>
          <w:p w:rsidR="006D3AB5" w:rsidRPr="00475128" w:rsidRDefault="006D3AB5" w:rsidP="002A30A0">
            <w:pPr>
              <w:pStyle w:val="tv2131"/>
              <w:spacing w:before="0" w:after="60" w:line="276" w:lineRule="auto"/>
              <w:ind w:firstLine="302"/>
              <w:rPr>
                <w:rFonts w:ascii="Calibri" w:hAnsi="Calibri"/>
                <w:sz w:val="20"/>
                <w:szCs w:val="20"/>
                <w:lang w:val="lv-LV"/>
              </w:rPr>
            </w:pPr>
            <w:r w:rsidRPr="00475128">
              <w:rPr>
                <w:rFonts w:ascii="Calibri" w:hAnsi="Calibri"/>
                <w:sz w:val="20"/>
                <w:szCs w:val="20"/>
                <w:lang w:val="lv-LV"/>
              </w:rPr>
              <w:t>3) sadalīt termiņos vai atlikt uz laiku līdz vienam gadam un sešiem mēnešiem nodokļu administrācijas veiktās kontroles (pārbaudes, revīzijas) rezultātā aprēķināto nodokļu maksājumu, nokavējuma naudu un soda naudas samaksu. Nodokļu maksātājs motivētu iesniegumu nodokļu administrācijai iesniedz trīs dienas pirms maksājumu samaksas termiņa iestāšanās. Juridiskās personas, kas sastāda gada pārskatu, pievieno bilanci un peļņas vai zaudējumu aprēķinu uz iesniegšanas mēneša pirmo datumu, sagatavojot to atbilstoši attiecīgajiem gada pārskatu sagatavošanu reglamentējošajiem normatīvajiem aktiem. Ja atliekamās vai sadalāmās summas apmērs vienā nodokļu veidā pārsniedz 10 000 latu, nodokļu administrācijai attiecībā uz šo nodokli ir tiesības pieprasīt nodrošinājumu ar nodokļu maksātājam piederošo mantu vai kredītiestādes izsniegto galvojumu;</w:t>
            </w:r>
          </w:p>
          <w:p w:rsidR="006D3AB5" w:rsidRPr="00475128" w:rsidRDefault="006D3AB5" w:rsidP="002A30A0">
            <w:pPr>
              <w:pStyle w:val="tv2131"/>
              <w:spacing w:before="0" w:after="60" w:line="276" w:lineRule="auto"/>
              <w:ind w:firstLine="302"/>
              <w:rPr>
                <w:rFonts w:ascii="Calibri" w:hAnsi="Calibri"/>
                <w:sz w:val="20"/>
                <w:szCs w:val="20"/>
                <w:lang w:val="lv-LV"/>
              </w:rPr>
            </w:pPr>
            <w:r w:rsidRPr="00475128">
              <w:rPr>
                <w:rFonts w:ascii="Calibri" w:hAnsi="Calibri"/>
                <w:sz w:val="20"/>
                <w:szCs w:val="20"/>
                <w:lang w:val="lv-LV"/>
              </w:rPr>
              <w:t>4) sadalīt termiņos vai atlikt uz laiku līdz vienam gadam nokavēto nodokļu maksājumu samaksu, ja termiņa nokavējums radies nepārvaramas varas rezultātā;</w:t>
            </w:r>
          </w:p>
          <w:p w:rsidR="006D3AB5" w:rsidRPr="00475128" w:rsidRDefault="006D3AB5" w:rsidP="002A30A0">
            <w:pPr>
              <w:pStyle w:val="tv2131"/>
              <w:spacing w:before="0" w:after="60" w:line="276" w:lineRule="auto"/>
              <w:ind w:firstLine="302"/>
              <w:rPr>
                <w:rFonts w:ascii="Calibri" w:hAnsi="Calibri"/>
                <w:sz w:val="20"/>
                <w:szCs w:val="20"/>
                <w:lang w:val="lv-LV"/>
              </w:rPr>
            </w:pPr>
            <w:r w:rsidRPr="00475128">
              <w:rPr>
                <w:rFonts w:ascii="Calibri" w:hAnsi="Calibri"/>
                <w:sz w:val="20"/>
                <w:szCs w:val="20"/>
                <w:lang w:val="lv-LV"/>
              </w:rPr>
              <w:t>6) sadalīt termiņos vai atlikt uz laiku līdz pieciem gadiem iedzīvotāju ienākuma nodokļa samaksu par ienākumu, kas gūts aizdevuma (kredīta) saistību samazināšanas vai dzēšanas rezultātā. Nodokļu maksātājs motivētu iesniegumu nodokļu administrācijai iesniedz kopā ar gada ienākumu deklarāciju;</w:t>
            </w:r>
          </w:p>
          <w:p w:rsidR="006D3AB5" w:rsidRPr="00475128" w:rsidRDefault="006D3AB5" w:rsidP="002A30A0">
            <w:pPr>
              <w:pStyle w:val="tv2131"/>
              <w:spacing w:before="0" w:after="60" w:line="276" w:lineRule="auto"/>
              <w:ind w:firstLine="302"/>
              <w:rPr>
                <w:rFonts w:ascii="Calibri" w:hAnsi="Calibri"/>
                <w:sz w:val="20"/>
                <w:szCs w:val="20"/>
                <w:lang w:val="lv-LV"/>
              </w:rPr>
            </w:pPr>
            <w:r w:rsidRPr="00475128">
              <w:rPr>
                <w:rFonts w:ascii="Calibri" w:hAnsi="Calibri"/>
                <w:sz w:val="20"/>
                <w:szCs w:val="20"/>
                <w:lang w:val="lv-LV"/>
              </w:rPr>
              <w:t xml:space="preserve">7) sadalīt termiņos uz laiku līdz vienam gadam Eiropas Savienības dalībvalsts nodokļu prasījuma summas samaksu [piedzenama saskaņā ar Komisijas 2011.gada 18.novembra Īstenošanas regulas (ES) Nr. </w:t>
            </w:r>
            <w:hyperlink r:id="rId168" w:tgtFrame="_blank" w:tooltip="Atvērt regulu latviešu valodā" w:history="1">
              <w:r w:rsidRPr="00475128">
                <w:rPr>
                  <w:rStyle w:val="Hyperlink"/>
                  <w:rFonts w:ascii="Calibri" w:hAnsi="Calibri"/>
                  <w:sz w:val="20"/>
                  <w:szCs w:val="20"/>
                  <w:lang w:val="lv-LV"/>
                </w:rPr>
                <w:t>1189/2011</w:t>
              </w:r>
            </w:hyperlink>
            <w:r w:rsidRPr="00475128">
              <w:rPr>
                <w:rFonts w:ascii="Calibri" w:hAnsi="Calibri"/>
                <w:sz w:val="20"/>
                <w:szCs w:val="20"/>
                <w:lang w:val="lv-LV"/>
              </w:rPr>
              <w:t xml:space="preserve">, ar ko nosaka sīki izstrādātu kārtību, kā </w:t>
            </w:r>
            <w:r w:rsidRPr="00ED38EF">
              <w:rPr>
                <w:rFonts w:ascii="Calibri" w:hAnsi="Calibri"/>
                <w:color w:val="000000" w:themeColor="text1"/>
                <w:sz w:val="20"/>
                <w:szCs w:val="20"/>
                <w:lang w:val="lv-LV"/>
              </w:rPr>
              <w:t xml:space="preserve">īstenot atsevišķus noteikumus Padomes direktīvā </w:t>
            </w:r>
            <w:r w:rsidR="00ED38EF" w:rsidRPr="00ED38EF">
              <w:rPr>
                <w:rFonts w:ascii="Calibri" w:hAnsi="Calibri"/>
                <w:color w:val="000000" w:themeColor="text1"/>
                <w:sz w:val="20"/>
                <w:szCs w:val="20"/>
                <w:lang w:val="lv-LV"/>
              </w:rPr>
              <w:t>2010/24/ES</w:t>
            </w:r>
            <w:r w:rsidRPr="00ED38EF">
              <w:rPr>
                <w:rFonts w:ascii="Calibri" w:hAnsi="Calibri"/>
                <w:color w:val="000000" w:themeColor="text1"/>
                <w:sz w:val="20"/>
                <w:szCs w:val="20"/>
                <w:lang w:val="lv-LV"/>
              </w:rPr>
              <w:t xml:space="preserve"> par savstarpēju palīdzību prasījumu</w:t>
            </w:r>
            <w:r w:rsidRPr="00475128">
              <w:rPr>
                <w:rFonts w:ascii="Calibri" w:hAnsi="Calibri"/>
                <w:sz w:val="20"/>
                <w:szCs w:val="20"/>
                <w:lang w:val="lv-LV"/>
              </w:rPr>
              <w:t xml:space="preserve"> piedziņā saistībā ar noteiktiem maksājumiem, nodokļiem un citiem pasākumiem (turpmāk — Īstenošanas regula (ES) Nr. </w:t>
            </w:r>
            <w:r w:rsidR="00ED38EF" w:rsidRPr="00ED38EF">
              <w:rPr>
                <w:rFonts w:ascii="Calibri" w:hAnsi="Calibri"/>
                <w:sz w:val="20"/>
                <w:szCs w:val="20"/>
                <w:lang w:val="lv-LV"/>
              </w:rPr>
              <w:t>1189/2011</w:t>
            </w:r>
            <w:r w:rsidRPr="00475128">
              <w:rPr>
                <w:rFonts w:ascii="Calibri" w:hAnsi="Calibri"/>
                <w:sz w:val="20"/>
                <w:szCs w:val="20"/>
                <w:lang w:val="lv-LV"/>
              </w:rPr>
              <w:t>), II pielikumā noteikto vienoto instrumentu, kas atļauj izpildi pieprasījuma saņēmējā dalībvalstī (turpmāk — vienotais instruments, kas atļauj izpildi pieprasījuma saņēmējā dalībvalstī)], skaitot no dienas, kad Valsts ieņēmumu dienests saņēmis Eiropas Savienības dalībvalsts pieprasījuma iesniedzējas iestādes palīdzības pieprasījumu par piedziņu;</w:t>
            </w:r>
          </w:p>
          <w:p w:rsidR="006D3AB5" w:rsidRPr="00475128" w:rsidRDefault="006D3AB5" w:rsidP="002A30A0">
            <w:pPr>
              <w:pStyle w:val="tv2131"/>
              <w:spacing w:before="0" w:after="60" w:line="276" w:lineRule="auto"/>
              <w:ind w:firstLine="302"/>
              <w:rPr>
                <w:rFonts w:ascii="Calibri" w:hAnsi="Calibri"/>
                <w:sz w:val="20"/>
                <w:szCs w:val="20"/>
                <w:lang w:val="lv-LV"/>
              </w:rPr>
            </w:pPr>
            <w:r w:rsidRPr="00475128">
              <w:rPr>
                <w:rFonts w:ascii="Calibri" w:hAnsi="Calibri"/>
                <w:sz w:val="20"/>
                <w:szCs w:val="20"/>
                <w:lang w:val="lv-LV"/>
              </w:rPr>
              <w:t>8) sadalīt termiņos uz laiku līdz vienam gadam ar Valsts ieņēmumu dienesta pieņemtu lēmumu par nokavēto nodokļu maksājumu piedziņu piedzenamās ārvalsts nodokļu prasījuma summas samaksu. Šajā gadījumā termiņš skaitāms no dienas, kad Valsts ieņēmumu dienests pieņēmis lēmumu par nokavēto nodokļu maksājumu piedziņu.</w:t>
            </w:r>
          </w:p>
          <w:p w:rsidR="006D3AB5" w:rsidRPr="00475128" w:rsidRDefault="006D3AB5" w:rsidP="002A30A0">
            <w:pPr>
              <w:pStyle w:val="tv2131"/>
              <w:spacing w:before="0" w:after="60" w:line="276" w:lineRule="auto"/>
              <w:ind w:firstLine="0"/>
              <w:rPr>
                <w:rFonts w:ascii="Calibri" w:hAnsi="Calibri"/>
                <w:sz w:val="20"/>
                <w:szCs w:val="20"/>
                <w:lang w:val="lv-LV"/>
              </w:rPr>
            </w:pPr>
            <w:r w:rsidRPr="00475128">
              <w:rPr>
                <w:rFonts w:ascii="Calibri" w:hAnsi="Calibri"/>
                <w:sz w:val="20"/>
                <w:szCs w:val="20"/>
                <w:lang w:val="lv-LV"/>
              </w:rPr>
              <w:t>(24.panta 1.daļa)</w:t>
            </w:r>
          </w:p>
        </w:tc>
        <w:tc>
          <w:tcPr>
            <w:tcW w:w="4140" w:type="dxa"/>
          </w:tcPr>
          <w:p w:rsidR="006D3AB5" w:rsidRPr="00475128" w:rsidRDefault="006D3AB5" w:rsidP="002A30A0">
            <w:pPr>
              <w:spacing w:after="60"/>
              <w:rPr>
                <w:sz w:val="20"/>
                <w:szCs w:val="20"/>
              </w:rPr>
            </w:pPr>
            <w:r w:rsidRPr="00475128">
              <w:rPr>
                <w:sz w:val="20"/>
                <w:szCs w:val="20"/>
              </w:rPr>
              <w:t>Ja nodokļu maksātājs neievēro lēmumā par samaksas termiņa pagarinājuma piešķiršanu noteiktos termiņus, nodokļu administrācijai ir tiesības atcelt lēmumu par samaksas termiņa pagarināšanu.</w:t>
            </w:r>
          </w:p>
          <w:p w:rsidR="006D3AB5" w:rsidRPr="00475128" w:rsidRDefault="006D3AB5" w:rsidP="002A30A0">
            <w:pPr>
              <w:spacing w:after="60"/>
              <w:rPr>
                <w:sz w:val="20"/>
                <w:szCs w:val="20"/>
              </w:rPr>
            </w:pPr>
            <w:r w:rsidRPr="00475128">
              <w:rPr>
                <w:sz w:val="20"/>
                <w:szCs w:val="20"/>
              </w:rPr>
              <w:t>(24.panta 1.</w:t>
            </w:r>
            <w:r w:rsidRPr="00475128">
              <w:rPr>
                <w:sz w:val="20"/>
                <w:szCs w:val="20"/>
                <w:vertAlign w:val="superscript"/>
              </w:rPr>
              <w:t xml:space="preserve">2 </w:t>
            </w:r>
            <w:r w:rsidRPr="00475128">
              <w:rPr>
                <w:sz w:val="20"/>
                <w:szCs w:val="20"/>
              </w:rPr>
              <w:t>daļa)</w:t>
            </w:r>
          </w:p>
          <w:p w:rsidR="006D3AB5" w:rsidRPr="00475128" w:rsidRDefault="006D3AB5" w:rsidP="002A30A0">
            <w:pPr>
              <w:spacing w:after="60"/>
              <w:rPr>
                <w:sz w:val="20"/>
                <w:szCs w:val="20"/>
              </w:rPr>
            </w:pPr>
          </w:p>
          <w:p w:rsidR="006D3AB5" w:rsidRPr="00475128" w:rsidRDefault="006D3AB5" w:rsidP="002A30A0">
            <w:pPr>
              <w:spacing w:after="60"/>
              <w:rPr>
                <w:sz w:val="20"/>
                <w:szCs w:val="20"/>
              </w:rPr>
            </w:pPr>
            <w:r w:rsidRPr="00475128">
              <w:rPr>
                <w:sz w:val="20"/>
                <w:szCs w:val="20"/>
              </w:rPr>
              <w:t>Nodokļu administrācija šā panta pirmās daļas 1.punktā paredzēto termiņa pagarinājumu vienā nodokļu un citu budžetā ieskaitāmo maksājumu veidā vienam un tam pašam nodokļu maksātājam kalendārā gada laikā ir tiesīga piešķirt ne vairāk kā četras reizes.</w:t>
            </w:r>
          </w:p>
          <w:p w:rsidR="006D3AB5" w:rsidRPr="00475128" w:rsidRDefault="006D3AB5" w:rsidP="005B06E0">
            <w:pPr>
              <w:spacing w:after="60"/>
              <w:rPr>
                <w:rFonts w:eastAsia="Times New Roman"/>
                <w:sz w:val="20"/>
                <w:szCs w:val="20"/>
              </w:rPr>
            </w:pPr>
            <w:r w:rsidRPr="00475128">
              <w:rPr>
                <w:sz w:val="20"/>
                <w:szCs w:val="20"/>
              </w:rPr>
              <w:t>(24.panta 9.</w:t>
            </w:r>
            <w:r w:rsidRPr="00475128">
              <w:rPr>
                <w:sz w:val="20"/>
                <w:szCs w:val="20"/>
                <w:vertAlign w:val="superscript"/>
              </w:rPr>
              <w:t>1</w:t>
            </w:r>
            <w:r w:rsidRPr="00475128">
              <w:rPr>
                <w:sz w:val="20"/>
                <w:szCs w:val="20"/>
              </w:rPr>
              <w:t>daļa)</w:t>
            </w:r>
          </w:p>
        </w:tc>
      </w:tr>
    </w:tbl>
    <w:p w:rsidR="006D3AB5" w:rsidRPr="00DB426E" w:rsidRDefault="006D3AB5" w:rsidP="00475128">
      <w:pPr>
        <w:pStyle w:val="Heading3"/>
        <w:numPr>
          <w:ilvl w:val="2"/>
          <w:numId w:val="4"/>
        </w:numPr>
      </w:pPr>
      <w:bookmarkStart w:id="315" w:name="_Toc356472884"/>
      <w:bookmarkStart w:id="316" w:name="_Toc358978727"/>
      <w:r w:rsidRPr="00DB426E">
        <w:t>Likums „Par nekustamā īpašuma nodokli”</w:t>
      </w:r>
      <w:bookmarkEnd w:id="315"/>
      <w:bookmarkEnd w:id="316"/>
    </w:p>
    <w:p w:rsidR="006D3AB5" w:rsidRDefault="006D3AB5" w:rsidP="002A30A0">
      <w:r w:rsidRPr="00DB426E">
        <w:t>Nekustamā īpašuma nodokļa likmi un nodokļa atvieglojumus nosaka pašvaldības savos saistošajos noteikumos.</w:t>
      </w:r>
    </w:p>
    <w:p w:rsidR="00E76417" w:rsidRDefault="00E76417" w:rsidP="002A30A0"/>
    <w:p w:rsidR="00E76417" w:rsidRPr="00DB426E" w:rsidRDefault="00E76417" w:rsidP="00E76417">
      <w:pPr>
        <w:pStyle w:val="Heading2"/>
        <w:numPr>
          <w:ilvl w:val="1"/>
          <w:numId w:val="4"/>
        </w:numPr>
        <w:suppressAutoHyphens w:val="0"/>
        <w:spacing w:before="240" w:after="60"/>
        <w:jc w:val="both"/>
        <w:rPr>
          <w:rFonts w:cs="Calibri"/>
        </w:rPr>
      </w:pPr>
      <w:bookmarkStart w:id="317" w:name="_Toc358978728"/>
      <w:r w:rsidRPr="00DB426E">
        <w:rPr>
          <w:rFonts w:cs="Calibri"/>
        </w:rPr>
        <w:t xml:space="preserve">Citu ES dalībvalstu nodokļu atvieglojumu </w:t>
      </w:r>
      <w:r>
        <w:rPr>
          <w:rFonts w:cs="Calibri"/>
        </w:rPr>
        <w:t>izvērstā analīze</w:t>
      </w:r>
      <w:bookmarkEnd w:id="317"/>
    </w:p>
    <w:p w:rsidR="00E76417" w:rsidRPr="00DB426E" w:rsidRDefault="00E76417" w:rsidP="00E76417">
      <w:pPr>
        <w:pStyle w:val="Heading3"/>
        <w:numPr>
          <w:ilvl w:val="2"/>
          <w:numId w:val="4"/>
        </w:numPr>
      </w:pPr>
      <w:bookmarkStart w:id="318" w:name="_Toc356472829"/>
      <w:bookmarkStart w:id="319" w:name="_Toc358978729"/>
      <w:r w:rsidRPr="00DB426E">
        <w:t>Zviedrija</w:t>
      </w:r>
      <w:bookmarkEnd w:id="318"/>
      <w:bookmarkEnd w:id="319"/>
    </w:p>
    <w:p w:rsidR="00E76417" w:rsidRPr="00DB426E" w:rsidRDefault="00E76417" w:rsidP="00E76417">
      <w:pPr>
        <w:pStyle w:val="Heading4"/>
        <w:numPr>
          <w:ilvl w:val="3"/>
          <w:numId w:val="4"/>
        </w:numPr>
        <w:ind w:firstLine="270"/>
        <w:rPr>
          <w:szCs w:val="24"/>
        </w:rPr>
      </w:pPr>
      <w:bookmarkStart w:id="320" w:name="_Toc358978730"/>
      <w:r w:rsidRPr="00DB426E">
        <w:rPr>
          <w:szCs w:val="24"/>
        </w:rPr>
        <w:t>Pamatinformācija</w:t>
      </w:r>
      <w:bookmarkEnd w:id="320"/>
    </w:p>
    <w:p w:rsidR="00E76417" w:rsidRPr="00DB426E" w:rsidRDefault="00E76417" w:rsidP="00E76417">
      <w:r w:rsidRPr="00DB426E">
        <w:t xml:space="preserve">UIN likme 2013.gada 1.janvārī tika samazināta no 26.3% līdz 22%. </w:t>
      </w:r>
    </w:p>
    <w:p w:rsidR="00E76417" w:rsidRPr="00DB426E" w:rsidRDefault="00E76417" w:rsidP="00E76417">
      <w:pPr>
        <w:pStyle w:val="Heading4"/>
        <w:numPr>
          <w:ilvl w:val="3"/>
          <w:numId w:val="4"/>
        </w:numPr>
        <w:ind w:firstLine="270"/>
        <w:rPr>
          <w:szCs w:val="24"/>
        </w:rPr>
      </w:pPr>
      <w:bookmarkStart w:id="321" w:name="_Toc358978731"/>
      <w:r w:rsidRPr="00DB426E">
        <w:rPr>
          <w:szCs w:val="24"/>
        </w:rPr>
        <w:t>R&amp;D nodokļu atvieglojumi</w:t>
      </w:r>
      <w:bookmarkEnd w:id="321"/>
    </w:p>
    <w:p w:rsidR="00E76417" w:rsidRPr="00DB426E" w:rsidRDefault="00E76417" w:rsidP="00E76417">
      <w:r w:rsidRPr="00DB426E">
        <w:t xml:space="preserve">Zviedrijas normatīvie akti neparedz R&amp;D nodokļu atvieglojumus. </w:t>
      </w:r>
    </w:p>
    <w:p w:rsidR="00E76417" w:rsidRPr="00DB426E" w:rsidRDefault="00E76417" w:rsidP="00E76417">
      <w:pPr>
        <w:pStyle w:val="Heading3"/>
        <w:numPr>
          <w:ilvl w:val="2"/>
          <w:numId w:val="4"/>
        </w:numPr>
      </w:pPr>
      <w:bookmarkStart w:id="322" w:name="_Toc356472830"/>
      <w:bookmarkStart w:id="323" w:name="_Toc358978732"/>
      <w:r w:rsidRPr="00DB426E">
        <w:t>Vācija</w:t>
      </w:r>
      <w:bookmarkEnd w:id="322"/>
      <w:bookmarkEnd w:id="323"/>
    </w:p>
    <w:p w:rsidR="00E76417" w:rsidRPr="00DB426E" w:rsidRDefault="00E76417" w:rsidP="00E76417">
      <w:pPr>
        <w:pStyle w:val="Heading4"/>
        <w:numPr>
          <w:ilvl w:val="3"/>
          <w:numId w:val="4"/>
        </w:numPr>
        <w:ind w:firstLine="270"/>
        <w:rPr>
          <w:szCs w:val="24"/>
        </w:rPr>
      </w:pPr>
      <w:bookmarkStart w:id="324" w:name="_Toc358978733"/>
      <w:r w:rsidRPr="00DB426E">
        <w:rPr>
          <w:szCs w:val="24"/>
        </w:rPr>
        <w:t>Pamatinformācija</w:t>
      </w:r>
      <w:bookmarkEnd w:id="324"/>
    </w:p>
    <w:p w:rsidR="00E76417" w:rsidRPr="00DB426E" w:rsidRDefault="00E76417" w:rsidP="00E76417">
      <w:r w:rsidRPr="00DB426E">
        <w:t>UIN likme ir 15%, no kuras papildus tiek noteikta piemaksa 5.5% apmērā. Pašvaldības nosaka papildus nodokli 14% - 17% apmērā (atkarībā no pašvaldības). Tādejādi kopējā efektīvā nodokļa likme ir 30% - 33%.</w:t>
      </w:r>
    </w:p>
    <w:p w:rsidR="00E76417" w:rsidRPr="00DB426E" w:rsidRDefault="00E76417" w:rsidP="00E76417">
      <w:pPr>
        <w:pStyle w:val="Heading4"/>
        <w:numPr>
          <w:ilvl w:val="3"/>
          <w:numId w:val="4"/>
        </w:numPr>
        <w:ind w:firstLine="270"/>
        <w:rPr>
          <w:szCs w:val="24"/>
        </w:rPr>
      </w:pPr>
      <w:bookmarkStart w:id="325" w:name="_Toc358978734"/>
      <w:r w:rsidRPr="00DB426E">
        <w:rPr>
          <w:szCs w:val="24"/>
        </w:rPr>
        <w:t>R&amp;D nodokļu atvieglojumi</w:t>
      </w:r>
      <w:bookmarkEnd w:id="325"/>
    </w:p>
    <w:p w:rsidR="00E76417" w:rsidRPr="00DB426E" w:rsidRDefault="00E76417" w:rsidP="00E76417">
      <w:pPr>
        <w:ind w:firstLine="431"/>
        <w:rPr>
          <w:rFonts w:cs="Calibri"/>
        </w:rPr>
      </w:pPr>
      <w:r w:rsidRPr="00DB426E">
        <w:rPr>
          <w:rFonts w:cs="Calibri"/>
        </w:rPr>
        <w:t xml:space="preserve">Vācijas normatīvie akti neparedz R&amp;D nodokļu atvieglojumus. </w:t>
      </w:r>
    </w:p>
    <w:p w:rsidR="00E76417" w:rsidRPr="00DB426E" w:rsidRDefault="00E76417" w:rsidP="00E76417">
      <w:pPr>
        <w:pStyle w:val="Heading3"/>
        <w:numPr>
          <w:ilvl w:val="2"/>
          <w:numId w:val="4"/>
        </w:numPr>
      </w:pPr>
      <w:bookmarkStart w:id="326" w:name="_Toc356472831"/>
      <w:bookmarkStart w:id="327" w:name="_Toc358978735"/>
      <w:r w:rsidRPr="00DB426E">
        <w:t>Nīderlande</w:t>
      </w:r>
      <w:bookmarkEnd w:id="326"/>
      <w:bookmarkEnd w:id="327"/>
    </w:p>
    <w:p w:rsidR="00E76417" w:rsidRPr="00DB426E" w:rsidRDefault="00E76417" w:rsidP="00E76417">
      <w:pPr>
        <w:pStyle w:val="Heading4"/>
        <w:numPr>
          <w:ilvl w:val="3"/>
          <w:numId w:val="4"/>
        </w:numPr>
        <w:ind w:firstLine="270"/>
        <w:rPr>
          <w:szCs w:val="24"/>
        </w:rPr>
      </w:pPr>
      <w:bookmarkStart w:id="328" w:name="_Toc358978736"/>
      <w:r w:rsidRPr="00DB426E">
        <w:rPr>
          <w:szCs w:val="24"/>
        </w:rPr>
        <w:t>Pamatinformācija</w:t>
      </w:r>
      <w:bookmarkEnd w:id="328"/>
    </w:p>
    <w:p w:rsidR="00E76417" w:rsidRDefault="00E76417" w:rsidP="00E76417">
      <w:r w:rsidRPr="00DB426E">
        <w:t>Nīderlandē pastāv progresīva uzņēmumu ienākuma nodokļa likme 20% - 25% apmērā atkarībā apliekamā ienākuma summas.</w:t>
      </w:r>
    </w:p>
    <w:p w:rsidR="00E76417" w:rsidRPr="00DB426E" w:rsidRDefault="00E76417" w:rsidP="00E76417">
      <w:pPr>
        <w:pStyle w:val="Heading4"/>
        <w:numPr>
          <w:ilvl w:val="3"/>
          <w:numId w:val="4"/>
        </w:numPr>
        <w:ind w:firstLine="270"/>
        <w:rPr>
          <w:szCs w:val="24"/>
        </w:rPr>
      </w:pPr>
      <w:bookmarkStart w:id="329" w:name="_Toc358978737"/>
      <w:r w:rsidRPr="00DB426E">
        <w:rPr>
          <w:szCs w:val="24"/>
        </w:rPr>
        <w:t>R&amp;D nodokļu atvieglojumi</w:t>
      </w:r>
      <w:bookmarkEnd w:id="329"/>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050"/>
        <w:gridCol w:w="3960"/>
      </w:tblGrid>
      <w:tr w:rsidR="00E76417" w:rsidRPr="00DB426E" w:rsidTr="00E76417">
        <w:tc>
          <w:tcPr>
            <w:tcW w:w="558" w:type="dxa"/>
            <w:shd w:val="clear" w:color="auto" w:fill="F2F2F2"/>
            <w:vAlign w:val="center"/>
          </w:tcPr>
          <w:p w:rsidR="00E76417" w:rsidRPr="00097DBA" w:rsidRDefault="00E76417" w:rsidP="00E76417">
            <w:pPr>
              <w:spacing w:after="60"/>
              <w:jc w:val="center"/>
              <w:rPr>
                <w:b/>
              </w:rPr>
            </w:pPr>
            <w:proofErr w:type="spellStart"/>
            <w:r w:rsidRPr="00097DBA">
              <w:rPr>
                <w:b/>
              </w:rPr>
              <w:t>Nr.p.k</w:t>
            </w:r>
            <w:proofErr w:type="spellEnd"/>
            <w:r w:rsidRPr="00097DBA">
              <w:rPr>
                <w:b/>
              </w:rPr>
              <w:t>.</w:t>
            </w:r>
          </w:p>
        </w:tc>
        <w:tc>
          <w:tcPr>
            <w:tcW w:w="4050" w:type="dxa"/>
            <w:shd w:val="clear" w:color="auto" w:fill="F2F2F2"/>
            <w:vAlign w:val="center"/>
          </w:tcPr>
          <w:p w:rsidR="00E76417" w:rsidRPr="00097DBA" w:rsidRDefault="00E76417" w:rsidP="00E76417">
            <w:pPr>
              <w:spacing w:after="60"/>
              <w:jc w:val="center"/>
              <w:rPr>
                <w:b/>
              </w:rPr>
            </w:pPr>
            <w:r w:rsidRPr="00097DBA">
              <w:rPr>
                <w:b/>
              </w:rPr>
              <w:t>Atvieglojuma apraksts</w:t>
            </w:r>
          </w:p>
        </w:tc>
        <w:tc>
          <w:tcPr>
            <w:tcW w:w="3960" w:type="dxa"/>
            <w:shd w:val="clear" w:color="auto" w:fill="F2F2F2"/>
            <w:vAlign w:val="center"/>
          </w:tcPr>
          <w:p w:rsidR="00E76417" w:rsidRPr="00097DBA" w:rsidRDefault="00E76417" w:rsidP="00E76417">
            <w:pPr>
              <w:spacing w:after="60"/>
              <w:jc w:val="center"/>
              <w:rPr>
                <w:b/>
              </w:rPr>
            </w:pPr>
            <w:r w:rsidRPr="00097DBA">
              <w:rPr>
                <w:b/>
              </w:rPr>
              <w:t>Atvieglojuma piemērošanas ierobežojumi</w:t>
            </w:r>
          </w:p>
        </w:tc>
      </w:tr>
      <w:tr w:rsidR="00E76417" w:rsidRPr="00DB426E" w:rsidTr="00E76417">
        <w:trPr>
          <w:trHeight w:val="3563"/>
        </w:trPr>
        <w:tc>
          <w:tcPr>
            <w:tcW w:w="558" w:type="dxa"/>
            <w:vAlign w:val="center"/>
          </w:tcPr>
          <w:p w:rsidR="00E76417" w:rsidRPr="00DB426E" w:rsidRDefault="00E76417" w:rsidP="00E76417">
            <w:pPr>
              <w:spacing w:after="60"/>
              <w:jc w:val="center"/>
            </w:pPr>
            <w:r w:rsidRPr="00DB426E">
              <w:t>1.</w:t>
            </w:r>
          </w:p>
        </w:tc>
        <w:tc>
          <w:tcPr>
            <w:tcW w:w="4050" w:type="dxa"/>
          </w:tcPr>
          <w:p w:rsidR="00E76417" w:rsidRPr="00DB426E" w:rsidRDefault="00E76417" w:rsidP="00E76417">
            <w:pPr>
              <w:spacing w:after="60"/>
              <w:rPr>
                <w:b/>
              </w:rPr>
            </w:pPr>
            <w:r w:rsidRPr="00DB426E">
              <w:rPr>
                <w:b/>
              </w:rPr>
              <w:t>Algas un sociālā nodokļa likmes samazinājums.</w:t>
            </w:r>
          </w:p>
          <w:p w:rsidR="00E76417" w:rsidRPr="00DB426E" w:rsidRDefault="00E76417" w:rsidP="00E76417">
            <w:pPr>
              <w:spacing w:after="60"/>
            </w:pPr>
            <w:r w:rsidRPr="00DB426E">
              <w:t>Darbiniekiem, kas nodarbināti uzņēmuma R&amp;D aktivitātēs, ir pieejami algas nodokļa un sociālā nodokļa atvieglojumi sekojošā apmērā: samazinājums 38% apmērā (jauniem uzņēmumiem – 50%) par pirmajiem EUR 200 tūkstošiem, ko veido R&amp;D aktivitātēs nodarbināto darbinieku algas nodokļa un obligāto iemaksu summa gadā, un samazinājums 14% apmērā par summu virs EUR 200 tūkstošiem.</w:t>
            </w:r>
          </w:p>
        </w:tc>
        <w:tc>
          <w:tcPr>
            <w:tcW w:w="3960" w:type="dxa"/>
          </w:tcPr>
          <w:p w:rsidR="00E76417" w:rsidRPr="00DB426E" w:rsidRDefault="00E76417" w:rsidP="00E76417">
            <w:pPr>
              <w:spacing w:after="60"/>
            </w:pPr>
            <w:r w:rsidRPr="00DB426E">
              <w:t>Kopējais samazinājums nedrīkst pārsniegt EUR 14 miljonus gadā.</w:t>
            </w:r>
          </w:p>
          <w:p w:rsidR="00E76417" w:rsidRPr="00DB426E" w:rsidRDefault="00E76417" w:rsidP="00E76417">
            <w:pPr>
              <w:spacing w:after="60"/>
            </w:pPr>
            <w:r w:rsidRPr="00DB426E">
              <w:t>Atvieglojums ir pieejams tikai tad, ja R&amp;D aktivitātes notiek Nīderlandē un R&amp;D aktivitātēs nodarbinātie darbinieki maksā Nīderlandes algas nodokli.</w:t>
            </w:r>
          </w:p>
          <w:p w:rsidR="00E76417" w:rsidRPr="00DB426E" w:rsidRDefault="00E76417" w:rsidP="00E76417">
            <w:pPr>
              <w:spacing w:after="60"/>
            </w:pPr>
            <w:r w:rsidRPr="00DB426E">
              <w:t>Lai varētu izmantot atvieglojumu, ir nepieciešams iepriekš iegūt atļauju (R&amp;D sertifikātu) no kompetentās valsts iestādes.</w:t>
            </w:r>
          </w:p>
        </w:tc>
      </w:tr>
      <w:tr w:rsidR="00E76417" w:rsidRPr="00DB426E" w:rsidTr="00E76417">
        <w:trPr>
          <w:trHeight w:val="890"/>
        </w:trPr>
        <w:tc>
          <w:tcPr>
            <w:tcW w:w="558" w:type="dxa"/>
            <w:vAlign w:val="center"/>
          </w:tcPr>
          <w:p w:rsidR="00E76417" w:rsidRPr="00DB426E" w:rsidRDefault="00E76417" w:rsidP="00E76417">
            <w:pPr>
              <w:spacing w:after="60"/>
              <w:jc w:val="center"/>
            </w:pPr>
            <w:r w:rsidRPr="00DB426E">
              <w:t>2.</w:t>
            </w:r>
          </w:p>
        </w:tc>
        <w:tc>
          <w:tcPr>
            <w:tcW w:w="4050" w:type="dxa"/>
            <w:vAlign w:val="center"/>
          </w:tcPr>
          <w:p w:rsidR="00E76417" w:rsidRPr="00DB426E" w:rsidRDefault="00E76417" w:rsidP="00E76417">
            <w:pPr>
              <w:spacing w:after="60"/>
              <w:rPr>
                <w:b/>
              </w:rPr>
            </w:pPr>
            <w:r w:rsidRPr="00DB426E">
              <w:rPr>
                <w:b/>
              </w:rPr>
              <w:t>Apliekamā ienākuma samazinājums par R&amp;D izmaksām 154% apmērā.</w:t>
            </w:r>
          </w:p>
          <w:p w:rsidR="00E76417" w:rsidRPr="00DB426E" w:rsidRDefault="00E76417" w:rsidP="00E76417">
            <w:pPr>
              <w:spacing w:after="60"/>
            </w:pPr>
            <w:r w:rsidRPr="00DB426E">
              <w:t>Samazinājums piemērojams R&amp;D izmaksām, kas nav darbinieku algas nodokļa un valsts sociālās apdrošināšanas obligāto iemaksu izmaksas, kā arī nav saistītas ar apakšuzņēmēju veikto R&amp;D darbu.</w:t>
            </w:r>
          </w:p>
          <w:p w:rsidR="00E76417" w:rsidRPr="00DB426E" w:rsidRDefault="00E76417" w:rsidP="00E76417">
            <w:pPr>
              <w:spacing w:after="60"/>
            </w:pPr>
            <w:r w:rsidRPr="00DB426E">
              <w:t>R&amp;D izmaksas, uz kurām attiecas atvieglojums:</w:t>
            </w:r>
          </w:p>
          <w:p w:rsidR="00E76417" w:rsidRPr="00475128" w:rsidRDefault="00E76417" w:rsidP="00E76417">
            <w:pPr>
              <w:pStyle w:val="ListParagraph"/>
              <w:numPr>
                <w:ilvl w:val="0"/>
                <w:numId w:val="39"/>
              </w:numPr>
              <w:suppressAutoHyphens w:val="0"/>
              <w:spacing w:after="60" w:line="276" w:lineRule="auto"/>
              <w:ind w:left="293" w:hanging="284"/>
              <w:rPr>
                <w:szCs w:val="22"/>
                <w:lang w:val="lv-LV" w:eastAsia="en-US"/>
              </w:rPr>
            </w:pPr>
            <w:r w:rsidRPr="00475128">
              <w:rPr>
                <w:szCs w:val="22"/>
                <w:lang w:val="lv-LV" w:eastAsia="en-US"/>
              </w:rPr>
              <w:t>R&amp;D aktivitātēs iesaistītā nomāta personāla izmaksas,</w:t>
            </w:r>
          </w:p>
          <w:p w:rsidR="00E76417" w:rsidRPr="00475128" w:rsidRDefault="00E76417" w:rsidP="00E76417">
            <w:pPr>
              <w:pStyle w:val="ListParagraph"/>
              <w:numPr>
                <w:ilvl w:val="0"/>
                <w:numId w:val="39"/>
              </w:numPr>
              <w:suppressAutoHyphens w:val="0"/>
              <w:spacing w:after="60" w:line="276" w:lineRule="auto"/>
              <w:ind w:left="293" w:hanging="284"/>
              <w:rPr>
                <w:szCs w:val="22"/>
                <w:lang w:val="lv-LV" w:eastAsia="en-US"/>
              </w:rPr>
            </w:pPr>
            <w:r w:rsidRPr="00475128">
              <w:rPr>
                <w:szCs w:val="22"/>
                <w:lang w:val="lv-LV" w:eastAsia="en-US"/>
              </w:rPr>
              <w:t>materiāli, kas ir izlietoti vai pārveidoti R&amp;D aktivitāšu rezultātā,</w:t>
            </w:r>
          </w:p>
          <w:p w:rsidR="00E76417" w:rsidRPr="00475128" w:rsidRDefault="00E76417" w:rsidP="00E76417">
            <w:pPr>
              <w:pStyle w:val="ListParagraph"/>
              <w:numPr>
                <w:ilvl w:val="0"/>
                <w:numId w:val="39"/>
              </w:numPr>
              <w:suppressAutoHyphens w:val="0"/>
              <w:spacing w:after="60" w:line="276" w:lineRule="auto"/>
              <w:ind w:left="293" w:hanging="284"/>
              <w:rPr>
                <w:szCs w:val="22"/>
                <w:lang w:val="lv-LV" w:eastAsia="en-US"/>
              </w:rPr>
            </w:pPr>
            <w:r w:rsidRPr="00475128">
              <w:rPr>
                <w:szCs w:val="22"/>
                <w:lang w:val="lv-LV" w:eastAsia="en-US"/>
              </w:rPr>
              <w:t xml:space="preserve">elektroenerģija, ūdens, degviela un </w:t>
            </w:r>
            <w:proofErr w:type="spellStart"/>
            <w:r w:rsidRPr="00475128">
              <w:rPr>
                <w:szCs w:val="22"/>
                <w:lang w:val="lv-LV" w:eastAsia="en-US"/>
              </w:rPr>
              <w:t>datorprogrammatūra</w:t>
            </w:r>
            <w:proofErr w:type="spellEnd"/>
            <w:r w:rsidRPr="00475128">
              <w:rPr>
                <w:szCs w:val="22"/>
                <w:lang w:val="lv-LV" w:eastAsia="en-US"/>
              </w:rPr>
              <w:t>, kas tieši izmantota R&amp;D aktivitātēs,</w:t>
            </w:r>
          </w:p>
          <w:p w:rsidR="00E76417" w:rsidRPr="00475128" w:rsidRDefault="00E76417" w:rsidP="00E76417">
            <w:pPr>
              <w:pStyle w:val="ListParagraph"/>
              <w:numPr>
                <w:ilvl w:val="0"/>
                <w:numId w:val="39"/>
              </w:numPr>
              <w:suppressAutoHyphens w:val="0"/>
              <w:spacing w:after="60" w:line="276" w:lineRule="auto"/>
              <w:ind w:left="293" w:hanging="284"/>
              <w:rPr>
                <w:b/>
                <w:szCs w:val="22"/>
                <w:lang w:val="lv-LV" w:eastAsia="en-US"/>
              </w:rPr>
            </w:pPr>
            <w:r w:rsidRPr="00475128">
              <w:rPr>
                <w:szCs w:val="22"/>
                <w:lang w:val="lv-LV" w:eastAsia="en-US"/>
              </w:rPr>
              <w:t xml:space="preserve"> trešo pušu pakalpojumu izmaksas, izņemot par apakšuzņēmēju veikto R&amp;D darbu.</w:t>
            </w:r>
          </w:p>
          <w:p w:rsidR="00E76417" w:rsidRPr="00475128" w:rsidRDefault="00E76417" w:rsidP="00E76417">
            <w:pPr>
              <w:pStyle w:val="ListParagraph"/>
              <w:numPr>
                <w:ilvl w:val="0"/>
                <w:numId w:val="39"/>
              </w:numPr>
              <w:suppressAutoHyphens w:val="0"/>
              <w:spacing w:after="60" w:line="276" w:lineRule="auto"/>
              <w:ind w:left="293" w:hanging="284"/>
              <w:rPr>
                <w:b/>
                <w:lang w:val="lv-LV" w:eastAsia="en-US"/>
              </w:rPr>
            </w:pPr>
            <w:r w:rsidRPr="00475128">
              <w:rPr>
                <w:szCs w:val="22"/>
                <w:lang w:val="lv-LV" w:eastAsia="en-US"/>
              </w:rPr>
              <w:t>kapitālizmaksas (izņemot zemi).</w:t>
            </w:r>
          </w:p>
        </w:tc>
        <w:tc>
          <w:tcPr>
            <w:tcW w:w="3960" w:type="dxa"/>
          </w:tcPr>
          <w:p w:rsidR="00E76417" w:rsidRPr="00DB426E" w:rsidRDefault="00E76417" w:rsidP="00E76417">
            <w:pPr>
              <w:spacing w:after="60"/>
            </w:pPr>
            <w:r w:rsidRPr="00DB426E">
              <w:t>Atvieglojums ir pieejams tikai tad, ja R&amp;D aktivitātes notiek Nīderlandē un R&amp;D aktivitātēs nodarbinātie darbinieki maksā Nīderlandes algas nodokli.</w:t>
            </w:r>
          </w:p>
          <w:p w:rsidR="00E76417" w:rsidRPr="00DB426E" w:rsidRDefault="00E76417" w:rsidP="00E76417">
            <w:pPr>
              <w:spacing w:after="60"/>
            </w:pPr>
            <w:r w:rsidRPr="00DB426E">
              <w:t>Lai varētu izmantot atvieglojumu, ir nepieciešams iepriekš iegūt atļauju (R&amp;D sertifikātu) no kompetentās valsts iestādes.</w:t>
            </w:r>
          </w:p>
        </w:tc>
      </w:tr>
      <w:tr w:rsidR="00E76417" w:rsidRPr="00DB426E" w:rsidTr="00E76417">
        <w:tc>
          <w:tcPr>
            <w:tcW w:w="558" w:type="dxa"/>
            <w:vAlign w:val="center"/>
          </w:tcPr>
          <w:p w:rsidR="00E76417" w:rsidRPr="00DB426E" w:rsidRDefault="00E76417" w:rsidP="00E76417">
            <w:pPr>
              <w:spacing w:after="60"/>
              <w:jc w:val="center"/>
            </w:pPr>
            <w:r w:rsidRPr="00DB426E">
              <w:t>3.</w:t>
            </w:r>
          </w:p>
        </w:tc>
        <w:tc>
          <w:tcPr>
            <w:tcW w:w="4050" w:type="dxa"/>
            <w:vAlign w:val="center"/>
          </w:tcPr>
          <w:p w:rsidR="00E76417" w:rsidRPr="00DB426E" w:rsidRDefault="00E76417" w:rsidP="00E76417">
            <w:pPr>
              <w:spacing w:after="60"/>
              <w:rPr>
                <w:b/>
              </w:rPr>
            </w:pPr>
            <w:r w:rsidRPr="00DB426E">
              <w:rPr>
                <w:b/>
                <w:i/>
              </w:rPr>
              <w:t>„</w:t>
            </w:r>
            <w:proofErr w:type="spellStart"/>
            <w:r w:rsidRPr="00DB426E">
              <w:rPr>
                <w:b/>
                <w:i/>
              </w:rPr>
              <w:t>Innovation</w:t>
            </w:r>
            <w:proofErr w:type="spellEnd"/>
            <w:r w:rsidRPr="00DB426E">
              <w:rPr>
                <w:b/>
                <w:i/>
              </w:rPr>
              <w:t xml:space="preserve"> </w:t>
            </w:r>
            <w:proofErr w:type="spellStart"/>
            <w:r w:rsidRPr="00DB426E">
              <w:rPr>
                <w:b/>
                <w:i/>
              </w:rPr>
              <w:t>Box”-</w:t>
            </w:r>
            <w:proofErr w:type="spellEnd"/>
            <w:r w:rsidRPr="00DB426E">
              <w:rPr>
                <w:b/>
                <w:i/>
              </w:rPr>
              <w:t xml:space="preserve"> </w:t>
            </w:r>
            <w:r w:rsidRPr="00DB426E">
              <w:rPr>
                <w:b/>
              </w:rPr>
              <w:t>5% UIN likme ienākumam no patentētiem nemateriāliem aktīviem.</w:t>
            </w:r>
          </w:p>
          <w:p w:rsidR="00E76417" w:rsidRPr="00DB426E" w:rsidRDefault="00E76417" w:rsidP="00E76417">
            <w:pPr>
              <w:spacing w:after="60"/>
              <w:rPr>
                <w:b/>
                <w:i/>
              </w:rPr>
            </w:pPr>
          </w:p>
          <w:p w:rsidR="00E76417" w:rsidRPr="00DB426E" w:rsidRDefault="00E76417" w:rsidP="00E76417">
            <w:pPr>
              <w:spacing w:after="60"/>
            </w:pPr>
            <w:r w:rsidRPr="00DB426E">
              <w:t>Atvieglojums paredz 5% UIN likmes piemērošanu ienākumam, kas gūts no pašu izveidotiem patentētiem nemateriāliem aktīviem, kā arī nepatentētiem nemateriāliem aktīviem, par kuriem uzņēmumam ir piešķirts R&amp;D sertifikāts.</w:t>
            </w:r>
          </w:p>
          <w:p w:rsidR="00E76417" w:rsidRPr="00DB426E" w:rsidRDefault="00E76417" w:rsidP="00E76417">
            <w:pPr>
              <w:spacing w:after="60"/>
            </w:pPr>
            <w:r w:rsidRPr="00DB426E">
              <w:t>Lai varētu izmantot šo atvieglojumu, patentam ir jāpieder atvieglojuma pieprasītājam – Nīderlandes uzņēmumam, bet R&amp;D aktivitātes var būt veicis arī cits uzņēmums ES teritorijā ar nosacījumu, ka R&amp;D aktivitātes ir veiktas Nīderlandes uzņēmuma labā un tam uzņemoties ar R&amp;D saistītos riskus.</w:t>
            </w:r>
          </w:p>
        </w:tc>
        <w:tc>
          <w:tcPr>
            <w:tcW w:w="3960" w:type="dxa"/>
            <w:vAlign w:val="center"/>
          </w:tcPr>
          <w:p w:rsidR="00E76417" w:rsidRPr="00DB426E" w:rsidRDefault="00E76417" w:rsidP="00E76417">
            <w:pPr>
              <w:spacing w:after="60"/>
            </w:pPr>
            <w:r w:rsidRPr="00DB426E">
              <w:t>Samazinātā UIN likme ir piemērojama ar to brīdi, kad ienākums no patentētā aktīva pārsniedz izdevumus, kas saistīti ar tā izveidi (līdz tam – standarta UIN).</w:t>
            </w:r>
          </w:p>
        </w:tc>
      </w:tr>
    </w:tbl>
    <w:p w:rsidR="00E76417" w:rsidRPr="00DB426E" w:rsidRDefault="00E76417" w:rsidP="00E76417">
      <w:pPr>
        <w:pStyle w:val="Heading4"/>
        <w:numPr>
          <w:ilvl w:val="3"/>
          <w:numId w:val="4"/>
        </w:numPr>
        <w:spacing w:after="100" w:afterAutospacing="1"/>
        <w:ind w:firstLine="270"/>
        <w:rPr>
          <w:szCs w:val="24"/>
        </w:rPr>
      </w:pPr>
      <w:bookmarkStart w:id="330" w:name="_Toc358978738"/>
      <w:r w:rsidRPr="00DB426E">
        <w:rPr>
          <w:szCs w:val="24"/>
        </w:rPr>
        <w:t>Citas prasības</w:t>
      </w:r>
      <w:bookmarkEnd w:id="330"/>
    </w:p>
    <w:p w:rsidR="00E76417" w:rsidRPr="00DB426E" w:rsidRDefault="00E76417" w:rsidP="00E76417">
      <w:r w:rsidRPr="00DB426E">
        <w:rPr>
          <w:rFonts w:cs="Calibri"/>
        </w:rPr>
        <w:t xml:space="preserve">Uzņēmumiem iepriekš nepieciešams saskaņot divus atvieglojumus - </w:t>
      </w:r>
      <w:r w:rsidRPr="00DB426E">
        <w:t xml:space="preserve">algas nodokļa un sociālā nodokļa likmes samazinājums un apliekamā ienākuma samazinājums par R&amp;D izmaksām 54% apmērā. </w:t>
      </w:r>
    </w:p>
    <w:p w:rsidR="00E76417" w:rsidRPr="00DB426E" w:rsidRDefault="00E76417" w:rsidP="00E76417">
      <w:pPr>
        <w:rPr>
          <w:rFonts w:cs="Calibri"/>
        </w:rPr>
      </w:pPr>
      <w:r w:rsidRPr="00DB426E">
        <w:rPr>
          <w:rFonts w:cs="Calibri"/>
        </w:rPr>
        <w:t>R&amp;D atvieglojumi pieejami visās nozarēs.</w:t>
      </w:r>
    </w:p>
    <w:p w:rsidR="00E76417" w:rsidRPr="00DB426E" w:rsidRDefault="00E76417" w:rsidP="00E76417">
      <w:pPr>
        <w:rPr>
          <w:rFonts w:cs="Calibri"/>
        </w:rPr>
      </w:pPr>
      <w:r w:rsidRPr="00DB426E">
        <w:rPr>
          <w:rFonts w:cs="Calibri"/>
          <w:i/>
        </w:rPr>
        <w:t>“</w:t>
      </w:r>
      <w:proofErr w:type="spellStart"/>
      <w:r w:rsidRPr="00DB426E">
        <w:rPr>
          <w:rFonts w:cs="Calibri"/>
          <w:i/>
        </w:rPr>
        <w:t>Innovation</w:t>
      </w:r>
      <w:proofErr w:type="spellEnd"/>
      <w:r w:rsidRPr="00DB426E">
        <w:rPr>
          <w:rFonts w:cs="Calibri"/>
          <w:i/>
        </w:rPr>
        <w:t xml:space="preserve"> </w:t>
      </w:r>
      <w:proofErr w:type="spellStart"/>
      <w:r w:rsidRPr="00DB426E">
        <w:rPr>
          <w:rFonts w:cs="Calibri"/>
          <w:i/>
        </w:rPr>
        <w:t>Box</w:t>
      </w:r>
      <w:proofErr w:type="spellEnd"/>
      <w:r w:rsidRPr="00DB426E">
        <w:rPr>
          <w:rFonts w:cs="Calibri"/>
          <w:i/>
        </w:rPr>
        <w:t>”</w:t>
      </w:r>
      <w:r w:rsidRPr="00DB426E">
        <w:rPr>
          <w:rFonts w:cs="Calibri"/>
        </w:rPr>
        <w:t xml:space="preserve"> atvieglojums pieejams arī tad, ja uzņēmuma R&amp;D aktivitātes notiek ārpus Nīderlandes, taču ES vai EEZ teritorijā vai valstī, ar kuru Nīderlande ir noslēgusi konvenciju par nodokļu dubultās uzlikšanas un nodokļu nemaksāšanas novēršanu.</w:t>
      </w:r>
    </w:p>
    <w:p w:rsidR="00E76417" w:rsidRPr="00DB426E" w:rsidRDefault="00E76417" w:rsidP="00E76417">
      <w:pPr>
        <w:pStyle w:val="Heading3"/>
        <w:numPr>
          <w:ilvl w:val="2"/>
          <w:numId w:val="4"/>
        </w:numPr>
      </w:pPr>
      <w:bookmarkStart w:id="331" w:name="_Toc356472832"/>
      <w:bookmarkStart w:id="332" w:name="_Toc358978739"/>
      <w:r w:rsidRPr="00DB426E">
        <w:t>Lielbritānija</w:t>
      </w:r>
      <w:bookmarkEnd w:id="331"/>
      <w:bookmarkEnd w:id="332"/>
    </w:p>
    <w:p w:rsidR="00E76417" w:rsidRPr="00DB426E" w:rsidRDefault="00E76417" w:rsidP="00E76417">
      <w:pPr>
        <w:pStyle w:val="Heading4"/>
        <w:numPr>
          <w:ilvl w:val="3"/>
          <w:numId w:val="4"/>
        </w:numPr>
        <w:ind w:firstLine="270"/>
        <w:rPr>
          <w:szCs w:val="24"/>
        </w:rPr>
      </w:pPr>
      <w:bookmarkStart w:id="333" w:name="_Toc358978740"/>
      <w:r w:rsidRPr="00DB426E">
        <w:rPr>
          <w:szCs w:val="24"/>
        </w:rPr>
        <w:t>Pamatinformācija</w:t>
      </w:r>
      <w:bookmarkEnd w:id="333"/>
    </w:p>
    <w:p w:rsidR="00E76417" w:rsidRPr="00DB426E" w:rsidRDefault="00E76417" w:rsidP="00E76417">
      <w:r w:rsidRPr="00DB426E">
        <w:t xml:space="preserve">UIN likme 2013.gada 1.aprīlī tika samazināta no 24% līdz 23%. </w:t>
      </w:r>
    </w:p>
    <w:p w:rsidR="00E76417" w:rsidRPr="00DB426E" w:rsidRDefault="00E76417" w:rsidP="00E76417">
      <w:pPr>
        <w:pStyle w:val="Heading4"/>
        <w:numPr>
          <w:ilvl w:val="3"/>
          <w:numId w:val="4"/>
        </w:numPr>
        <w:ind w:firstLine="270"/>
        <w:rPr>
          <w:szCs w:val="24"/>
        </w:rPr>
      </w:pPr>
      <w:bookmarkStart w:id="334" w:name="_Toc358978741"/>
      <w:r w:rsidRPr="00DB426E">
        <w:rPr>
          <w:szCs w:val="24"/>
        </w:rPr>
        <w:t>R&amp;D nodokļu atvieglojumi</w:t>
      </w:r>
      <w:bookmarkEnd w:id="334"/>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500"/>
        <w:gridCol w:w="3510"/>
      </w:tblGrid>
      <w:tr w:rsidR="00E76417" w:rsidRPr="00DB426E" w:rsidTr="00E76417">
        <w:tc>
          <w:tcPr>
            <w:tcW w:w="558" w:type="dxa"/>
            <w:shd w:val="clear" w:color="auto" w:fill="F2F2F2"/>
            <w:vAlign w:val="center"/>
          </w:tcPr>
          <w:p w:rsidR="00E76417" w:rsidRPr="00097DBA" w:rsidRDefault="00E76417" w:rsidP="00E76417">
            <w:pPr>
              <w:spacing w:after="60"/>
              <w:jc w:val="center"/>
              <w:rPr>
                <w:b/>
              </w:rPr>
            </w:pPr>
            <w:proofErr w:type="spellStart"/>
            <w:r w:rsidRPr="00097DBA">
              <w:rPr>
                <w:b/>
              </w:rPr>
              <w:t>Nr.p.k</w:t>
            </w:r>
            <w:proofErr w:type="spellEnd"/>
            <w:r w:rsidRPr="00097DBA">
              <w:rPr>
                <w:b/>
              </w:rPr>
              <w:t>.</w:t>
            </w:r>
          </w:p>
        </w:tc>
        <w:tc>
          <w:tcPr>
            <w:tcW w:w="4500" w:type="dxa"/>
            <w:shd w:val="clear" w:color="auto" w:fill="F2F2F2"/>
            <w:vAlign w:val="center"/>
          </w:tcPr>
          <w:p w:rsidR="00E76417" w:rsidRPr="00097DBA" w:rsidRDefault="00E76417" w:rsidP="00E76417">
            <w:pPr>
              <w:spacing w:after="60"/>
              <w:jc w:val="center"/>
              <w:rPr>
                <w:b/>
              </w:rPr>
            </w:pPr>
            <w:r w:rsidRPr="00097DBA">
              <w:rPr>
                <w:b/>
              </w:rPr>
              <w:t>Atvieglojuma apraksts</w:t>
            </w:r>
          </w:p>
        </w:tc>
        <w:tc>
          <w:tcPr>
            <w:tcW w:w="3510" w:type="dxa"/>
            <w:shd w:val="clear" w:color="auto" w:fill="F2F2F2"/>
            <w:vAlign w:val="center"/>
          </w:tcPr>
          <w:p w:rsidR="00E76417" w:rsidRPr="00097DBA" w:rsidRDefault="00E76417" w:rsidP="00E76417">
            <w:pPr>
              <w:spacing w:after="60"/>
              <w:jc w:val="center"/>
              <w:rPr>
                <w:b/>
              </w:rPr>
            </w:pPr>
            <w:r w:rsidRPr="00097DBA">
              <w:rPr>
                <w:b/>
              </w:rPr>
              <w:t>Atvieglojuma piemērošanas ierobežojumi</w:t>
            </w:r>
          </w:p>
        </w:tc>
      </w:tr>
      <w:tr w:rsidR="00E76417" w:rsidRPr="00DB426E" w:rsidTr="00E76417">
        <w:tc>
          <w:tcPr>
            <w:tcW w:w="558" w:type="dxa"/>
            <w:vAlign w:val="center"/>
          </w:tcPr>
          <w:p w:rsidR="00E76417" w:rsidRPr="00DB426E" w:rsidRDefault="00E76417" w:rsidP="00E76417">
            <w:pPr>
              <w:spacing w:after="60"/>
              <w:jc w:val="center"/>
            </w:pPr>
            <w:r w:rsidRPr="00DB426E">
              <w:t>1.</w:t>
            </w:r>
          </w:p>
        </w:tc>
        <w:tc>
          <w:tcPr>
            <w:tcW w:w="4500" w:type="dxa"/>
          </w:tcPr>
          <w:p w:rsidR="00E76417" w:rsidRPr="00DB426E" w:rsidRDefault="00E76417" w:rsidP="00E76417">
            <w:pPr>
              <w:spacing w:after="60"/>
              <w:rPr>
                <w:b/>
              </w:rPr>
            </w:pPr>
            <w:r w:rsidRPr="00DB426E">
              <w:rPr>
                <w:b/>
              </w:rPr>
              <w:t>Apliekamā ienākuma samazinājums par R&amp;D izmaksām 130%/ 225% apmērā.</w:t>
            </w:r>
          </w:p>
          <w:p w:rsidR="00E76417" w:rsidRPr="00475128" w:rsidRDefault="00E76417" w:rsidP="00E76417">
            <w:pPr>
              <w:pStyle w:val="ListParagraph"/>
              <w:numPr>
                <w:ilvl w:val="0"/>
                <w:numId w:val="25"/>
              </w:numPr>
              <w:suppressAutoHyphens w:val="0"/>
              <w:spacing w:after="60" w:line="276" w:lineRule="auto"/>
              <w:rPr>
                <w:b/>
                <w:lang w:val="lv-LV" w:eastAsia="en-US"/>
              </w:rPr>
            </w:pPr>
            <w:r w:rsidRPr="00475128">
              <w:rPr>
                <w:b/>
                <w:lang w:val="lv-LV" w:eastAsia="en-US"/>
              </w:rPr>
              <w:t xml:space="preserve"> 225% apmērā maziem un vidējiem uzņēmumiem.</w:t>
            </w:r>
          </w:p>
          <w:p w:rsidR="00E76417" w:rsidRPr="00DB426E" w:rsidRDefault="00E76417" w:rsidP="00E76417">
            <w:pPr>
              <w:spacing w:after="60"/>
              <w:rPr>
                <w:b/>
              </w:rPr>
            </w:pPr>
            <w:r w:rsidRPr="00DB426E">
              <w:t>Atvieglojums ir pieejams uzņēmumiem, kas atbilst maza vai vidēja uzņēmuma statusam, proti, darbinieku skaits nepārsniedz 500 cilvēkus, un</w:t>
            </w:r>
          </w:p>
          <w:p w:rsidR="00E76417" w:rsidRPr="00DB426E" w:rsidRDefault="00E76417" w:rsidP="00E76417">
            <w:pPr>
              <w:numPr>
                <w:ilvl w:val="0"/>
                <w:numId w:val="37"/>
              </w:numPr>
              <w:spacing w:after="60"/>
              <w:ind w:left="435" w:hanging="426"/>
            </w:pPr>
            <w:r w:rsidRPr="00DB426E">
              <w:t>gada apgrozījums nepārsniedz EUR 100 miljonus, vai</w:t>
            </w:r>
          </w:p>
          <w:p w:rsidR="00E76417" w:rsidRPr="00DB426E" w:rsidRDefault="00E76417" w:rsidP="00E76417">
            <w:pPr>
              <w:numPr>
                <w:ilvl w:val="0"/>
                <w:numId w:val="37"/>
              </w:numPr>
              <w:spacing w:after="60"/>
              <w:ind w:left="435" w:hanging="426"/>
            </w:pPr>
            <w:r w:rsidRPr="00DB426E">
              <w:t>bilances kopsumma nepārsniedz EUR 86 miljonus.</w:t>
            </w:r>
          </w:p>
          <w:p w:rsidR="00E76417" w:rsidRPr="00475128" w:rsidRDefault="00E76417" w:rsidP="00E76417">
            <w:pPr>
              <w:pStyle w:val="ListParagraph"/>
              <w:numPr>
                <w:ilvl w:val="0"/>
                <w:numId w:val="25"/>
              </w:numPr>
              <w:suppressAutoHyphens w:val="0"/>
              <w:spacing w:after="60" w:line="276" w:lineRule="auto"/>
              <w:rPr>
                <w:b/>
                <w:lang w:val="lv-LV" w:eastAsia="en-US"/>
              </w:rPr>
            </w:pPr>
            <w:r w:rsidRPr="00475128">
              <w:rPr>
                <w:b/>
                <w:lang w:val="lv-LV" w:eastAsia="en-US"/>
              </w:rPr>
              <w:t>130% apmērā lieliem uzņēmumiem.</w:t>
            </w:r>
          </w:p>
          <w:p w:rsidR="00E76417" w:rsidRPr="00DB426E" w:rsidRDefault="00E76417" w:rsidP="00E76417">
            <w:pPr>
              <w:spacing w:after="60"/>
            </w:pPr>
            <w:r w:rsidRPr="00DB426E">
              <w:t>R&amp;D izmaksas, uz kurām attiecas atvieglojums:</w:t>
            </w:r>
          </w:p>
          <w:p w:rsidR="00E76417" w:rsidRPr="00DB426E" w:rsidRDefault="00E76417" w:rsidP="00E76417">
            <w:pPr>
              <w:numPr>
                <w:ilvl w:val="0"/>
                <w:numId w:val="38"/>
              </w:numPr>
              <w:spacing w:after="60"/>
              <w:ind w:left="435" w:hanging="426"/>
            </w:pPr>
            <w:r w:rsidRPr="00DB426E">
              <w:t>R&amp;D aktivitātēs iesaistīto darbinieku algas (ja darbinieks ir iesaistīts daļēji – proporcionāli iesaistīto stundu skaitam),</w:t>
            </w:r>
          </w:p>
          <w:p w:rsidR="00E76417" w:rsidRPr="00DB426E" w:rsidRDefault="00E76417" w:rsidP="00E76417">
            <w:pPr>
              <w:numPr>
                <w:ilvl w:val="0"/>
                <w:numId w:val="38"/>
              </w:numPr>
              <w:spacing w:after="60"/>
              <w:ind w:left="435" w:hanging="426"/>
            </w:pPr>
            <w:r w:rsidRPr="00DB426E">
              <w:t>R&amp;D aktivitātēs iesaistītā nomāta personāla izmaksas (atvieglojums pieejams par 65% no izmaksām),</w:t>
            </w:r>
          </w:p>
          <w:p w:rsidR="00E76417" w:rsidRPr="00DB426E" w:rsidRDefault="00E76417" w:rsidP="00E76417">
            <w:pPr>
              <w:numPr>
                <w:ilvl w:val="0"/>
                <w:numId w:val="38"/>
              </w:numPr>
              <w:spacing w:after="60"/>
              <w:ind w:left="435" w:hanging="426"/>
            </w:pPr>
            <w:r w:rsidRPr="00DB426E">
              <w:t>materiāli, kas ir izlietoti vai pārveidoti R&amp;D aktivitāšu rezultātā,</w:t>
            </w:r>
          </w:p>
          <w:p w:rsidR="00E76417" w:rsidRPr="00DB426E" w:rsidRDefault="00E76417" w:rsidP="00E76417">
            <w:pPr>
              <w:numPr>
                <w:ilvl w:val="0"/>
                <w:numId w:val="38"/>
              </w:numPr>
              <w:spacing w:after="60"/>
              <w:ind w:left="435" w:hanging="426"/>
            </w:pPr>
            <w:r w:rsidRPr="00DB426E">
              <w:t xml:space="preserve">elektroenerģija, ūdens, degviela un </w:t>
            </w:r>
            <w:proofErr w:type="spellStart"/>
            <w:r w:rsidRPr="00DB426E">
              <w:t>datorprogrammatūra</w:t>
            </w:r>
            <w:proofErr w:type="spellEnd"/>
            <w:r w:rsidRPr="00DB426E">
              <w:t>, kas tieši izmantota R&amp;D aktivitātēs,</w:t>
            </w:r>
          </w:p>
          <w:p w:rsidR="00E76417" w:rsidRPr="00DB426E" w:rsidRDefault="00E76417" w:rsidP="00E76417">
            <w:pPr>
              <w:numPr>
                <w:ilvl w:val="0"/>
                <w:numId w:val="38"/>
              </w:numPr>
              <w:spacing w:after="60"/>
              <w:ind w:left="435" w:hanging="426"/>
              <w:rPr>
                <w:b/>
              </w:rPr>
            </w:pPr>
            <w:r w:rsidRPr="00DB426E">
              <w:t>maziem un vidējiem uzņēmumiem pieejams atvieglojums arī par 65% no apakšuzņēmējiem samaksātajām summām par R&amp;D darbībām. Lieliem uzņēmumiem – tikai tādā gadījumā, ja apakšuzņēmējs ir universitāte, veselības iestāde, labdarības organizācija, zinātniskās pētniecības iestāde, fiziska persona vai personālsabiedrība.</w:t>
            </w:r>
          </w:p>
          <w:p w:rsidR="00E76417" w:rsidRPr="00DB426E" w:rsidRDefault="00E76417" w:rsidP="00E76417">
            <w:pPr>
              <w:numPr>
                <w:ilvl w:val="0"/>
                <w:numId w:val="38"/>
              </w:numPr>
              <w:spacing w:after="60"/>
              <w:ind w:left="435" w:hanging="426"/>
              <w:rPr>
                <w:b/>
              </w:rPr>
            </w:pPr>
            <w:r w:rsidRPr="00DB426E">
              <w:t xml:space="preserve">maksājumi brīvprātīgajiem par dalību klīniskos pētījumos. </w:t>
            </w:r>
          </w:p>
          <w:p w:rsidR="00E76417" w:rsidRPr="00DB426E" w:rsidRDefault="00E76417" w:rsidP="00E76417">
            <w:pPr>
              <w:spacing w:after="60"/>
            </w:pPr>
            <w:r w:rsidRPr="00DB426E">
              <w:t>Neizmantotie atskaitījumi zaudējumu gadījumā var tikt pārnesti uz turpmākajiem taksācijas periodiem neierobežotu laiku, izņemot gadījumu, kad uzņēmumam nomainās īpašnieki, kas trīs vai mazāk gadu laikā nomaina uzņēmuma saimnieciskās darbības veidu.</w:t>
            </w:r>
          </w:p>
        </w:tc>
        <w:tc>
          <w:tcPr>
            <w:tcW w:w="3510" w:type="dxa"/>
            <w:vAlign w:val="center"/>
          </w:tcPr>
          <w:p w:rsidR="00E76417" w:rsidRPr="00DB426E" w:rsidRDefault="00E76417" w:rsidP="00E76417">
            <w:pPr>
              <w:spacing w:after="60"/>
            </w:pPr>
            <w:r w:rsidRPr="00DB426E">
              <w:t xml:space="preserve">Maziem un vidējiem uzņēmumiem atvieglojuma apmērs nedrīkst pārsniegt atvieglojumu, kāds uzņēmumam būtu pieejams, ja izmaksu atskaitījums būtu bijis veikts saskaņā ar liela uzņēmuma atlaidi, par vairāk kā EUR 7.5 miljoniem par vienu R&amp;D projektu. </w:t>
            </w:r>
          </w:p>
          <w:p w:rsidR="00E76417" w:rsidRPr="00DB426E" w:rsidRDefault="00E76417" w:rsidP="00E76417">
            <w:pPr>
              <w:spacing w:after="60"/>
            </w:pPr>
            <w:r w:rsidRPr="00DB426E">
              <w:t>Lieliem uzņēmumiem ierobežojumi nepastāv.</w:t>
            </w:r>
          </w:p>
        </w:tc>
      </w:tr>
      <w:tr w:rsidR="00E76417" w:rsidRPr="00DB426E" w:rsidTr="00E76417">
        <w:tc>
          <w:tcPr>
            <w:tcW w:w="558" w:type="dxa"/>
            <w:vAlign w:val="center"/>
          </w:tcPr>
          <w:p w:rsidR="00E76417" w:rsidRPr="00DB426E" w:rsidRDefault="00E76417" w:rsidP="00E76417">
            <w:pPr>
              <w:spacing w:after="60"/>
              <w:jc w:val="center"/>
            </w:pPr>
            <w:r w:rsidRPr="00DB426E">
              <w:t>2.</w:t>
            </w:r>
          </w:p>
        </w:tc>
        <w:tc>
          <w:tcPr>
            <w:tcW w:w="4500" w:type="dxa"/>
          </w:tcPr>
          <w:p w:rsidR="00E76417" w:rsidRPr="00DB426E" w:rsidRDefault="00E76417" w:rsidP="00E76417">
            <w:pPr>
              <w:spacing w:after="60"/>
              <w:rPr>
                <w:b/>
              </w:rPr>
            </w:pPr>
            <w:r w:rsidRPr="00DB426E">
              <w:rPr>
                <w:b/>
              </w:rPr>
              <w:t xml:space="preserve">R&amp;D izmaksu atgūšana </w:t>
            </w:r>
            <w:r w:rsidRPr="00DB426E">
              <w:rPr>
                <w:b/>
                <w:i/>
              </w:rPr>
              <w:t>(„</w:t>
            </w:r>
            <w:proofErr w:type="spellStart"/>
            <w:r w:rsidRPr="00DB426E">
              <w:rPr>
                <w:b/>
                <w:i/>
              </w:rPr>
              <w:t>cash</w:t>
            </w:r>
            <w:proofErr w:type="spellEnd"/>
            <w:r w:rsidRPr="00DB426E">
              <w:rPr>
                <w:b/>
                <w:i/>
              </w:rPr>
              <w:t xml:space="preserve"> </w:t>
            </w:r>
            <w:proofErr w:type="spellStart"/>
            <w:r w:rsidRPr="00DB426E">
              <w:rPr>
                <w:b/>
                <w:i/>
              </w:rPr>
              <w:t>credit</w:t>
            </w:r>
            <w:proofErr w:type="spellEnd"/>
            <w:r w:rsidRPr="00DB426E">
              <w:rPr>
                <w:b/>
                <w:i/>
              </w:rPr>
              <w:t xml:space="preserve">”) </w:t>
            </w:r>
            <w:r w:rsidRPr="00DB426E">
              <w:rPr>
                <w:b/>
              </w:rPr>
              <w:t>11% apmērā no valsts maziem un vidējiem uzņēmumiem zaudējumu gadījumā.</w:t>
            </w:r>
          </w:p>
          <w:p w:rsidR="00E76417" w:rsidRPr="00DB426E" w:rsidRDefault="00E76417" w:rsidP="00E76417">
            <w:pPr>
              <w:spacing w:after="60"/>
            </w:pPr>
            <w:r w:rsidRPr="00DB426E">
              <w:t xml:space="preserve">Mazie un vidējie uzņēmumi, kuru saimnieciskās darbības rezultāts ir zaudējumi, var izvēlēties atgūt no valsts 24.75% no atskaitāmajām R&amp;D izmaksām. </w:t>
            </w:r>
          </w:p>
        </w:tc>
        <w:tc>
          <w:tcPr>
            <w:tcW w:w="3510" w:type="dxa"/>
          </w:tcPr>
          <w:p w:rsidR="00E76417" w:rsidRPr="00DB426E" w:rsidRDefault="00E76417" w:rsidP="00E76417">
            <w:pPr>
              <w:spacing w:after="60"/>
            </w:pPr>
            <w:r w:rsidRPr="00DB426E">
              <w:t xml:space="preserve">Ja uzņēmums izvēlas šo atvieglojumu, attiecīgie zaudējumi 24.75% apmērā nav pārnesami uz turpmākajiem taksācijas periodiem. </w:t>
            </w:r>
          </w:p>
        </w:tc>
      </w:tr>
      <w:tr w:rsidR="00E76417" w:rsidRPr="00DB426E" w:rsidTr="00E76417">
        <w:tc>
          <w:tcPr>
            <w:tcW w:w="558" w:type="dxa"/>
            <w:vAlign w:val="center"/>
          </w:tcPr>
          <w:p w:rsidR="00E76417" w:rsidRPr="00DB426E" w:rsidRDefault="00E76417" w:rsidP="00E76417">
            <w:pPr>
              <w:spacing w:after="60"/>
              <w:jc w:val="center"/>
            </w:pPr>
          </w:p>
          <w:p w:rsidR="00E76417" w:rsidRPr="00DB426E" w:rsidRDefault="00E76417" w:rsidP="00E76417">
            <w:pPr>
              <w:spacing w:after="60"/>
              <w:jc w:val="center"/>
            </w:pPr>
            <w:r w:rsidRPr="00DB426E">
              <w:t xml:space="preserve">3. </w:t>
            </w:r>
          </w:p>
        </w:tc>
        <w:tc>
          <w:tcPr>
            <w:tcW w:w="4500" w:type="dxa"/>
          </w:tcPr>
          <w:p w:rsidR="00E76417" w:rsidRPr="00DB426E" w:rsidRDefault="00E76417" w:rsidP="00E76417">
            <w:pPr>
              <w:spacing w:after="60"/>
              <w:rPr>
                <w:b/>
                <w:i/>
              </w:rPr>
            </w:pPr>
            <w:r w:rsidRPr="00DB426E">
              <w:rPr>
                <w:b/>
                <w:i/>
              </w:rPr>
              <w:t>„</w:t>
            </w:r>
            <w:proofErr w:type="spellStart"/>
            <w:r w:rsidRPr="00DB426E">
              <w:rPr>
                <w:b/>
                <w:i/>
              </w:rPr>
              <w:t>Patent</w:t>
            </w:r>
            <w:proofErr w:type="spellEnd"/>
            <w:r w:rsidRPr="00DB426E">
              <w:rPr>
                <w:b/>
                <w:i/>
              </w:rPr>
              <w:t xml:space="preserve"> </w:t>
            </w:r>
            <w:proofErr w:type="spellStart"/>
            <w:r w:rsidRPr="00DB426E">
              <w:rPr>
                <w:b/>
                <w:i/>
              </w:rPr>
              <w:t>Box</w:t>
            </w:r>
            <w:proofErr w:type="spellEnd"/>
            <w:r w:rsidRPr="00DB426E">
              <w:rPr>
                <w:b/>
                <w:i/>
              </w:rPr>
              <w:t xml:space="preserve">” – </w:t>
            </w:r>
            <w:r w:rsidRPr="00DB426E">
              <w:rPr>
                <w:b/>
              </w:rPr>
              <w:t>10% UIN likme ienākumam no patentētiem izgudrojumiem.</w:t>
            </w:r>
          </w:p>
          <w:p w:rsidR="00E76417" w:rsidRPr="00DB426E" w:rsidRDefault="00E76417" w:rsidP="00E76417">
            <w:pPr>
              <w:spacing w:after="60"/>
            </w:pPr>
            <w:r w:rsidRPr="00DB426E">
              <w:t>Atvieglojums paredz 10% UIN likmes piemērošanu ienākumam, kas gūts no patentētiem izgudrojumiem un atsevišķām inovācijām medicīnas un botānikas jomā, par kurām ir izsniegts īpašs aizsardzības sertifikāts.</w:t>
            </w:r>
          </w:p>
          <w:p w:rsidR="00E76417" w:rsidRPr="00DB426E" w:rsidRDefault="00E76417" w:rsidP="00E76417">
            <w:pPr>
              <w:spacing w:after="60"/>
            </w:pPr>
            <w:r w:rsidRPr="00DB426E">
              <w:t>Atvieglojums ir pieejams uzņēmumiem:</w:t>
            </w:r>
          </w:p>
          <w:p w:rsidR="00E76417" w:rsidRPr="00475128" w:rsidRDefault="00E76417" w:rsidP="00E76417">
            <w:pPr>
              <w:pStyle w:val="ListParagraph"/>
              <w:numPr>
                <w:ilvl w:val="0"/>
                <w:numId w:val="40"/>
              </w:numPr>
              <w:suppressAutoHyphens w:val="0"/>
              <w:spacing w:after="60" w:line="276" w:lineRule="auto"/>
              <w:rPr>
                <w:lang w:val="lv-LV" w:eastAsia="en-US"/>
              </w:rPr>
            </w:pPr>
            <w:r w:rsidRPr="00475128">
              <w:rPr>
                <w:lang w:val="lv-LV" w:eastAsia="en-US"/>
              </w:rPr>
              <w:t xml:space="preserve">kuriem pieder patents un uzņēmums izgatavo patentēto produktu, </w:t>
            </w:r>
          </w:p>
          <w:p w:rsidR="00E76417" w:rsidRPr="00475128" w:rsidRDefault="00E76417" w:rsidP="00E76417">
            <w:pPr>
              <w:pStyle w:val="ListParagraph"/>
              <w:numPr>
                <w:ilvl w:val="0"/>
                <w:numId w:val="40"/>
              </w:numPr>
              <w:suppressAutoHyphens w:val="0"/>
              <w:spacing w:after="60" w:line="276" w:lineRule="auto"/>
              <w:rPr>
                <w:lang w:val="lv-LV" w:eastAsia="en-US"/>
              </w:rPr>
            </w:pPr>
            <w:r w:rsidRPr="00475128">
              <w:rPr>
                <w:lang w:val="lv-LV" w:eastAsia="en-US"/>
              </w:rPr>
              <w:t>kuriem ir patenta īpašnieka atļauja izmantot patentu un uzņēmums izgatavo patentēto produktu.</w:t>
            </w:r>
          </w:p>
          <w:p w:rsidR="00E76417" w:rsidRPr="00DB426E" w:rsidRDefault="00E76417" w:rsidP="00E76417">
            <w:pPr>
              <w:spacing w:after="60"/>
            </w:pPr>
            <w:r w:rsidRPr="00DB426E">
              <w:t>Ja uzņēmums, kas saņem ienākumu par patentēto izgudrojumu, ir uzņēmumu grupā, atvieglojums pieejams arī tad, ja patentēto produktu izgatavo cits grupas uzņēmums.</w:t>
            </w:r>
          </w:p>
          <w:p w:rsidR="00E76417" w:rsidRPr="00DB426E" w:rsidRDefault="00E76417" w:rsidP="00E76417">
            <w:pPr>
              <w:spacing w:after="60"/>
            </w:pPr>
            <w:r w:rsidRPr="00DB426E">
              <w:t>Atvieglojums ir pieejams par ienākumu, kas gūts no:</w:t>
            </w:r>
          </w:p>
          <w:p w:rsidR="00E76417" w:rsidRPr="00475128" w:rsidRDefault="00E76417" w:rsidP="00E76417">
            <w:pPr>
              <w:pStyle w:val="ListParagraph"/>
              <w:numPr>
                <w:ilvl w:val="0"/>
                <w:numId w:val="41"/>
              </w:numPr>
              <w:suppressAutoHyphens w:val="0"/>
              <w:spacing w:after="60" w:line="276" w:lineRule="auto"/>
              <w:rPr>
                <w:lang w:val="lv-LV" w:eastAsia="en-US"/>
              </w:rPr>
            </w:pPr>
            <w:r w:rsidRPr="00475128">
              <w:rPr>
                <w:lang w:val="lv-LV" w:eastAsia="en-US"/>
              </w:rPr>
              <w:t>patentētā produkta vai produkta, kurā daļēji izmantots patentētais izgudrojums, pārdošanas,</w:t>
            </w:r>
          </w:p>
          <w:p w:rsidR="00E76417" w:rsidRPr="00475128" w:rsidRDefault="00E76417" w:rsidP="00E76417">
            <w:pPr>
              <w:pStyle w:val="ListParagraph"/>
              <w:numPr>
                <w:ilvl w:val="0"/>
                <w:numId w:val="41"/>
              </w:numPr>
              <w:suppressAutoHyphens w:val="0"/>
              <w:spacing w:after="60" w:line="276" w:lineRule="auto"/>
              <w:rPr>
                <w:lang w:val="lv-LV" w:eastAsia="en-US"/>
              </w:rPr>
            </w:pPr>
            <w:r w:rsidRPr="00475128">
              <w:rPr>
                <w:lang w:val="lv-LV" w:eastAsia="en-US"/>
              </w:rPr>
              <w:t>tiesību nodošanas,</w:t>
            </w:r>
          </w:p>
          <w:p w:rsidR="00E76417" w:rsidRPr="00475128" w:rsidRDefault="00E76417" w:rsidP="00E76417">
            <w:pPr>
              <w:pStyle w:val="ListParagraph"/>
              <w:numPr>
                <w:ilvl w:val="0"/>
                <w:numId w:val="41"/>
              </w:numPr>
              <w:suppressAutoHyphens w:val="0"/>
              <w:spacing w:after="60" w:line="276" w:lineRule="auto"/>
              <w:rPr>
                <w:lang w:val="lv-LV" w:eastAsia="en-US"/>
              </w:rPr>
            </w:pPr>
            <w:r w:rsidRPr="00475128">
              <w:rPr>
                <w:lang w:val="lv-LV" w:eastAsia="en-US"/>
              </w:rPr>
              <w:t>tiesību pārdošanas,</w:t>
            </w:r>
          </w:p>
          <w:p w:rsidR="00E76417" w:rsidRPr="00475128" w:rsidRDefault="00E76417" w:rsidP="00E76417">
            <w:pPr>
              <w:pStyle w:val="ListParagraph"/>
              <w:numPr>
                <w:ilvl w:val="0"/>
                <w:numId w:val="41"/>
              </w:numPr>
              <w:suppressAutoHyphens w:val="0"/>
              <w:spacing w:after="60" w:line="276" w:lineRule="auto"/>
              <w:rPr>
                <w:lang w:val="lv-LV" w:eastAsia="en-US"/>
              </w:rPr>
            </w:pPr>
            <w:r w:rsidRPr="00475128">
              <w:rPr>
                <w:lang w:val="lv-LV" w:eastAsia="en-US"/>
              </w:rPr>
              <w:t>tiesību pārkāpuma rezultātā gūts ienākums,</w:t>
            </w:r>
          </w:p>
          <w:p w:rsidR="00E76417" w:rsidRPr="00475128" w:rsidRDefault="00E76417" w:rsidP="00E76417">
            <w:pPr>
              <w:pStyle w:val="ListParagraph"/>
              <w:numPr>
                <w:ilvl w:val="0"/>
                <w:numId w:val="41"/>
              </w:numPr>
              <w:suppressAutoHyphens w:val="0"/>
              <w:spacing w:after="60" w:line="276" w:lineRule="auto"/>
              <w:rPr>
                <w:lang w:val="lv-LV" w:eastAsia="en-US"/>
              </w:rPr>
            </w:pPr>
            <w:r w:rsidRPr="00475128">
              <w:rPr>
                <w:lang w:val="lv-LV" w:eastAsia="en-US"/>
              </w:rPr>
              <w:t>apdrošināšana vai cita veida kompensācija, kas saņemta patenta sakarā.</w:t>
            </w:r>
          </w:p>
        </w:tc>
        <w:tc>
          <w:tcPr>
            <w:tcW w:w="3510" w:type="dxa"/>
          </w:tcPr>
          <w:p w:rsidR="00E76417" w:rsidRPr="00DB426E" w:rsidRDefault="00E76417" w:rsidP="00E76417">
            <w:pPr>
              <w:spacing w:after="60"/>
            </w:pPr>
            <w:r w:rsidRPr="00DB426E">
              <w:t>Patentam ir jābūt reģistrētam:</w:t>
            </w:r>
          </w:p>
          <w:p w:rsidR="00E76417" w:rsidRPr="00475128" w:rsidRDefault="00E76417" w:rsidP="00E76417">
            <w:pPr>
              <w:pStyle w:val="ListParagraph"/>
              <w:numPr>
                <w:ilvl w:val="0"/>
                <w:numId w:val="24"/>
              </w:numPr>
              <w:suppressAutoHyphens w:val="0"/>
              <w:spacing w:after="60" w:line="276" w:lineRule="auto"/>
              <w:rPr>
                <w:lang w:val="lv-LV" w:eastAsia="en-US"/>
              </w:rPr>
            </w:pPr>
            <w:r w:rsidRPr="00475128">
              <w:rPr>
                <w:lang w:val="lv-LV" w:eastAsia="en-US"/>
              </w:rPr>
              <w:t>Lielbritānijas Intelektuālā īpašuma iestādē, vai</w:t>
            </w:r>
          </w:p>
          <w:p w:rsidR="00E76417" w:rsidRPr="00475128" w:rsidRDefault="00E76417" w:rsidP="00E76417">
            <w:pPr>
              <w:pStyle w:val="ListParagraph"/>
              <w:numPr>
                <w:ilvl w:val="0"/>
                <w:numId w:val="24"/>
              </w:numPr>
              <w:suppressAutoHyphens w:val="0"/>
              <w:spacing w:after="60" w:line="276" w:lineRule="auto"/>
              <w:rPr>
                <w:lang w:val="lv-LV" w:eastAsia="en-US"/>
              </w:rPr>
            </w:pPr>
            <w:r w:rsidRPr="00475128">
              <w:rPr>
                <w:lang w:val="lv-LV" w:eastAsia="en-US"/>
              </w:rPr>
              <w:t>Eiropas Patentu iestādē, vai</w:t>
            </w:r>
          </w:p>
          <w:p w:rsidR="00E76417" w:rsidRPr="00475128" w:rsidRDefault="00E76417" w:rsidP="00E76417">
            <w:pPr>
              <w:pStyle w:val="ListParagraph"/>
              <w:numPr>
                <w:ilvl w:val="0"/>
                <w:numId w:val="24"/>
              </w:numPr>
              <w:suppressAutoHyphens w:val="0"/>
              <w:spacing w:after="60" w:line="276" w:lineRule="auto"/>
              <w:rPr>
                <w:lang w:val="lv-LV" w:eastAsia="en-US"/>
              </w:rPr>
            </w:pPr>
            <w:r w:rsidRPr="00475128">
              <w:rPr>
                <w:lang w:val="lv-LV" w:eastAsia="en-US"/>
              </w:rPr>
              <w:t>kādā no sekojošām EEZ valstīm: Austrija, Bulgārija, Čehija, Dānija, Igaunija, Somija, Vācija, Ungārija, Polija, Portugāle, Rumānija, Slovākija, Zviedrija.</w:t>
            </w:r>
          </w:p>
        </w:tc>
      </w:tr>
    </w:tbl>
    <w:p w:rsidR="00E76417" w:rsidRPr="00DB426E" w:rsidRDefault="00E76417" w:rsidP="00E76417">
      <w:pPr>
        <w:pStyle w:val="Heading4"/>
        <w:numPr>
          <w:ilvl w:val="3"/>
          <w:numId w:val="4"/>
        </w:numPr>
        <w:spacing w:after="100" w:afterAutospacing="1"/>
        <w:ind w:firstLine="270"/>
        <w:rPr>
          <w:szCs w:val="24"/>
        </w:rPr>
      </w:pPr>
      <w:bookmarkStart w:id="335" w:name="_Toc358978742"/>
      <w:r w:rsidRPr="00DB426E">
        <w:rPr>
          <w:szCs w:val="24"/>
        </w:rPr>
        <w:t>Citas prasības</w:t>
      </w:r>
      <w:bookmarkEnd w:id="335"/>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 xml:space="preserve">Uzņēmumiem nav nepieciešams iepriekš saskaņot R&amp;D izmaksas un atvieglojumus ar valsti. Atvieglojumu piemērošana notiek pēc </w:t>
      </w:r>
      <w:proofErr w:type="spellStart"/>
      <w:r w:rsidRPr="00DB426E">
        <w:rPr>
          <w:rFonts w:cs="Calibri"/>
          <w:lang w:val="lv-LV"/>
        </w:rPr>
        <w:t>pašdeklarēšanās</w:t>
      </w:r>
      <w:proofErr w:type="spellEnd"/>
      <w:r w:rsidRPr="00DB426E">
        <w:rPr>
          <w:rFonts w:cs="Calibri"/>
          <w:lang w:val="lv-LV"/>
        </w:rPr>
        <w:t xml:space="preserve"> principa.</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R&amp;D atvieglojumi pieejami visās nozarēs.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R&amp;D atvieglojumi pieejami arī tad, ja uzņēmuma R&amp;D aktivitātes notiek ārpus Lielbritānijas, taču ES vai EEZ teritorijā vai valstī, ar kuru Lielbritānija ir noslēgusi konvenciju par nodokļu dubultās uzlikšanas un nodokļu nemaksāšanas novēršanu.</w:t>
      </w:r>
    </w:p>
    <w:p w:rsidR="00E76417" w:rsidRPr="00DB426E" w:rsidRDefault="00E76417" w:rsidP="00E76417">
      <w:pPr>
        <w:pStyle w:val="Heading4"/>
        <w:numPr>
          <w:ilvl w:val="3"/>
          <w:numId w:val="4"/>
        </w:numPr>
        <w:spacing w:after="100" w:afterAutospacing="1"/>
        <w:ind w:firstLine="270"/>
        <w:rPr>
          <w:szCs w:val="24"/>
        </w:rPr>
      </w:pPr>
      <w:bookmarkStart w:id="336" w:name="_Toc358978743"/>
      <w:r w:rsidRPr="00DB426E">
        <w:rPr>
          <w:szCs w:val="24"/>
        </w:rPr>
        <w:t>Atvieglojumu izmantošanas intensitāte</w:t>
      </w:r>
      <w:bookmarkEnd w:id="336"/>
    </w:p>
    <w:p w:rsidR="00E76417" w:rsidRPr="00DB426E" w:rsidRDefault="00E76417" w:rsidP="00E76417">
      <w:r w:rsidRPr="00DB426E">
        <w:t xml:space="preserve">Saskaņā ar Lielbritānijas Finanšu ministrijas sniegtajiem datiem, nodokļu atvieglojumi - apliekamā ienākuma samazinājums par R&amp;D izmaksām 130%/225% apmērā un R&amp;D izmaksu atgūšana </w:t>
      </w:r>
      <w:r w:rsidRPr="00DB426E">
        <w:rPr>
          <w:i/>
        </w:rPr>
        <w:t>(„</w:t>
      </w:r>
      <w:proofErr w:type="spellStart"/>
      <w:r w:rsidRPr="00DB426E">
        <w:rPr>
          <w:i/>
        </w:rPr>
        <w:t>cash</w:t>
      </w:r>
      <w:proofErr w:type="spellEnd"/>
      <w:r w:rsidRPr="00DB426E">
        <w:rPr>
          <w:i/>
        </w:rPr>
        <w:t xml:space="preserve"> </w:t>
      </w:r>
      <w:proofErr w:type="spellStart"/>
      <w:r w:rsidRPr="00DB426E">
        <w:rPr>
          <w:i/>
        </w:rPr>
        <w:t>credit</w:t>
      </w:r>
      <w:proofErr w:type="spellEnd"/>
      <w:r w:rsidRPr="00DB426E">
        <w:rPr>
          <w:i/>
        </w:rPr>
        <w:t xml:space="preserve">”) </w:t>
      </w:r>
      <w:r w:rsidRPr="00DB426E">
        <w:t>11% apmērā no valsts maziem un vidējiem uzņēmumiem zaudējumu gadījumā</w:t>
      </w:r>
      <w:r>
        <w:t xml:space="preserve"> </w:t>
      </w:r>
      <w:r w:rsidRPr="00DB426E">
        <w:t xml:space="preserve"> – </w:t>
      </w:r>
      <w:r>
        <w:t xml:space="preserve"> </w:t>
      </w:r>
      <w:r w:rsidRPr="00DB426E">
        <w:t>samazina budžeta ieņēmumus par vidēji GBP 1,1 miljardiem (EUR 1,3 miljardi) gadā un atbalsta privātās investīcijas par vidēji GBP 10,9 miljardiem (EUR 12,9 miljardiem) gadā. Minētos nodokļu atvieglojumus izmanto vidēji 10’290 uzņēmumu gadā, no tiem 8’170 mazie un vidējie uzņēmumi un 2’120 lielie uzņēmumi.</w:t>
      </w:r>
    </w:p>
    <w:p w:rsidR="00E76417" w:rsidRPr="00DB426E" w:rsidRDefault="00E76417" w:rsidP="00E76417">
      <w:pPr>
        <w:pStyle w:val="Heading3"/>
        <w:numPr>
          <w:ilvl w:val="2"/>
          <w:numId w:val="4"/>
        </w:numPr>
      </w:pPr>
      <w:bookmarkStart w:id="337" w:name="_Toc356472833"/>
      <w:bookmarkStart w:id="338" w:name="_Toc358978744"/>
      <w:r w:rsidRPr="00DB426E">
        <w:t>Francija</w:t>
      </w:r>
      <w:bookmarkEnd w:id="337"/>
      <w:bookmarkEnd w:id="338"/>
    </w:p>
    <w:p w:rsidR="00E76417" w:rsidRPr="00DB426E" w:rsidRDefault="00E76417" w:rsidP="00E76417">
      <w:pPr>
        <w:pStyle w:val="Heading4"/>
        <w:numPr>
          <w:ilvl w:val="3"/>
          <w:numId w:val="4"/>
        </w:numPr>
        <w:ind w:firstLine="270"/>
        <w:rPr>
          <w:szCs w:val="24"/>
        </w:rPr>
      </w:pPr>
      <w:bookmarkStart w:id="339" w:name="_Toc358978745"/>
      <w:r w:rsidRPr="00DB426E">
        <w:rPr>
          <w:szCs w:val="24"/>
        </w:rPr>
        <w:t>Pamatinformācija</w:t>
      </w:r>
      <w:bookmarkEnd w:id="339"/>
    </w:p>
    <w:p w:rsidR="00E76417" w:rsidRPr="00DB426E" w:rsidRDefault="00E76417" w:rsidP="00E76417">
      <w:r w:rsidRPr="00DB426E">
        <w:t xml:space="preserve">Francijas standarta UIN likme ir 33.33%. Ja maksājamā UIN summa pārsniedz EUR 763 tūkstošus, par summu, kas pārsniedz minēto slieksni, uzņēmumi maksā papildus nodokli 3.3% apmērā. </w:t>
      </w:r>
    </w:p>
    <w:p w:rsidR="00E76417" w:rsidRPr="00DB426E" w:rsidRDefault="00E76417" w:rsidP="00E76417">
      <w:pPr>
        <w:pStyle w:val="Heading4"/>
        <w:numPr>
          <w:ilvl w:val="3"/>
          <w:numId w:val="4"/>
        </w:numPr>
        <w:ind w:firstLine="270"/>
        <w:rPr>
          <w:szCs w:val="24"/>
        </w:rPr>
      </w:pPr>
      <w:bookmarkStart w:id="340" w:name="_Toc358978746"/>
      <w:r w:rsidRPr="00DB426E">
        <w:rPr>
          <w:szCs w:val="24"/>
        </w:rPr>
        <w:t>R&amp;D nodokļu atvieglojumi</w:t>
      </w:r>
      <w:bookmarkEnd w:id="340"/>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590"/>
        <w:gridCol w:w="3420"/>
      </w:tblGrid>
      <w:tr w:rsidR="00E76417" w:rsidRPr="00DB426E" w:rsidTr="00E76417">
        <w:tc>
          <w:tcPr>
            <w:tcW w:w="558" w:type="dxa"/>
            <w:shd w:val="clear" w:color="auto" w:fill="F2F2F2"/>
            <w:vAlign w:val="center"/>
          </w:tcPr>
          <w:p w:rsidR="00E76417" w:rsidRPr="00097DBA" w:rsidRDefault="00E76417" w:rsidP="00E76417">
            <w:pPr>
              <w:spacing w:after="60"/>
              <w:jc w:val="center"/>
              <w:rPr>
                <w:b/>
              </w:rPr>
            </w:pPr>
            <w:proofErr w:type="spellStart"/>
            <w:r w:rsidRPr="00097DBA">
              <w:rPr>
                <w:b/>
              </w:rPr>
              <w:t>Nr.p.k</w:t>
            </w:r>
            <w:proofErr w:type="spellEnd"/>
            <w:r w:rsidRPr="00097DBA">
              <w:rPr>
                <w:b/>
              </w:rPr>
              <w:t>.</w:t>
            </w:r>
          </w:p>
        </w:tc>
        <w:tc>
          <w:tcPr>
            <w:tcW w:w="4590" w:type="dxa"/>
            <w:shd w:val="clear" w:color="auto" w:fill="F2F2F2"/>
            <w:vAlign w:val="center"/>
          </w:tcPr>
          <w:p w:rsidR="00E76417" w:rsidRPr="00097DBA" w:rsidRDefault="00E76417" w:rsidP="00E76417">
            <w:pPr>
              <w:spacing w:after="60"/>
              <w:jc w:val="center"/>
              <w:rPr>
                <w:b/>
              </w:rPr>
            </w:pPr>
            <w:r w:rsidRPr="00097DBA">
              <w:rPr>
                <w:b/>
              </w:rPr>
              <w:t>Atvieglojuma apraksts</w:t>
            </w:r>
          </w:p>
        </w:tc>
        <w:tc>
          <w:tcPr>
            <w:tcW w:w="3420" w:type="dxa"/>
            <w:shd w:val="clear" w:color="auto" w:fill="F2F2F2"/>
            <w:vAlign w:val="center"/>
          </w:tcPr>
          <w:p w:rsidR="00E76417" w:rsidRPr="00097DBA" w:rsidRDefault="00E76417" w:rsidP="00E76417">
            <w:pPr>
              <w:spacing w:after="60"/>
              <w:jc w:val="center"/>
              <w:rPr>
                <w:b/>
              </w:rPr>
            </w:pPr>
            <w:r w:rsidRPr="00097DBA">
              <w:rPr>
                <w:b/>
              </w:rPr>
              <w:t>Atvieglojuma piemērošanas ierobežojumi</w:t>
            </w:r>
          </w:p>
        </w:tc>
      </w:tr>
      <w:tr w:rsidR="00E76417" w:rsidRPr="00DB426E" w:rsidTr="00E76417">
        <w:tc>
          <w:tcPr>
            <w:tcW w:w="558" w:type="dxa"/>
            <w:vAlign w:val="center"/>
          </w:tcPr>
          <w:p w:rsidR="00E76417" w:rsidRPr="00DB426E" w:rsidRDefault="00E76417" w:rsidP="00E76417">
            <w:pPr>
              <w:spacing w:after="60"/>
              <w:jc w:val="center"/>
            </w:pPr>
          </w:p>
          <w:p w:rsidR="00E76417" w:rsidRPr="00DB426E" w:rsidRDefault="00E76417" w:rsidP="00E76417">
            <w:pPr>
              <w:spacing w:after="60"/>
              <w:jc w:val="center"/>
            </w:pPr>
            <w:r w:rsidRPr="00DB426E">
              <w:t>1.</w:t>
            </w:r>
          </w:p>
        </w:tc>
        <w:tc>
          <w:tcPr>
            <w:tcW w:w="4590" w:type="dxa"/>
          </w:tcPr>
          <w:p w:rsidR="00E76417" w:rsidRPr="00DB426E" w:rsidRDefault="00E76417" w:rsidP="00E76417">
            <w:pPr>
              <w:spacing w:after="60"/>
              <w:rPr>
                <w:b/>
              </w:rPr>
            </w:pPr>
            <w:r w:rsidRPr="00DB426E">
              <w:rPr>
                <w:b/>
              </w:rPr>
              <w:t xml:space="preserve">Nodokļu kredīts jeb maksājamās UIN summas samazinājums </w:t>
            </w:r>
            <w:r w:rsidRPr="00DB426E">
              <w:rPr>
                <w:b/>
                <w:i/>
              </w:rPr>
              <w:t>(„</w:t>
            </w:r>
            <w:proofErr w:type="spellStart"/>
            <w:r w:rsidRPr="00DB426E">
              <w:rPr>
                <w:b/>
                <w:i/>
              </w:rPr>
              <w:t>tax</w:t>
            </w:r>
            <w:proofErr w:type="spellEnd"/>
            <w:r w:rsidRPr="00DB426E">
              <w:rPr>
                <w:b/>
                <w:i/>
              </w:rPr>
              <w:t xml:space="preserve"> </w:t>
            </w:r>
            <w:proofErr w:type="spellStart"/>
            <w:r w:rsidRPr="00DB426E">
              <w:rPr>
                <w:b/>
                <w:i/>
              </w:rPr>
              <w:t>credit</w:t>
            </w:r>
            <w:proofErr w:type="spellEnd"/>
            <w:r w:rsidRPr="00DB426E">
              <w:rPr>
                <w:b/>
                <w:i/>
              </w:rPr>
              <w:t>”)</w:t>
            </w:r>
            <w:r w:rsidRPr="00DB426E">
              <w:rPr>
                <w:b/>
              </w:rPr>
              <w:t xml:space="preserve"> par 30% no R&amp;D izmaksām.</w:t>
            </w:r>
          </w:p>
          <w:p w:rsidR="00E76417" w:rsidRPr="00DB426E" w:rsidRDefault="00E76417" w:rsidP="00E76417">
            <w:pPr>
              <w:spacing w:after="60"/>
            </w:pPr>
            <w:r w:rsidRPr="00DB426E">
              <w:t>Visas R&amp;D izmaksas ir atskaitāmas gadā, kad tās ir radušās. Taču par R&amp;D izmaksām ir iespējams arī samazināt maksājamā UIN summu saskaņā ar šādām likmēm:</w:t>
            </w:r>
          </w:p>
          <w:p w:rsidR="00E76417" w:rsidRPr="00475128" w:rsidRDefault="00E76417" w:rsidP="00E76417">
            <w:pPr>
              <w:pStyle w:val="ListParagraph"/>
              <w:numPr>
                <w:ilvl w:val="0"/>
                <w:numId w:val="42"/>
              </w:numPr>
              <w:suppressAutoHyphens w:val="0"/>
              <w:spacing w:after="60" w:line="276" w:lineRule="auto"/>
              <w:rPr>
                <w:lang w:val="lv-LV" w:eastAsia="en-US"/>
              </w:rPr>
            </w:pPr>
            <w:r w:rsidRPr="00475128">
              <w:rPr>
                <w:lang w:val="lv-LV" w:eastAsia="en-US"/>
              </w:rPr>
              <w:t xml:space="preserve">30% no R&amp;D izmaksām par pirmajiem EUR 100 miljoniem, </w:t>
            </w:r>
          </w:p>
          <w:p w:rsidR="00E76417" w:rsidRPr="00475128" w:rsidRDefault="00E76417" w:rsidP="00E76417">
            <w:pPr>
              <w:pStyle w:val="ListParagraph"/>
              <w:numPr>
                <w:ilvl w:val="0"/>
                <w:numId w:val="42"/>
              </w:numPr>
              <w:suppressAutoHyphens w:val="0"/>
              <w:spacing w:after="60" w:line="276" w:lineRule="auto"/>
              <w:rPr>
                <w:lang w:val="lv-LV" w:eastAsia="en-US"/>
              </w:rPr>
            </w:pPr>
            <w:r w:rsidRPr="00475128">
              <w:rPr>
                <w:lang w:val="lv-LV" w:eastAsia="en-US"/>
              </w:rPr>
              <w:t>5% no R&amp;D izmaksām par summu, kas pārsniedz EUR 100 miljonus.</w:t>
            </w:r>
          </w:p>
          <w:p w:rsidR="00E76417" w:rsidRPr="00DB426E" w:rsidRDefault="00E76417" w:rsidP="00E76417">
            <w:pPr>
              <w:spacing w:after="60"/>
            </w:pPr>
            <w:r w:rsidRPr="00DB426E">
              <w:t>R&amp;D izmaksas, uz kurām attiecas atvieglojums:</w:t>
            </w:r>
          </w:p>
          <w:p w:rsidR="00E76417" w:rsidRPr="00DB426E" w:rsidRDefault="00E76417" w:rsidP="00E76417">
            <w:pPr>
              <w:numPr>
                <w:ilvl w:val="0"/>
                <w:numId w:val="43"/>
              </w:numPr>
              <w:spacing w:after="60"/>
            </w:pPr>
            <w:r w:rsidRPr="00DB426E">
              <w:t>R&amp;D aktivitātēs iesaistīto darbinieku algas,</w:t>
            </w:r>
          </w:p>
          <w:p w:rsidR="00E76417" w:rsidRPr="00475128" w:rsidRDefault="00E76417" w:rsidP="00E76417">
            <w:pPr>
              <w:pStyle w:val="ListParagraph"/>
              <w:numPr>
                <w:ilvl w:val="0"/>
                <w:numId w:val="43"/>
              </w:numPr>
              <w:suppressAutoHyphens w:val="0"/>
              <w:spacing w:after="60" w:line="276" w:lineRule="auto"/>
              <w:rPr>
                <w:lang w:val="lv-LV" w:eastAsia="en-US"/>
              </w:rPr>
            </w:pPr>
            <w:r w:rsidRPr="00475128">
              <w:rPr>
                <w:lang w:val="lv-LV" w:eastAsia="en-US"/>
              </w:rPr>
              <w:t>trešo pušu pakalpojumu izmaksas,</w:t>
            </w:r>
          </w:p>
          <w:p w:rsidR="00E76417" w:rsidRPr="00475128" w:rsidRDefault="00E76417" w:rsidP="00E76417">
            <w:pPr>
              <w:pStyle w:val="ListParagraph"/>
              <w:numPr>
                <w:ilvl w:val="0"/>
                <w:numId w:val="43"/>
              </w:numPr>
              <w:suppressAutoHyphens w:val="0"/>
              <w:spacing w:after="60" w:line="276" w:lineRule="auto"/>
              <w:rPr>
                <w:lang w:val="lv-LV" w:eastAsia="en-US"/>
              </w:rPr>
            </w:pPr>
            <w:r w:rsidRPr="00475128">
              <w:rPr>
                <w:lang w:val="lv-LV" w:eastAsia="en-US"/>
              </w:rPr>
              <w:t>dažādi ar R&amp;D saistīti administratīvie izdevumi,</w:t>
            </w:r>
          </w:p>
          <w:p w:rsidR="00E76417" w:rsidRPr="00475128" w:rsidRDefault="00E76417" w:rsidP="00E76417">
            <w:pPr>
              <w:pStyle w:val="ListParagraph"/>
              <w:numPr>
                <w:ilvl w:val="0"/>
                <w:numId w:val="43"/>
              </w:numPr>
              <w:suppressAutoHyphens w:val="0"/>
              <w:spacing w:after="60" w:line="276" w:lineRule="auto"/>
              <w:rPr>
                <w:lang w:val="lv-LV" w:eastAsia="en-US"/>
              </w:rPr>
            </w:pPr>
            <w:r w:rsidRPr="00475128">
              <w:rPr>
                <w:lang w:val="lv-LV" w:eastAsia="en-US"/>
              </w:rPr>
              <w:t>patentu izmaksas,</w:t>
            </w:r>
          </w:p>
          <w:p w:rsidR="00E76417" w:rsidRPr="00475128" w:rsidRDefault="00E76417" w:rsidP="00E76417">
            <w:pPr>
              <w:pStyle w:val="ListParagraph"/>
              <w:numPr>
                <w:ilvl w:val="0"/>
                <w:numId w:val="43"/>
              </w:numPr>
              <w:suppressAutoHyphens w:val="0"/>
              <w:spacing w:after="60" w:line="276" w:lineRule="auto"/>
              <w:rPr>
                <w:lang w:val="lv-LV" w:eastAsia="en-US"/>
              </w:rPr>
            </w:pPr>
            <w:r w:rsidRPr="00475128">
              <w:rPr>
                <w:lang w:val="lv-LV" w:eastAsia="en-US"/>
              </w:rPr>
              <w:t>tehnoloģiskās uzraudzības izmaksas.</w:t>
            </w:r>
          </w:p>
          <w:p w:rsidR="00E76417" w:rsidRPr="00DB426E" w:rsidRDefault="00E76417" w:rsidP="00E76417">
            <w:pPr>
              <w:spacing w:after="60"/>
            </w:pPr>
            <w:r w:rsidRPr="00DB426E">
              <w:t>Neizmantotais UIN samazinājums var tikt pārnests uz nākošajiem trīs taksācijas gadiem . Ja samazinājums nav pilnībā izmantots trīs gadu laikā, valsts neizmantoto daļu uzņēmumam atmaksā. Atmaksa tiek veikta pēc trīs gadiem (jauniem uzņēmumiem, kas pastāv ne ilgāk kā piecus gadus, kā arī maziem un vidējiem uzņēmumiem – uzreiz).</w:t>
            </w:r>
          </w:p>
        </w:tc>
        <w:tc>
          <w:tcPr>
            <w:tcW w:w="3420" w:type="dxa"/>
          </w:tcPr>
          <w:p w:rsidR="00E76417" w:rsidRPr="00DB426E" w:rsidRDefault="00E76417" w:rsidP="00E76417">
            <w:pPr>
              <w:spacing w:after="60"/>
            </w:pPr>
            <w:r w:rsidRPr="00DB426E">
              <w:t>Atvieglojums neattiecas uz materiālu, kas izmantoti R&amp;D aktivitātes, izmaksām.</w:t>
            </w:r>
          </w:p>
        </w:tc>
      </w:tr>
      <w:tr w:rsidR="00E76417" w:rsidRPr="00DB426E" w:rsidTr="00E76417">
        <w:tc>
          <w:tcPr>
            <w:tcW w:w="558" w:type="dxa"/>
            <w:vAlign w:val="center"/>
          </w:tcPr>
          <w:p w:rsidR="00E76417" w:rsidRPr="00DB426E" w:rsidRDefault="00E76417" w:rsidP="00E76417">
            <w:pPr>
              <w:spacing w:after="60"/>
              <w:jc w:val="center"/>
            </w:pPr>
            <w:r w:rsidRPr="00DB426E">
              <w:t>2.</w:t>
            </w:r>
          </w:p>
        </w:tc>
        <w:tc>
          <w:tcPr>
            <w:tcW w:w="4590" w:type="dxa"/>
          </w:tcPr>
          <w:p w:rsidR="00E76417" w:rsidRPr="00DB426E" w:rsidRDefault="00E76417" w:rsidP="00E76417">
            <w:pPr>
              <w:spacing w:after="60"/>
              <w:rPr>
                <w:b/>
              </w:rPr>
            </w:pPr>
            <w:r w:rsidRPr="00DB426E">
              <w:rPr>
                <w:b/>
              </w:rPr>
              <w:t>Nodokļu kredīts jeb maksājamā UIN samazinājums 20% apmērā no R&amp;D izmaksām maziem un vidējiem uzņēmumiem.</w:t>
            </w:r>
          </w:p>
          <w:p w:rsidR="00E76417" w:rsidRPr="00DB426E" w:rsidRDefault="00E76417" w:rsidP="00E76417">
            <w:pPr>
              <w:spacing w:after="60"/>
            </w:pPr>
            <w:r w:rsidRPr="00DB426E">
              <w:t xml:space="preserve">Atvieglojums attiecas uz prototipu dizaina un </w:t>
            </w:r>
            <w:proofErr w:type="spellStart"/>
            <w:r w:rsidRPr="00DB426E">
              <w:t>pilotproduktu</w:t>
            </w:r>
            <w:proofErr w:type="spellEnd"/>
            <w:r w:rsidRPr="00DB426E">
              <w:t xml:space="preserve"> izmaksām.</w:t>
            </w:r>
          </w:p>
          <w:p w:rsidR="00E76417" w:rsidRPr="00DB426E" w:rsidRDefault="00E76417" w:rsidP="00E76417">
            <w:pPr>
              <w:spacing w:after="60"/>
            </w:pPr>
            <w:r w:rsidRPr="00DB426E">
              <w:t>Lai uzņēmumam būtu pieejams atvieglojums, tam ir jāatbilst šādām prasībām:</w:t>
            </w:r>
          </w:p>
          <w:p w:rsidR="00E76417" w:rsidRPr="00475128" w:rsidRDefault="00E76417" w:rsidP="00E76417">
            <w:pPr>
              <w:pStyle w:val="ListParagraph"/>
              <w:numPr>
                <w:ilvl w:val="0"/>
                <w:numId w:val="44"/>
              </w:numPr>
              <w:suppressAutoHyphens w:val="0"/>
              <w:spacing w:after="60" w:line="276" w:lineRule="auto"/>
              <w:rPr>
                <w:lang w:val="lv-LV" w:eastAsia="en-US"/>
              </w:rPr>
            </w:pPr>
            <w:r w:rsidRPr="00475128">
              <w:rPr>
                <w:lang w:val="lv-LV" w:eastAsia="en-US"/>
              </w:rPr>
              <w:t xml:space="preserve">mazs vai vidējs uzņēmums (darbinieki &lt;250, gada apgrozījums &lt;EUR 50 miljoni), </w:t>
            </w:r>
          </w:p>
          <w:p w:rsidR="00E76417" w:rsidRPr="00475128" w:rsidRDefault="00E76417" w:rsidP="00E76417">
            <w:pPr>
              <w:pStyle w:val="ListParagraph"/>
              <w:numPr>
                <w:ilvl w:val="0"/>
                <w:numId w:val="44"/>
              </w:numPr>
              <w:suppressAutoHyphens w:val="0"/>
              <w:spacing w:after="60" w:line="276" w:lineRule="auto"/>
              <w:rPr>
                <w:lang w:val="lv-LV" w:eastAsia="en-US"/>
              </w:rPr>
            </w:pPr>
            <w:r w:rsidRPr="00475128">
              <w:rPr>
                <w:lang w:val="lv-LV" w:eastAsia="en-US"/>
              </w:rPr>
              <w:t>pastāv mazāk kā 8 gadus,</w:t>
            </w:r>
          </w:p>
          <w:p w:rsidR="00E76417" w:rsidRPr="00475128" w:rsidRDefault="00E76417" w:rsidP="00E76417">
            <w:pPr>
              <w:pStyle w:val="ListParagraph"/>
              <w:numPr>
                <w:ilvl w:val="0"/>
                <w:numId w:val="44"/>
              </w:numPr>
              <w:suppressAutoHyphens w:val="0"/>
              <w:spacing w:after="60" w:line="276" w:lineRule="auto"/>
              <w:rPr>
                <w:lang w:val="lv-LV" w:eastAsia="en-US"/>
              </w:rPr>
            </w:pPr>
            <w:r w:rsidRPr="00475128">
              <w:rPr>
                <w:lang w:val="lv-LV" w:eastAsia="en-US"/>
              </w:rPr>
              <w:t>vismaz 15% izdevumu tiek novirzīti R&amp;D aktivitātēm,</w:t>
            </w:r>
          </w:p>
          <w:p w:rsidR="00E76417" w:rsidRPr="00475128" w:rsidRDefault="00E76417" w:rsidP="00E76417">
            <w:pPr>
              <w:pStyle w:val="ListParagraph"/>
              <w:numPr>
                <w:ilvl w:val="0"/>
                <w:numId w:val="44"/>
              </w:numPr>
              <w:suppressAutoHyphens w:val="0"/>
              <w:spacing w:after="60" w:line="276" w:lineRule="auto"/>
              <w:rPr>
                <w:lang w:val="lv-LV" w:eastAsia="en-US"/>
              </w:rPr>
            </w:pPr>
            <w:r w:rsidRPr="00475128">
              <w:rPr>
                <w:lang w:val="lv-LV" w:eastAsia="en-US"/>
              </w:rPr>
              <w:t>vismaz 50% pamatkapitāla tieši vai netieši pieder fiziskām personām, citam inovatīvam mazam vai vidējam uzņēmumam, riska kapitāla fondam (ar izņēmumiem) vai publiskai institūcijai, kas specializējas R&amp;D (</w:t>
            </w:r>
            <w:r w:rsidRPr="00475128">
              <w:rPr>
                <w:i/>
                <w:lang w:val="lv-LV" w:eastAsia="en-US"/>
              </w:rPr>
              <w:t>„</w:t>
            </w:r>
            <w:proofErr w:type="spellStart"/>
            <w:r w:rsidRPr="00475128">
              <w:rPr>
                <w:i/>
                <w:lang w:val="lv-LV" w:eastAsia="en-US"/>
              </w:rPr>
              <w:t>jeunes</w:t>
            </w:r>
            <w:proofErr w:type="spellEnd"/>
            <w:r w:rsidRPr="00475128">
              <w:rPr>
                <w:i/>
                <w:lang w:val="lv-LV" w:eastAsia="en-US"/>
              </w:rPr>
              <w:t xml:space="preserve"> </w:t>
            </w:r>
            <w:proofErr w:type="spellStart"/>
            <w:r w:rsidRPr="00475128">
              <w:rPr>
                <w:i/>
                <w:lang w:val="lv-LV" w:eastAsia="en-US"/>
              </w:rPr>
              <w:t>entreprises</w:t>
            </w:r>
            <w:proofErr w:type="spellEnd"/>
            <w:r w:rsidRPr="00475128">
              <w:rPr>
                <w:i/>
                <w:lang w:val="lv-LV" w:eastAsia="en-US"/>
              </w:rPr>
              <w:t xml:space="preserve"> </w:t>
            </w:r>
            <w:proofErr w:type="spellStart"/>
            <w:r w:rsidRPr="00475128">
              <w:rPr>
                <w:i/>
                <w:lang w:val="lv-LV" w:eastAsia="en-US"/>
              </w:rPr>
              <w:t>universitaires</w:t>
            </w:r>
            <w:proofErr w:type="spellEnd"/>
            <w:r w:rsidRPr="00475128">
              <w:rPr>
                <w:i/>
                <w:lang w:val="lv-LV" w:eastAsia="en-US"/>
              </w:rPr>
              <w:t>”).</w:t>
            </w:r>
          </w:p>
        </w:tc>
        <w:tc>
          <w:tcPr>
            <w:tcW w:w="3420" w:type="dxa"/>
          </w:tcPr>
          <w:p w:rsidR="00E76417" w:rsidRPr="00DB426E" w:rsidRDefault="00E76417" w:rsidP="00E76417">
            <w:pPr>
              <w:spacing w:after="60"/>
            </w:pPr>
            <w:r w:rsidRPr="00DB426E">
              <w:t>Attiecināmās izmaksas – ne vairāk kā EUR 400 tūkstošu gadā.</w:t>
            </w:r>
          </w:p>
        </w:tc>
      </w:tr>
      <w:tr w:rsidR="00E76417" w:rsidRPr="00DB426E" w:rsidTr="00E76417">
        <w:tc>
          <w:tcPr>
            <w:tcW w:w="558" w:type="dxa"/>
            <w:vAlign w:val="center"/>
          </w:tcPr>
          <w:p w:rsidR="00E76417" w:rsidRPr="00DB426E" w:rsidRDefault="00E76417" w:rsidP="00E76417">
            <w:pPr>
              <w:spacing w:after="60"/>
              <w:jc w:val="center"/>
            </w:pPr>
            <w:r w:rsidRPr="00DB426E">
              <w:t>3.</w:t>
            </w:r>
          </w:p>
        </w:tc>
        <w:tc>
          <w:tcPr>
            <w:tcW w:w="4590" w:type="dxa"/>
            <w:vAlign w:val="center"/>
          </w:tcPr>
          <w:p w:rsidR="00E76417" w:rsidRPr="00DB426E" w:rsidRDefault="00E76417" w:rsidP="00E76417">
            <w:pPr>
              <w:spacing w:after="60"/>
              <w:rPr>
                <w:b/>
              </w:rPr>
            </w:pPr>
            <w:r w:rsidRPr="00DB426E">
              <w:rPr>
                <w:b/>
              </w:rPr>
              <w:t>Palielināta nolietojuma likme R&amp;D aktivitātes izmantotajiem pamatlīdzekļiem.</w:t>
            </w:r>
          </w:p>
          <w:p w:rsidR="00E76417" w:rsidRPr="00DB426E" w:rsidRDefault="00E76417" w:rsidP="00E76417">
            <w:pPr>
              <w:spacing w:after="60"/>
            </w:pPr>
            <w:r w:rsidRPr="00DB426E">
              <w:t>Pirms nolietojuma summas aprēķināšanas vērtību palielina par šādu koeficientu:</w:t>
            </w:r>
          </w:p>
          <w:p w:rsidR="00E76417" w:rsidRPr="00475128" w:rsidRDefault="00E76417" w:rsidP="00E76417">
            <w:pPr>
              <w:pStyle w:val="ListParagraph"/>
              <w:numPr>
                <w:ilvl w:val="0"/>
                <w:numId w:val="45"/>
              </w:numPr>
              <w:suppressAutoHyphens w:val="0"/>
              <w:spacing w:after="60" w:line="276" w:lineRule="auto"/>
              <w:rPr>
                <w:lang w:val="lv-LV" w:eastAsia="en-US"/>
              </w:rPr>
            </w:pPr>
            <w:r w:rsidRPr="00475128">
              <w:rPr>
                <w:lang w:val="lv-LV" w:eastAsia="en-US"/>
              </w:rPr>
              <w:t>1.5 – pamatlīdzekļiem, kas norakstāmi 3-4 gados,</w:t>
            </w:r>
          </w:p>
          <w:p w:rsidR="00E76417" w:rsidRPr="00475128" w:rsidRDefault="00E76417" w:rsidP="00E76417">
            <w:pPr>
              <w:pStyle w:val="ListParagraph"/>
              <w:numPr>
                <w:ilvl w:val="0"/>
                <w:numId w:val="45"/>
              </w:numPr>
              <w:suppressAutoHyphens w:val="0"/>
              <w:spacing w:after="60" w:line="276" w:lineRule="auto"/>
              <w:rPr>
                <w:lang w:val="lv-LV" w:eastAsia="en-US"/>
              </w:rPr>
            </w:pPr>
            <w:r w:rsidRPr="00475128">
              <w:rPr>
                <w:lang w:val="lv-LV" w:eastAsia="en-US"/>
              </w:rPr>
              <w:t>2 – pamatlīdzekļiem, kas norakstāmi 5-6 gados,</w:t>
            </w:r>
          </w:p>
          <w:p w:rsidR="00E76417" w:rsidRPr="00475128" w:rsidRDefault="00E76417" w:rsidP="00E76417">
            <w:pPr>
              <w:pStyle w:val="ListParagraph"/>
              <w:numPr>
                <w:ilvl w:val="0"/>
                <w:numId w:val="45"/>
              </w:numPr>
              <w:suppressAutoHyphens w:val="0"/>
              <w:spacing w:after="60" w:line="276" w:lineRule="auto"/>
              <w:rPr>
                <w:lang w:val="lv-LV" w:eastAsia="en-US"/>
              </w:rPr>
            </w:pPr>
            <w:r w:rsidRPr="00475128">
              <w:rPr>
                <w:lang w:val="lv-LV" w:eastAsia="en-US"/>
              </w:rPr>
              <w:t>2.5 – pamatlīdzekļiem, kas norakstāmi vairāk kā 6 gados.</w:t>
            </w:r>
          </w:p>
        </w:tc>
        <w:tc>
          <w:tcPr>
            <w:tcW w:w="3420" w:type="dxa"/>
            <w:vAlign w:val="center"/>
          </w:tcPr>
          <w:p w:rsidR="00E76417" w:rsidRPr="00DB426E" w:rsidRDefault="00E76417" w:rsidP="00E76417">
            <w:pPr>
              <w:spacing w:after="60"/>
              <w:jc w:val="center"/>
            </w:pPr>
          </w:p>
        </w:tc>
      </w:tr>
      <w:tr w:rsidR="00E76417" w:rsidRPr="00DB426E" w:rsidTr="00E76417">
        <w:tc>
          <w:tcPr>
            <w:tcW w:w="558" w:type="dxa"/>
            <w:vAlign w:val="center"/>
          </w:tcPr>
          <w:p w:rsidR="00E76417" w:rsidRPr="00DB426E" w:rsidRDefault="00E76417" w:rsidP="00E76417">
            <w:pPr>
              <w:spacing w:after="60"/>
              <w:jc w:val="center"/>
            </w:pPr>
            <w:r w:rsidRPr="00DB426E">
              <w:t>4.</w:t>
            </w:r>
          </w:p>
        </w:tc>
        <w:tc>
          <w:tcPr>
            <w:tcW w:w="4590" w:type="dxa"/>
            <w:vAlign w:val="center"/>
          </w:tcPr>
          <w:p w:rsidR="00E76417" w:rsidRPr="00DB426E" w:rsidRDefault="00E76417" w:rsidP="00E76417">
            <w:pPr>
              <w:spacing w:after="60"/>
              <w:rPr>
                <w:b/>
              </w:rPr>
            </w:pPr>
            <w:r w:rsidRPr="00DB426E">
              <w:rPr>
                <w:b/>
              </w:rPr>
              <w:t>Samazināta UIN likme 15% apmērā par ienākumu no patentētiem izgudrojumiem.</w:t>
            </w:r>
          </w:p>
          <w:p w:rsidR="00E76417" w:rsidRPr="00DB426E" w:rsidRDefault="00E76417" w:rsidP="00E76417">
            <w:pPr>
              <w:spacing w:after="60"/>
            </w:pPr>
            <w:r w:rsidRPr="00DB426E">
              <w:t>Atvieglojums ir pieejams par ienākumu, kas gūts no:</w:t>
            </w:r>
          </w:p>
          <w:p w:rsidR="00E76417" w:rsidRPr="00475128" w:rsidRDefault="00E76417" w:rsidP="00E76417">
            <w:pPr>
              <w:pStyle w:val="ListParagraph"/>
              <w:numPr>
                <w:ilvl w:val="0"/>
                <w:numId w:val="46"/>
              </w:numPr>
              <w:suppressAutoHyphens w:val="0"/>
              <w:spacing w:after="60" w:line="276" w:lineRule="auto"/>
              <w:rPr>
                <w:lang w:val="lv-LV" w:eastAsia="en-US"/>
              </w:rPr>
            </w:pPr>
            <w:r w:rsidRPr="00475128">
              <w:rPr>
                <w:lang w:val="lv-LV" w:eastAsia="en-US"/>
              </w:rPr>
              <w:t>tiesību nodošanas,</w:t>
            </w:r>
          </w:p>
          <w:p w:rsidR="00E76417" w:rsidRPr="00475128" w:rsidRDefault="00E76417" w:rsidP="00E76417">
            <w:pPr>
              <w:pStyle w:val="ListParagraph"/>
              <w:numPr>
                <w:ilvl w:val="0"/>
                <w:numId w:val="46"/>
              </w:numPr>
              <w:suppressAutoHyphens w:val="0"/>
              <w:spacing w:after="60" w:line="276" w:lineRule="auto"/>
              <w:rPr>
                <w:lang w:val="lv-LV"/>
              </w:rPr>
            </w:pPr>
            <w:r w:rsidRPr="00475128">
              <w:rPr>
                <w:lang w:val="lv-LV" w:eastAsia="en-US"/>
              </w:rPr>
              <w:t>tiesību pārdošanas.</w:t>
            </w:r>
          </w:p>
        </w:tc>
        <w:tc>
          <w:tcPr>
            <w:tcW w:w="3420" w:type="dxa"/>
            <w:vAlign w:val="center"/>
          </w:tcPr>
          <w:p w:rsidR="00E76417" w:rsidRPr="00DB426E" w:rsidRDefault="00E76417" w:rsidP="00E76417">
            <w:pPr>
              <w:spacing w:after="60"/>
            </w:pPr>
            <w:r w:rsidRPr="00DB426E">
              <w:t>Lai varētu izmantot atvieglojumu, uzņēmumam tiesību nodošanas vai pārdošanas brīdī patentam ir jāpieder vismaz 2 gadus.</w:t>
            </w:r>
          </w:p>
          <w:p w:rsidR="00E76417" w:rsidRPr="00DB426E" w:rsidRDefault="00E76417" w:rsidP="00E76417">
            <w:pPr>
              <w:spacing w:after="60"/>
            </w:pPr>
            <w:r w:rsidRPr="00DB426E">
              <w:t xml:space="preserve">Atvieglojums nav piemērojams, ja darījums notiek starp saistītām pusēm. </w:t>
            </w:r>
          </w:p>
        </w:tc>
      </w:tr>
    </w:tbl>
    <w:p w:rsidR="00E76417" w:rsidRPr="00DB426E" w:rsidRDefault="00E76417" w:rsidP="00E76417"/>
    <w:p w:rsidR="00E76417" w:rsidRPr="00DB426E" w:rsidRDefault="00E76417" w:rsidP="00E76417">
      <w:pPr>
        <w:pStyle w:val="Heading4"/>
        <w:numPr>
          <w:ilvl w:val="3"/>
          <w:numId w:val="4"/>
        </w:numPr>
        <w:spacing w:after="100" w:afterAutospacing="1"/>
        <w:ind w:firstLine="270"/>
        <w:rPr>
          <w:szCs w:val="24"/>
        </w:rPr>
      </w:pPr>
      <w:bookmarkStart w:id="341" w:name="_Toc358978747"/>
      <w:r w:rsidRPr="00DB426E">
        <w:rPr>
          <w:szCs w:val="24"/>
        </w:rPr>
        <w:t>Citas prasības</w:t>
      </w:r>
      <w:bookmarkEnd w:id="341"/>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 xml:space="preserve">Uzņēmumiem nav nepieciešams iepriekš saskaņot R&amp;D izmaksas un atvieglojumus ar valsti. Atvieglojumu piemērošana notiek pēc </w:t>
      </w:r>
      <w:proofErr w:type="spellStart"/>
      <w:r w:rsidRPr="00DB426E">
        <w:rPr>
          <w:rFonts w:cs="Calibri"/>
          <w:lang w:val="lv-LV"/>
        </w:rPr>
        <w:t>pašdeklarēšanās</w:t>
      </w:r>
      <w:proofErr w:type="spellEnd"/>
      <w:r w:rsidRPr="00DB426E">
        <w:rPr>
          <w:rFonts w:cs="Calibri"/>
          <w:lang w:val="lv-LV"/>
        </w:rPr>
        <w:t xml:space="preserve"> principa.</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R&amp;D atvieglojumi pieejami visās nozarēs.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Atvieglojumi pieejami arī tad, ja uzņēmuma R&amp;D aktivitātes notiek ārpus Francijas, taču ES vai EEZ teritorijā vai valstī, ar kuru Francija ir noslēgusi konvenciju par nodokļu dubultās uzlikšanas un nodokļu nemaksāšanas novēršanu.</w:t>
      </w:r>
    </w:p>
    <w:p w:rsidR="00E76417" w:rsidRPr="00DB426E" w:rsidRDefault="00E76417" w:rsidP="00E76417">
      <w:pPr>
        <w:pStyle w:val="Heading3"/>
        <w:numPr>
          <w:ilvl w:val="2"/>
          <w:numId w:val="4"/>
        </w:numPr>
      </w:pPr>
      <w:bookmarkStart w:id="342" w:name="_Toc356472834"/>
      <w:bookmarkStart w:id="343" w:name="_Toc358978748"/>
      <w:r w:rsidRPr="00DB426E">
        <w:t>Igaunija</w:t>
      </w:r>
      <w:bookmarkEnd w:id="342"/>
      <w:bookmarkEnd w:id="343"/>
    </w:p>
    <w:p w:rsidR="00E76417" w:rsidRPr="00DB426E" w:rsidRDefault="00E76417" w:rsidP="00E76417">
      <w:pPr>
        <w:pStyle w:val="Heading4"/>
        <w:numPr>
          <w:ilvl w:val="3"/>
          <w:numId w:val="4"/>
        </w:numPr>
        <w:ind w:firstLine="270"/>
        <w:rPr>
          <w:szCs w:val="24"/>
        </w:rPr>
      </w:pPr>
      <w:bookmarkStart w:id="344" w:name="_Toc358978749"/>
      <w:r w:rsidRPr="00DB426E">
        <w:rPr>
          <w:szCs w:val="24"/>
        </w:rPr>
        <w:t>Pamatinformācija</w:t>
      </w:r>
      <w:bookmarkEnd w:id="344"/>
    </w:p>
    <w:p w:rsidR="00E76417" w:rsidRPr="00DB426E" w:rsidRDefault="00E76417" w:rsidP="00E76417">
      <w:r w:rsidRPr="00DB426E">
        <w:t>Igaunijas UIN likme ir 21/79 no neto summas (21% no bruto summas), kas tiek piemērota tikai peļņas izmaksas gadījumā.</w:t>
      </w:r>
    </w:p>
    <w:p w:rsidR="00E76417" w:rsidRPr="00DB426E" w:rsidRDefault="00E76417" w:rsidP="00E76417">
      <w:pPr>
        <w:pStyle w:val="Heading4"/>
        <w:numPr>
          <w:ilvl w:val="3"/>
          <w:numId w:val="4"/>
        </w:numPr>
        <w:ind w:firstLine="270"/>
        <w:rPr>
          <w:szCs w:val="24"/>
        </w:rPr>
      </w:pPr>
      <w:bookmarkStart w:id="345" w:name="_Toc358978750"/>
      <w:r w:rsidRPr="00DB426E">
        <w:rPr>
          <w:szCs w:val="24"/>
        </w:rPr>
        <w:t>R&amp;D nodokļu atvieglojumi</w:t>
      </w:r>
      <w:bookmarkEnd w:id="345"/>
    </w:p>
    <w:p w:rsidR="00E76417" w:rsidRPr="00DB426E" w:rsidRDefault="00E76417" w:rsidP="00E76417">
      <w:r w:rsidRPr="00DB426E">
        <w:t>Igaunijas normatīvie akti neparedz R&amp;D nodokļu atvieglojumus.</w:t>
      </w:r>
    </w:p>
    <w:p w:rsidR="00E76417" w:rsidRPr="00DB426E" w:rsidRDefault="00E76417" w:rsidP="00E76417">
      <w:pPr>
        <w:pStyle w:val="Heading3"/>
        <w:numPr>
          <w:ilvl w:val="2"/>
          <w:numId w:val="4"/>
        </w:numPr>
      </w:pPr>
      <w:bookmarkStart w:id="346" w:name="_Toc356472835"/>
      <w:bookmarkStart w:id="347" w:name="_Toc358978751"/>
      <w:r w:rsidRPr="00DB426E">
        <w:t>Itālija</w:t>
      </w:r>
      <w:bookmarkEnd w:id="346"/>
      <w:bookmarkEnd w:id="347"/>
    </w:p>
    <w:p w:rsidR="00E76417" w:rsidRPr="00DB426E" w:rsidRDefault="00E76417" w:rsidP="00E76417">
      <w:pPr>
        <w:pStyle w:val="Heading4"/>
        <w:numPr>
          <w:ilvl w:val="3"/>
          <w:numId w:val="4"/>
        </w:numPr>
        <w:ind w:firstLine="270"/>
        <w:rPr>
          <w:szCs w:val="24"/>
        </w:rPr>
      </w:pPr>
      <w:bookmarkStart w:id="348" w:name="_Toc358978752"/>
      <w:r w:rsidRPr="00DB426E">
        <w:rPr>
          <w:szCs w:val="24"/>
        </w:rPr>
        <w:t>Pamatinformācija</w:t>
      </w:r>
      <w:bookmarkEnd w:id="348"/>
    </w:p>
    <w:p w:rsidR="00E76417" w:rsidRPr="00DB426E" w:rsidRDefault="00E76417" w:rsidP="00E76417">
      <w:r w:rsidRPr="00DB426E">
        <w:t>Itālijas standarta UIN likme ir 27.5%. Papildus uzņēmumi maksā reģionālo nodokli (IRAP) 3.9% - 4.9% apmērā atkarībā no reģiona.</w:t>
      </w:r>
    </w:p>
    <w:p w:rsidR="00E76417" w:rsidRPr="00DB426E" w:rsidRDefault="00E76417" w:rsidP="00E76417">
      <w:pPr>
        <w:pStyle w:val="Heading4"/>
        <w:numPr>
          <w:ilvl w:val="3"/>
          <w:numId w:val="4"/>
        </w:numPr>
        <w:ind w:firstLine="270"/>
        <w:rPr>
          <w:szCs w:val="24"/>
        </w:rPr>
      </w:pPr>
      <w:bookmarkStart w:id="349" w:name="_Toc358978753"/>
      <w:r w:rsidRPr="00DB426E">
        <w:rPr>
          <w:szCs w:val="24"/>
        </w:rPr>
        <w:t>R&amp;D nodokļu atvieglojumi</w:t>
      </w:r>
      <w:bookmarkEnd w:id="349"/>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770"/>
        <w:gridCol w:w="3240"/>
      </w:tblGrid>
      <w:tr w:rsidR="00E76417" w:rsidRPr="00DB426E" w:rsidTr="00E76417">
        <w:tc>
          <w:tcPr>
            <w:tcW w:w="558" w:type="dxa"/>
            <w:shd w:val="clear" w:color="auto" w:fill="F2F2F2"/>
            <w:vAlign w:val="center"/>
          </w:tcPr>
          <w:p w:rsidR="00E76417" w:rsidRPr="00097DBA" w:rsidRDefault="00E76417" w:rsidP="00E76417">
            <w:pPr>
              <w:spacing w:after="60"/>
              <w:jc w:val="center"/>
              <w:rPr>
                <w:b/>
              </w:rPr>
            </w:pPr>
            <w:proofErr w:type="spellStart"/>
            <w:r w:rsidRPr="00097DBA">
              <w:rPr>
                <w:b/>
              </w:rPr>
              <w:t>Nr.p.k</w:t>
            </w:r>
            <w:proofErr w:type="spellEnd"/>
            <w:r w:rsidRPr="00097DBA">
              <w:rPr>
                <w:b/>
              </w:rPr>
              <w:t>.</w:t>
            </w:r>
          </w:p>
        </w:tc>
        <w:tc>
          <w:tcPr>
            <w:tcW w:w="4770" w:type="dxa"/>
            <w:shd w:val="clear" w:color="auto" w:fill="F2F2F2"/>
            <w:vAlign w:val="center"/>
          </w:tcPr>
          <w:p w:rsidR="00E76417" w:rsidRPr="00097DBA" w:rsidRDefault="00E76417" w:rsidP="00E76417">
            <w:pPr>
              <w:spacing w:after="60"/>
              <w:jc w:val="center"/>
              <w:rPr>
                <w:b/>
              </w:rPr>
            </w:pPr>
            <w:r w:rsidRPr="00097DBA">
              <w:rPr>
                <w:b/>
              </w:rPr>
              <w:t>Atvieglojuma apraksts</w:t>
            </w:r>
          </w:p>
        </w:tc>
        <w:tc>
          <w:tcPr>
            <w:tcW w:w="3240" w:type="dxa"/>
            <w:shd w:val="clear" w:color="auto" w:fill="F2F2F2"/>
            <w:vAlign w:val="center"/>
          </w:tcPr>
          <w:p w:rsidR="00E76417" w:rsidRPr="00097DBA" w:rsidRDefault="00E76417" w:rsidP="00E76417">
            <w:pPr>
              <w:spacing w:after="60"/>
              <w:jc w:val="center"/>
              <w:rPr>
                <w:b/>
              </w:rPr>
            </w:pPr>
            <w:r w:rsidRPr="00097DBA">
              <w:rPr>
                <w:b/>
              </w:rPr>
              <w:t>Atvieglojuma piemērošanas ierobežojumi</w:t>
            </w:r>
          </w:p>
        </w:tc>
      </w:tr>
      <w:tr w:rsidR="00E76417" w:rsidRPr="00DB426E" w:rsidTr="00E76417">
        <w:tc>
          <w:tcPr>
            <w:tcW w:w="558" w:type="dxa"/>
            <w:vAlign w:val="center"/>
          </w:tcPr>
          <w:p w:rsidR="00E76417" w:rsidRPr="00DB426E" w:rsidRDefault="00E76417" w:rsidP="00E76417">
            <w:pPr>
              <w:spacing w:after="60"/>
              <w:jc w:val="center"/>
            </w:pPr>
            <w:r w:rsidRPr="00DB426E">
              <w:t>1.</w:t>
            </w:r>
          </w:p>
        </w:tc>
        <w:tc>
          <w:tcPr>
            <w:tcW w:w="4770" w:type="dxa"/>
            <w:vAlign w:val="center"/>
          </w:tcPr>
          <w:p w:rsidR="00E76417" w:rsidRPr="00DB426E" w:rsidRDefault="00E76417" w:rsidP="00E76417">
            <w:pPr>
              <w:spacing w:after="60"/>
              <w:rPr>
                <w:b/>
              </w:rPr>
            </w:pPr>
            <w:r w:rsidRPr="00DB426E">
              <w:rPr>
                <w:b/>
              </w:rPr>
              <w:t xml:space="preserve">Nodokļu kredīts jeb maksājamās nodokļa summas samazinājums </w:t>
            </w:r>
            <w:r w:rsidRPr="00DB426E">
              <w:rPr>
                <w:b/>
                <w:i/>
              </w:rPr>
              <w:t>(„</w:t>
            </w:r>
            <w:proofErr w:type="spellStart"/>
            <w:r w:rsidRPr="00DB426E">
              <w:rPr>
                <w:b/>
                <w:i/>
              </w:rPr>
              <w:t>tax</w:t>
            </w:r>
            <w:proofErr w:type="spellEnd"/>
            <w:r w:rsidRPr="00DB426E">
              <w:rPr>
                <w:b/>
                <w:i/>
              </w:rPr>
              <w:t xml:space="preserve"> </w:t>
            </w:r>
            <w:proofErr w:type="spellStart"/>
            <w:r w:rsidRPr="00DB426E">
              <w:rPr>
                <w:b/>
                <w:i/>
              </w:rPr>
              <w:t>credit</w:t>
            </w:r>
            <w:proofErr w:type="spellEnd"/>
            <w:r w:rsidRPr="00DB426E">
              <w:rPr>
                <w:b/>
                <w:i/>
              </w:rPr>
              <w:t>”)</w:t>
            </w:r>
            <w:r w:rsidRPr="00DB426E">
              <w:rPr>
                <w:b/>
              </w:rPr>
              <w:t xml:space="preserve"> par 35% no R&amp;D aktivitātēs iesaistīto augsti kvalificēto pētnieku algas un sociālā nodokļa izmaksām.</w:t>
            </w:r>
          </w:p>
          <w:p w:rsidR="00E76417" w:rsidRPr="00DB426E" w:rsidRDefault="00E76417" w:rsidP="00E76417">
            <w:pPr>
              <w:spacing w:after="60"/>
            </w:pPr>
            <w:r w:rsidRPr="00DB426E">
              <w:t>Par R&amp;D aktivitātēs iesaistīto augsti kvalificēto pētnieku algas un sociālā nodokļa izmaksām var samazināt ne tikai maksājamo UIN summu, bet arī reģionālā nodokļa, PVN vai ieturējuma nodokļa summu.</w:t>
            </w:r>
          </w:p>
        </w:tc>
        <w:tc>
          <w:tcPr>
            <w:tcW w:w="3240" w:type="dxa"/>
            <w:vAlign w:val="center"/>
          </w:tcPr>
          <w:p w:rsidR="00E76417" w:rsidRPr="00DB426E" w:rsidRDefault="00E76417" w:rsidP="00E76417">
            <w:pPr>
              <w:spacing w:after="60"/>
            </w:pPr>
            <w:r w:rsidRPr="00DB426E">
              <w:t>Atvieglojums piemērojams tikai par tiem pētniekiem, kuriem ir augstākā izglītība un kuri uzņēmumā strādā vismaz 3 gadus (mazos un vidējos uzņēmumos – 2 gadus).</w:t>
            </w:r>
          </w:p>
          <w:p w:rsidR="00E76417" w:rsidRPr="00DB426E" w:rsidRDefault="00E76417" w:rsidP="00E76417">
            <w:pPr>
              <w:spacing w:after="60"/>
            </w:pPr>
            <w:r w:rsidRPr="00DB426E">
              <w:t>Maksājamās nodokļa summas samazinājums nedrīkst pārsniegt EUR 200 tūkstošus gadā.</w:t>
            </w:r>
          </w:p>
        </w:tc>
      </w:tr>
      <w:tr w:rsidR="00E76417" w:rsidRPr="00DB426E" w:rsidTr="00E76417">
        <w:tc>
          <w:tcPr>
            <w:tcW w:w="558" w:type="dxa"/>
            <w:vAlign w:val="center"/>
          </w:tcPr>
          <w:p w:rsidR="00E76417" w:rsidRPr="00DB426E" w:rsidRDefault="00E76417" w:rsidP="00E76417">
            <w:pPr>
              <w:spacing w:after="60"/>
              <w:jc w:val="center"/>
            </w:pPr>
            <w:r w:rsidRPr="00DB426E">
              <w:t>2.</w:t>
            </w:r>
          </w:p>
        </w:tc>
        <w:tc>
          <w:tcPr>
            <w:tcW w:w="4770" w:type="dxa"/>
            <w:vAlign w:val="center"/>
          </w:tcPr>
          <w:p w:rsidR="00E76417" w:rsidRPr="00DB426E" w:rsidRDefault="00E76417" w:rsidP="00E76417">
            <w:pPr>
              <w:spacing w:after="60"/>
              <w:rPr>
                <w:b/>
              </w:rPr>
            </w:pPr>
            <w:r w:rsidRPr="00DB426E">
              <w:rPr>
                <w:b/>
              </w:rPr>
              <w:t>Ar reģionālo nodokli (IRAP) apliekamā ienākuma samazinājums par 100% no R&amp;D aktivitātēs iesaistīto darbinieku algas un sociālā nodokļa izmaksām.</w:t>
            </w:r>
          </w:p>
          <w:p w:rsidR="00E76417" w:rsidRPr="00DB426E" w:rsidRDefault="00E76417" w:rsidP="00E76417">
            <w:pPr>
              <w:spacing w:after="60"/>
            </w:pPr>
            <w:r w:rsidRPr="00DB426E">
              <w:t>Algas un sociālā nodokļa izmaksas ir atskaitāmas no ar reģionālo nodokli (IRAP) apliekamā ienākuma tikai attiecībā uz darbiniekiem, kas ir iesaistīti R&amp;D aktivitātēs.</w:t>
            </w:r>
          </w:p>
        </w:tc>
        <w:tc>
          <w:tcPr>
            <w:tcW w:w="3240" w:type="dxa"/>
            <w:vAlign w:val="center"/>
          </w:tcPr>
          <w:p w:rsidR="00E76417" w:rsidRPr="00DB426E" w:rsidRDefault="00E76417" w:rsidP="00E76417">
            <w:pPr>
              <w:spacing w:after="60"/>
              <w:jc w:val="center"/>
            </w:pPr>
          </w:p>
        </w:tc>
      </w:tr>
      <w:tr w:rsidR="00E76417" w:rsidRPr="00DB426E" w:rsidTr="00E76417">
        <w:tc>
          <w:tcPr>
            <w:tcW w:w="558" w:type="dxa"/>
            <w:vAlign w:val="center"/>
          </w:tcPr>
          <w:p w:rsidR="00E76417" w:rsidRPr="00DB426E" w:rsidRDefault="00E76417" w:rsidP="00E76417">
            <w:pPr>
              <w:spacing w:after="60"/>
              <w:jc w:val="center"/>
            </w:pPr>
            <w:r w:rsidRPr="00DB426E">
              <w:t>3.</w:t>
            </w:r>
          </w:p>
        </w:tc>
        <w:tc>
          <w:tcPr>
            <w:tcW w:w="4770" w:type="dxa"/>
            <w:vAlign w:val="center"/>
          </w:tcPr>
          <w:p w:rsidR="00E76417" w:rsidRPr="00DB426E" w:rsidRDefault="00E76417" w:rsidP="00E76417">
            <w:pPr>
              <w:spacing w:after="60"/>
              <w:rPr>
                <w:b/>
              </w:rPr>
            </w:pPr>
            <w:r w:rsidRPr="00DB426E">
              <w:rPr>
                <w:b/>
              </w:rPr>
              <w:t xml:space="preserve">Nodokļu kredīts jeb maksājamās nodokļa summas samazinājums R&amp;D izmaksu pieauguma gadījumā </w:t>
            </w:r>
            <w:r w:rsidRPr="00DB426E">
              <w:rPr>
                <w:b/>
                <w:i/>
              </w:rPr>
              <w:t>(„</w:t>
            </w:r>
            <w:proofErr w:type="spellStart"/>
            <w:r w:rsidRPr="00DB426E">
              <w:rPr>
                <w:b/>
                <w:i/>
              </w:rPr>
              <w:t>incremental</w:t>
            </w:r>
            <w:proofErr w:type="spellEnd"/>
            <w:r w:rsidRPr="00DB426E">
              <w:rPr>
                <w:b/>
                <w:i/>
              </w:rPr>
              <w:t xml:space="preserve"> </w:t>
            </w:r>
            <w:proofErr w:type="spellStart"/>
            <w:r w:rsidRPr="00DB426E">
              <w:rPr>
                <w:b/>
                <w:i/>
              </w:rPr>
              <w:t>tax</w:t>
            </w:r>
            <w:proofErr w:type="spellEnd"/>
            <w:r w:rsidRPr="00DB426E">
              <w:rPr>
                <w:b/>
                <w:i/>
              </w:rPr>
              <w:t xml:space="preserve"> </w:t>
            </w:r>
            <w:proofErr w:type="spellStart"/>
            <w:r w:rsidRPr="00DB426E">
              <w:rPr>
                <w:b/>
                <w:i/>
              </w:rPr>
              <w:t>credit</w:t>
            </w:r>
            <w:proofErr w:type="spellEnd"/>
            <w:r w:rsidRPr="00DB426E">
              <w:rPr>
                <w:b/>
                <w:i/>
              </w:rPr>
              <w:t>”)</w:t>
            </w:r>
            <w:r w:rsidRPr="00DB426E">
              <w:rPr>
                <w:b/>
              </w:rPr>
              <w:t xml:space="preserve"> par 90% no R&amp;D izmaksu pieauguma par R&amp;D darbu, kuru veic apakšuzņēmēji – universitātes, pētījumu centri vai citas tamlīdzīgas Itālijā vai EU akreditētas institūcijas.</w:t>
            </w:r>
          </w:p>
          <w:p w:rsidR="00E76417" w:rsidRPr="00DB426E" w:rsidRDefault="00E76417" w:rsidP="00E76417">
            <w:pPr>
              <w:spacing w:after="60"/>
            </w:pPr>
            <w:r w:rsidRPr="00DB426E">
              <w:t xml:space="preserve">Nodokļu kredīts 90% apmērā no R&amp;D izmaksu pieauguma ir pieejams, ja taksācijas gada R&amp;D izmaksas pārsniedz iepriekšējo trīs gadu vidējās R&amp;D izmaksas. </w:t>
            </w:r>
          </w:p>
          <w:p w:rsidR="00E76417" w:rsidRPr="00DB426E" w:rsidRDefault="00E76417" w:rsidP="00E76417">
            <w:pPr>
              <w:spacing w:after="60"/>
            </w:pPr>
            <w:r w:rsidRPr="00DB426E">
              <w:t xml:space="preserve">Nodokļu kredīts ir pieejams ne tikai attiecībā uz UIN, bet arī IRAP, PVN vai ieturējuma nodokļiem. </w:t>
            </w:r>
          </w:p>
        </w:tc>
        <w:tc>
          <w:tcPr>
            <w:tcW w:w="3240" w:type="dxa"/>
          </w:tcPr>
          <w:p w:rsidR="00E76417" w:rsidRPr="00DB426E" w:rsidRDefault="00E76417" w:rsidP="00E76417">
            <w:pPr>
              <w:spacing w:after="60"/>
              <w:rPr>
                <w:rFonts w:cs="Calibri"/>
              </w:rPr>
            </w:pPr>
            <w:r w:rsidRPr="00DB426E">
              <w:rPr>
                <w:rFonts w:cs="Calibri"/>
              </w:rPr>
              <w:t xml:space="preserve">Atvieglojums pieejams tikai tad, ja universitāte, pētījumu centrs vai cita institūcija ir akreditēta Itālijā </w:t>
            </w:r>
            <w:proofErr w:type="spellStart"/>
            <w:r w:rsidRPr="00DB426E">
              <w:rPr>
                <w:rFonts w:cs="Calibri"/>
              </w:rPr>
              <w:t>cai</w:t>
            </w:r>
            <w:proofErr w:type="spellEnd"/>
            <w:r w:rsidRPr="00DB426E">
              <w:rPr>
                <w:rFonts w:cs="Calibri"/>
              </w:rPr>
              <w:t xml:space="preserve"> citā ES valstī.</w:t>
            </w:r>
          </w:p>
          <w:p w:rsidR="00E76417" w:rsidRPr="00DB426E" w:rsidRDefault="00E76417" w:rsidP="00E76417">
            <w:pPr>
              <w:spacing w:after="60"/>
            </w:pPr>
          </w:p>
        </w:tc>
      </w:tr>
      <w:tr w:rsidR="00E76417" w:rsidRPr="00DB426E" w:rsidTr="00E76417">
        <w:tc>
          <w:tcPr>
            <w:tcW w:w="558" w:type="dxa"/>
            <w:vAlign w:val="center"/>
          </w:tcPr>
          <w:p w:rsidR="00E76417" w:rsidRPr="00DB426E" w:rsidRDefault="00E76417" w:rsidP="00E76417">
            <w:pPr>
              <w:spacing w:after="60"/>
              <w:jc w:val="center"/>
            </w:pPr>
            <w:r w:rsidRPr="00DB426E">
              <w:t>4.</w:t>
            </w:r>
          </w:p>
        </w:tc>
        <w:tc>
          <w:tcPr>
            <w:tcW w:w="4770" w:type="dxa"/>
            <w:vAlign w:val="center"/>
          </w:tcPr>
          <w:p w:rsidR="00E76417" w:rsidRPr="00DB426E" w:rsidRDefault="00E76417" w:rsidP="00E76417">
            <w:pPr>
              <w:spacing w:after="60"/>
              <w:rPr>
                <w:b/>
                <w:i/>
              </w:rPr>
            </w:pPr>
            <w:r w:rsidRPr="00DB426E">
              <w:rPr>
                <w:b/>
              </w:rPr>
              <w:t>Atvieglojums par investīcijām jaunos R&amp;D uzņēmumos (</w:t>
            </w:r>
            <w:r w:rsidRPr="00DB426E">
              <w:rPr>
                <w:b/>
                <w:i/>
              </w:rPr>
              <w:t xml:space="preserve">„R&amp;D </w:t>
            </w:r>
            <w:proofErr w:type="spellStart"/>
            <w:r w:rsidRPr="00DB426E">
              <w:rPr>
                <w:b/>
                <w:i/>
              </w:rPr>
              <w:t>Intensive</w:t>
            </w:r>
            <w:proofErr w:type="spellEnd"/>
            <w:r w:rsidRPr="00DB426E">
              <w:rPr>
                <w:b/>
                <w:i/>
              </w:rPr>
              <w:t xml:space="preserve"> </w:t>
            </w:r>
            <w:proofErr w:type="spellStart"/>
            <w:r w:rsidRPr="00DB426E">
              <w:rPr>
                <w:b/>
                <w:i/>
              </w:rPr>
              <w:t>Start-up</w:t>
            </w:r>
            <w:proofErr w:type="spellEnd"/>
            <w:r w:rsidRPr="00DB426E">
              <w:rPr>
                <w:b/>
                <w:i/>
              </w:rPr>
              <w:t xml:space="preserve"> </w:t>
            </w:r>
            <w:proofErr w:type="spellStart"/>
            <w:r w:rsidRPr="00DB426E">
              <w:rPr>
                <w:b/>
                <w:i/>
              </w:rPr>
              <w:t>companies</w:t>
            </w:r>
            <w:proofErr w:type="spellEnd"/>
            <w:r w:rsidRPr="00DB426E">
              <w:rPr>
                <w:b/>
                <w:i/>
              </w:rPr>
              <w:t>”).</w:t>
            </w:r>
          </w:p>
          <w:p w:rsidR="00E76417" w:rsidRPr="00DB426E" w:rsidRDefault="00E76417" w:rsidP="00E76417">
            <w:pPr>
              <w:spacing w:after="60"/>
            </w:pPr>
            <w:r w:rsidRPr="00DB426E">
              <w:t>Jaunie R&amp;D uzņēmumi (itāliski – IST) ir uzņēmumi, kuru galvenais mērķis ir attīstīt un ražot inovatīvus un tehnoloģiski uzlabotus produktus un pakalpojumus.</w:t>
            </w:r>
          </w:p>
          <w:p w:rsidR="00E76417" w:rsidRPr="00DB426E" w:rsidRDefault="00E76417" w:rsidP="00E76417">
            <w:pPr>
              <w:spacing w:after="60"/>
            </w:pPr>
            <w:r w:rsidRPr="00DB426E">
              <w:t>Par IST veiktajām investīcijām tiek paredzēti sekojoši atvieglojumi:</w:t>
            </w:r>
          </w:p>
          <w:p w:rsidR="00E76417" w:rsidRPr="00475128" w:rsidRDefault="00E76417" w:rsidP="00E76417">
            <w:pPr>
              <w:pStyle w:val="ListParagraph"/>
              <w:numPr>
                <w:ilvl w:val="0"/>
                <w:numId w:val="47"/>
              </w:numPr>
              <w:suppressAutoHyphens w:val="0"/>
              <w:spacing w:after="60" w:line="276" w:lineRule="auto"/>
              <w:rPr>
                <w:lang w:val="lv-LV" w:eastAsia="en-US"/>
              </w:rPr>
            </w:pPr>
            <w:r w:rsidRPr="00475128">
              <w:rPr>
                <w:lang w:val="lv-LV" w:eastAsia="en-US"/>
              </w:rPr>
              <w:t>juridiskām personām – apliekamā ienākuma samazinājums 20% apmērā no veiktajām investīcijām (maksimāli pieļaujamais investīciju apjoms – EUR 1.8 miljoni gadā),</w:t>
            </w:r>
          </w:p>
          <w:p w:rsidR="00E76417" w:rsidRPr="00475128" w:rsidRDefault="00E76417" w:rsidP="00E76417">
            <w:pPr>
              <w:pStyle w:val="ListParagraph"/>
              <w:numPr>
                <w:ilvl w:val="0"/>
                <w:numId w:val="47"/>
              </w:numPr>
              <w:suppressAutoHyphens w:val="0"/>
              <w:spacing w:after="60" w:line="276" w:lineRule="auto"/>
              <w:rPr>
                <w:lang w:val="lv-LV" w:eastAsia="en-US"/>
              </w:rPr>
            </w:pPr>
            <w:r w:rsidRPr="00475128">
              <w:rPr>
                <w:lang w:val="lv-LV" w:eastAsia="en-US"/>
              </w:rPr>
              <w:t>fiziskām personām – nodokļu kredīts 19% apmērā (maksimāli pieļaujamais investīciju apjoms – EUR 500 tūkstoši gadā).</w:t>
            </w:r>
          </w:p>
        </w:tc>
        <w:tc>
          <w:tcPr>
            <w:tcW w:w="3240" w:type="dxa"/>
            <w:vAlign w:val="center"/>
          </w:tcPr>
          <w:p w:rsidR="00E76417" w:rsidRPr="00DB426E" w:rsidRDefault="00E76417" w:rsidP="00E76417">
            <w:pPr>
              <w:spacing w:after="60"/>
              <w:jc w:val="center"/>
            </w:pPr>
          </w:p>
        </w:tc>
      </w:tr>
      <w:tr w:rsidR="00E76417" w:rsidRPr="00DB426E" w:rsidTr="00E76417">
        <w:tc>
          <w:tcPr>
            <w:tcW w:w="558" w:type="dxa"/>
            <w:vAlign w:val="center"/>
          </w:tcPr>
          <w:p w:rsidR="00E76417" w:rsidRPr="00DB426E" w:rsidRDefault="00E76417" w:rsidP="00E76417">
            <w:pPr>
              <w:spacing w:after="60"/>
              <w:jc w:val="center"/>
            </w:pPr>
            <w:r w:rsidRPr="00DB426E">
              <w:t xml:space="preserve">5. </w:t>
            </w:r>
          </w:p>
        </w:tc>
        <w:tc>
          <w:tcPr>
            <w:tcW w:w="4770" w:type="dxa"/>
            <w:vAlign w:val="center"/>
          </w:tcPr>
          <w:p w:rsidR="00E76417" w:rsidRPr="00DB426E" w:rsidRDefault="00E76417" w:rsidP="00E76417">
            <w:pPr>
              <w:spacing w:after="60"/>
              <w:rPr>
                <w:b/>
              </w:rPr>
            </w:pPr>
            <w:r w:rsidRPr="00DB426E">
              <w:rPr>
                <w:b/>
              </w:rPr>
              <w:t>Nodokļu kredīts 25% apmērā par izmaksām, kas radušās telemātikas platformu izstrādes rezultātā.</w:t>
            </w:r>
          </w:p>
          <w:p w:rsidR="00E76417" w:rsidRPr="00DB426E" w:rsidRDefault="00E76417" w:rsidP="00E76417">
            <w:pPr>
              <w:spacing w:after="60"/>
            </w:pPr>
            <w:r w:rsidRPr="00DB426E">
              <w:t>Nodokļu kredīts 25% apmērā ir pieejams par visām izmaksām, kas radušās telemātikas platformu, kuras vērstas uz intelektuālā īpašuma izplatīšanu, pārdošanu vai nomu, izstrādes rezultātā.</w:t>
            </w:r>
          </w:p>
          <w:p w:rsidR="00E76417" w:rsidRPr="00DB426E" w:rsidRDefault="00E76417" w:rsidP="00E76417">
            <w:pPr>
              <w:spacing w:after="60"/>
            </w:pPr>
            <w:r w:rsidRPr="00DB426E">
              <w:t xml:space="preserve">Atvieglojums mērķis ir veicināt intelektuālā īpašuma (mūzika, filmas un tml.) legālu lejuplādēšanu, pārdošanu vai nomu. </w:t>
            </w:r>
          </w:p>
          <w:p w:rsidR="00E76417" w:rsidRPr="00DB426E" w:rsidRDefault="00E76417" w:rsidP="00E76417">
            <w:pPr>
              <w:spacing w:after="60"/>
            </w:pPr>
            <w:r w:rsidRPr="00DB426E">
              <w:t>Atvieglojums ir pieejams ne tikai attiecībā uz UIN, bet arī IRAP.</w:t>
            </w:r>
          </w:p>
        </w:tc>
        <w:tc>
          <w:tcPr>
            <w:tcW w:w="3240" w:type="dxa"/>
            <w:vAlign w:val="center"/>
          </w:tcPr>
          <w:p w:rsidR="00E76417" w:rsidRPr="00DB426E" w:rsidRDefault="00E76417" w:rsidP="00E76417">
            <w:pPr>
              <w:spacing w:after="60"/>
              <w:jc w:val="center"/>
            </w:pPr>
          </w:p>
        </w:tc>
      </w:tr>
    </w:tbl>
    <w:p w:rsidR="00E76417" w:rsidRPr="00DB426E" w:rsidRDefault="00E76417" w:rsidP="00E76417">
      <w:pPr>
        <w:pStyle w:val="Heading4"/>
        <w:numPr>
          <w:ilvl w:val="3"/>
          <w:numId w:val="4"/>
        </w:numPr>
        <w:spacing w:after="100" w:afterAutospacing="1"/>
        <w:ind w:firstLine="270"/>
        <w:rPr>
          <w:szCs w:val="24"/>
        </w:rPr>
      </w:pPr>
      <w:bookmarkStart w:id="350" w:name="_Toc358978754"/>
      <w:r w:rsidRPr="00DB426E">
        <w:rPr>
          <w:szCs w:val="24"/>
        </w:rPr>
        <w:t>Citas prasības</w:t>
      </w:r>
      <w:bookmarkEnd w:id="350"/>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 xml:space="preserve">Uzņēmumiem nav nepieciešams iepriekš saskaņot R&amp;D izmaksas un atvieglojumus ar valsti. Atvieglojumu piemērošana notiek pēc </w:t>
      </w:r>
      <w:proofErr w:type="spellStart"/>
      <w:r w:rsidRPr="00DB426E">
        <w:rPr>
          <w:rFonts w:cs="Calibri"/>
          <w:lang w:val="lv-LV"/>
        </w:rPr>
        <w:t>pašdeklarēšanās</w:t>
      </w:r>
      <w:proofErr w:type="spellEnd"/>
      <w:r w:rsidRPr="00DB426E">
        <w:rPr>
          <w:rFonts w:cs="Calibri"/>
          <w:lang w:val="lv-LV"/>
        </w:rPr>
        <w:t xml:space="preserve"> principa.</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R&amp;D atvieglojumi pieejami visās nozarēs.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proofErr w:type="spellStart"/>
      <w:r w:rsidRPr="00DB426E">
        <w:rPr>
          <w:rFonts w:cs="Calibri"/>
          <w:lang w:val="lv-LV"/>
        </w:rPr>
        <w:t>Atvieglojmi</w:t>
      </w:r>
      <w:proofErr w:type="spellEnd"/>
      <w:r w:rsidRPr="00DB426E">
        <w:rPr>
          <w:rFonts w:cs="Calibri"/>
          <w:lang w:val="lv-LV"/>
        </w:rPr>
        <w:t xml:space="preserve"> pieejami arī tad, ja uzņēmuma R&amp;D aktivitātes notiek ārpus Itālijas, taču ES vai EEZ teritorijā vai valstī, ar kuru Itālija ir noslēgusi konvenciju par nodokļu dubultās uzlikšanas un nodokļu nemaksāšanas novēršanu.</w:t>
      </w:r>
    </w:p>
    <w:p w:rsidR="00E76417" w:rsidRPr="00DB426E" w:rsidRDefault="00E76417" w:rsidP="00E76417">
      <w:pPr>
        <w:pStyle w:val="Heading3"/>
        <w:numPr>
          <w:ilvl w:val="2"/>
          <w:numId w:val="4"/>
        </w:numPr>
      </w:pPr>
      <w:bookmarkStart w:id="351" w:name="_Toc356472836"/>
      <w:bookmarkStart w:id="352" w:name="_Toc358978755"/>
      <w:r w:rsidRPr="00DB426E">
        <w:t>Spānija</w:t>
      </w:r>
      <w:bookmarkEnd w:id="351"/>
      <w:bookmarkEnd w:id="352"/>
    </w:p>
    <w:p w:rsidR="00E76417" w:rsidRPr="00DB426E" w:rsidRDefault="00E76417" w:rsidP="00E76417">
      <w:pPr>
        <w:pStyle w:val="Heading4"/>
        <w:numPr>
          <w:ilvl w:val="3"/>
          <w:numId w:val="4"/>
        </w:numPr>
        <w:ind w:firstLine="270"/>
        <w:rPr>
          <w:szCs w:val="24"/>
        </w:rPr>
      </w:pPr>
      <w:bookmarkStart w:id="353" w:name="_Toc358978756"/>
      <w:r w:rsidRPr="00DB426E">
        <w:rPr>
          <w:szCs w:val="24"/>
        </w:rPr>
        <w:t>Pamatinformācija</w:t>
      </w:r>
      <w:bookmarkEnd w:id="353"/>
    </w:p>
    <w:p w:rsidR="00E76417" w:rsidRPr="00DB426E" w:rsidRDefault="00E76417" w:rsidP="00E76417">
      <w:r w:rsidRPr="00DB426E">
        <w:t>Spānijas standarta UIN likme ir 30%. Maziem uzņēmumiem tiek piemērota likme 25% - 30% apmērā, uzņēmumiem, kas nodarbojas ar naftas ieguvi – 35%, krājaizdevu sabiedrībām - 25%, nekustamā īpašuma fondiem (REIT) – 19%, investīciju fondiem – 1%.</w:t>
      </w:r>
    </w:p>
    <w:p w:rsidR="00E76417" w:rsidRPr="00DB426E" w:rsidRDefault="00E76417" w:rsidP="00E76417">
      <w:pPr>
        <w:pStyle w:val="Heading4"/>
        <w:numPr>
          <w:ilvl w:val="3"/>
          <w:numId w:val="4"/>
        </w:numPr>
        <w:ind w:firstLine="270"/>
        <w:rPr>
          <w:szCs w:val="24"/>
        </w:rPr>
      </w:pPr>
      <w:bookmarkStart w:id="354" w:name="_Toc358978757"/>
      <w:r w:rsidRPr="00DB426E">
        <w:rPr>
          <w:szCs w:val="24"/>
        </w:rPr>
        <w:t>R&amp;D nodokļu atvieglojumi</w:t>
      </w:r>
      <w:bookmarkEnd w:id="354"/>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770"/>
        <w:gridCol w:w="3240"/>
      </w:tblGrid>
      <w:tr w:rsidR="00E76417" w:rsidRPr="00DB426E" w:rsidTr="00E76417">
        <w:tc>
          <w:tcPr>
            <w:tcW w:w="558" w:type="dxa"/>
            <w:shd w:val="clear" w:color="auto" w:fill="F2F2F2"/>
            <w:vAlign w:val="center"/>
          </w:tcPr>
          <w:p w:rsidR="00E76417" w:rsidRPr="00097DBA" w:rsidRDefault="00E76417" w:rsidP="00E76417">
            <w:pPr>
              <w:jc w:val="center"/>
              <w:rPr>
                <w:b/>
              </w:rPr>
            </w:pPr>
            <w:proofErr w:type="spellStart"/>
            <w:r w:rsidRPr="00097DBA">
              <w:rPr>
                <w:b/>
              </w:rPr>
              <w:t>Nr.p.k</w:t>
            </w:r>
            <w:proofErr w:type="spellEnd"/>
            <w:r w:rsidRPr="00097DBA">
              <w:rPr>
                <w:b/>
              </w:rPr>
              <w:t>.</w:t>
            </w:r>
          </w:p>
        </w:tc>
        <w:tc>
          <w:tcPr>
            <w:tcW w:w="4770" w:type="dxa"/>
            <w:shd w:val="clear" w:color="auto" w:fill="F2F2F2"/>
            <w:vAlign w:val="center"/>
          </w:tcPr>
          <w:p w:rsidR="00E76417" w:rsidRPr="00097DBA" w:rsidRDefault="00E76417" w:rsidP="00E76417">
            <w:pPr>
              <w:jc w:val="center"/>
              <w:rPr>
                <w:b/>
              </w:rPr>
            </w:pPr>
            <w:r w:rsidRPr="00097DBA">
              <w:rPr>
                <w:b/>
              </w:rPr>
              <w:t>Atvieglojuma apraksts</w:t>
            </w:r>
          </w:p>
        </w:tc>
        <w:tc>
          <w:tcPr>
            <w:tcW w:w="3240" w:type="dxa"/>
            <w:shd w:val="clear" w:color="auto" w:fill="F2F2F2"/>
            <w:vAlign w:val="center"/>
          </w:tcPr>
          <w:p w:rsidR="00E76417" w:rsidRPr="00097DBA" w:rsidRDefault="00E76417" w:rsidP="00E76417">
            <w:pPr>
              <w:jc w:val="center"/>
              <w:rPr>
                <w:b/>
              </w:rPr>
            </w:pPr>
            <w:r w:rsidRPr="00097DBA">
              <w:rPr>
                <w:b/>
              </w:rPr>
              <w:t>Atvieglojuma piemērošanas ierobežojumi</w:t>
            </w:r>
          </w:p>
        </w:tc>
      </w:tr>
      <w:tr w:rsidR="00E76417" w:rsidRPr="00DB426E" w:rsidTr="00E76417">
        <w:tc>
          <w:tcPr>
            <w:tcW w:w="558" w:type="dxa"/>
            <w:vAlign w:val="center"/>
          </w:tcPr>
          <w:p w:rsidR="00E76417" w:rsidRPr="00DB426E" w:rsidRDefault="00E76417" w:rsidP="00E76417">
            <w:pPr>
              <w:jc w:val="center"/>
            </w:pPr>
            <w:r w:rsidRPr="00DB426E">
              <w:t>1.</w:t>
            </w:r>
          </w:p>
        </w:tc>
        <w:tc>
          <w:tcPr>
            <w:tcW w:w="4770" w:type="dxa"/>
            <w:vAlign w:val="center"/>
          </w:tcPr>
          <w:p w:rsidR="00E76417" w:rsidRPr="00DB426E" w:rsidRDefault="00E76417" w:rsidP="00E76417">
            <w:pPr>
              <w:rPr>
                <w:b/>
              </w:rPr>
            </w:pPr>
            <w:r w:rsidRPr="00DB426E">
              <w:rPr>
                <w:b/>
              </w:rPr>
              <w:t>Nodokļu kredīts jeb maksājamā UIN samazinājums R&amp;D izmaksu pieauguma gadījumā („</w:t>
            </w:r>
            <w:proofErr w:type="spellStart"/>
            <w:r w:rsidRPr="00DB426E">
              <w:rPr>
                <w:b/>
              </w:rPr>
              <w:t>incremental</w:t>
            </w:r>
            <w:proofErr w:type="spellEnd"/>
            <w:r w:rsidRPr="00DB426E">
              <w:rPr>
                <w:b/>
              </w:rPr>
              <w:t xml:space="preserve"> </w:t>
            </w:r>
            <w:proofErr w:type="spellStart"/>
            <w:r w:rsidRPr="00DB426E">
              <w:rPr>
                <w:b/>
              </w:rPr>
              <w:t>tax</w:t>
            </w:r>
            <w:proofErr w:type="spellEnd"/>
            <w:r w:rsidRPr="00DB426E">
              <w:rPr>
                <w:b/>
              </w:rPr>
              <w:t xml:space="preserve"> </w:t>
            </w:r>
            <w:proofErr w:type="spellStart"/>
            <w:r w:rsidRPr="00DB426E">
              <w:rPr>
                <w:b/>
              </w:rPr>
              <w:t>credit</w:t>
            </w:r>
            <w:proofErr w:type="spellEnd"/>
            <w:r w:rsidRPr="00DB426E">
              <w:rPr>
                <w:b/>
              </w:rPr>
              <w:t>”) – 25% no taksācijas gada R&amp;D izmaksām un 42% no izmaksu pieauguma.</w:t>
            </w:r>
          </w:p>
          <w:p w:rsidR="00E76417" w:rsidRPr="00DB426E" w:rsidRDefault="00E76417" w:rsidP="00E76417">
            <w:r w:rsidRPr="00DB426E">
              <w:t>Ja taksācijas gadā R&amp;D izmaksas ir pieaugušas, uzņēmumam ir tiesības gan uz maksājamā UIN samazinājumu par 25% no taksācijas gada R&amp;D izmaksām, gan papildus maksājamā UIN samazinājumu par 42% no taksācijas gada R&amp;D izmaksu apjoma, kas pārsniedz iepriekšējo divu taksācijas gadu vidējo R&amp;D izmaksu apjomu.</w:t>
            </w:r>
          </w:p>
        </w:tc>
        <w:tc>
          <w:tcPr>
            <w:tcW w:w="3240" w:type="dxa"/>
          </w:tcPr>
          <w:p w:rsidR="00E76417" w:rsidRPr="00DB426E" w:rsidRDefault="00E76417" w:rsidP="00E76417">
            <w:r w:rsidRPr="00DB426E">
              <w:t xml:space="preserve">Atvieglojums neattiecas uz materiālu, kas izmantoti R&amp;D aktivitātes, izmaksām. </w:t>
            </w:r>
          </w:p>
        </w:tc>
      </w:tr>
      <w:tr w:rsidR="00E76417" w:rsidRPr="00DB426E" w:rsidTr="00E76417">
        <w:tc>
          <w:tcPr>
            <w:tcW w:w="558" w:type="dxa"/>
            <w:vAlign w:val="center"/>
          </w:tcPr>
          <w:p w:rsidR="00E76417" w:rsidRPr="00DB426E" w:rsidRDefault="00E76417" w:rsidP="00E76417">
            <w:pPr>
              <w:jc w:val="center"/>
            </w:pPr>
            <w:r w:rsidRPr="00DB426E">
              <w:t>2.</w:t>
            </w:r>
          </w:p>
        </w:tc>
        <w:tc>
          <w:tcPr>
            <w:tcW w:w="4770" w:type="dxa"/>
            <w:vAlign w:val="center"/>
          </w:tcPr>
          <w:p w:rsidR="00E76417" w:rsidRPr="00DB426E" w:rsidRDefault="00E76417" w:rsidP="00E76417">
            <w:pPr>
              <w:rPr>
                <w:b/>
              </w:rPr>
            </w:pPr>
            <w:r w:rsidRPr="00DB426E">
              <w:rPr>
                <w:b/>
              </w:rPr>
              <w:t>Nodokļu kredīts jeb maksājamā UIN samazinājums („</w:t>
            </w:r>
            <w:proofErr w:type="spellStart"/>
            <w:r w:rsidRPr="00DB426E">
              <w:rPr>
                <w:b/>
              </w:rPr>
              <w:t>tax</w:t>
            </w:r>
            <w:proofErr w:type="spellEnd"/>
            <w:r w:rsidRPr="00DB426E">
              <w:rPr>
                <w:b/>
              </w:rPr>
              <w:t xml:space="preserve"> </w:t>
            </w:r>
            <w:proofErr w:type="spellStart"/>
            <w:r w:rsidRPr="00DB426E">
              <w:rPr>
                <w:b/>
              </w:rPr>
              <w:t>credit</w:t>
            </w:r>
            <w:proofErr w:type="spellEnd"/>
            <w:r w:rsidRPr="00DB426E">
              <w:rPr>
                <w:b/>
              </w:rPr>
              <w:t>”) par 17% no R&amp;D aktivitātēs iesaistīto augsti kvalificēto pētnieku algas un sociālā nodokļa izmaksām.</w:t>
            </w:r>
          </w:p>
        </w:tc>
        <w:tc>
          <w:tcPr>
            <w:tcW w:w="3240" w:type="dxa"/>
            <w:vAlign w:val="center"/>
          </w:tcPr>
          <w:p w:rsidR="00E76417" w:rsidRPr="00DB426E" w:rsidRDefault="00E76417" w:rsidP="00E76417">
            <w:pPr>
              <w:jc w:val="center"/>
            </w:pPr>
          </w:p>
        </w:tc>
      </w:tr>
      <w:tr w:rsidR="00E76417" w:rsidRPr="00DB426E" w:rsidTr="00E76417">
        <w:tc>
          <w:tcPr>
            <w:tcW w:w="558" w:type="dxa"/>
            <w:vAlign w:val="center"/>
          </w:tcPr>
          <w:p w:rsidR="00E76417" w:rsidRPr="00DB426E" w:rsidRDefault="00E76417" w:rsidP="00E76417">
            <w:pPr>
              <w:jc w:val="center"/>
            </w:pPr>
            <w:r w:rsidRPr="00DB426E">
              <w:t>3.</w:t>
            </w:r>
          </w:p>
        </w:tc>
        <w:tc>
          <w:tcPr>
            <w:tcW w:w="4770" w:type="dxa"/>
            <w:vAlign w:val="center"/>
          </w:tcPr>
          <w:p w:rsidR="00E76417" w:rsidRPr="00DB426E" w:rsidRDefault="00E76417" w:rsidP="00E76417">
            <w:pPr>
              <w:rPr>
                <w:b/>
              </w:rPr>
            </w:pPr>
            <w:r w:rsidRPr="00DB426E">
              <w:rPr>
                <w:b/>
              </w:rPr>
              <w:t>Nodokļu kredīts jeb maksājamā UIN samazinājums („</w:t>
            </w:r>
            <w:proofErr w:type="spellStart"/>
            <w:r w:rsidRPr="00DB426E">
              <w:rPr>
                <w:b/>
              </w:rPr>
              <w:t>tax</w:t>
            </w:r>
            <w:proofErr w:type="spellEnd"/>
            <w:r w:rsidRPr="00DB426E">
              <w:rPr>
                <w:b/>
              </w:rPr>
              <w:t xml:space="preserve"> </w:t>
            </w:r>
            <w:proofErr w:type="spellStart"/>
            <w:r w:rsidRPr="00DB426E">
              <w:rPr>
                <w:b/>
              </w:rPr>
              <w:t>credit</w:t>
            </w:r>
            <w:proofErr w:type="spellEnd"/>
            <w:r w:rsidRPr="00DB426E">
              <w:rPr>
                <w:b/>
              </w:rPr>
              <w:t>”) par 8% no izmaksām, kas radušās R&amp;D aktivitātēm nepieciešamo pamatlīdzekļu iegādes rezultātā.</w:t>
            </w:r>
          </w:p>
          <w:p w:rsidR="00E76417" w:rsidRPr="00DB426E" w:rsidRDefault="00E76417" w:rsidP="00E76417">
            <w:r w:rsidRPr="00DB426E">
              <w:t>Atvieglojums attiecas uz pamatlīdzekļiem, kas tiks izmantoti tikai un vienīgi R&amp;D aktivitātēs.</w:t>
            </w:r>
          </w:p>
        </w:tc>
        <w:tc>
          <w:tcPr>
            <w:tcW w:w="3240" w:type="dxa"/>
          </w:tcPr>
          <w:p w:rsidR="00E76417" w:rsidRPr="00DB426E" w:rsidRDefault="00E76417" w:rsidP="00E76417">
            <w:r w:rsidRPr="00DB426E">
              <w:t>Atvieglojums nav piemērojams attiecībā uz nekustamā īpašuma iegādes izmaksām.</w:t>
            </w:r>
          </w:p>
        </w:tc>
      </w:tr>
      <w:tr w:rsidR="00E76417" w:rsidRPr="00DB426E" w:rsidTr="00E76417">
        <w:tc>
          <w:tcPr>
            <w:tcW w:w="558" w:type="dxa"/>
            <w:vAlign w:val="center"/>
          </w:tcPr>
          <w:p w:rsidR="00E76417" w:rsidRPr="00DB426E" w:rsidRDefault="00E76417" w:rsidP="00E76417">
            <w:pPr>
              <w:jc w:val="center"/>
            </w:pPr>
            <w:r w:rsidRPr="00DB426E">
              <w:t xml:space="preserve">4. </w:t>
            </w:r>
          </w:p>
        </w:tc>
        <w:tc>
          <w:tcPr>
            <w:tcW w:w="4770" w:type="dxa"/>
            <w:vAlign w:val="center"/>
          </w:tcPr>
          <w:p w:rsidR="00E76417" w:rsidRPr="00DB426E" w:rsidRDefault="00E76417" w:rsidP="00E76417">
            <w:pPr>
              <w:rPr>
                <w:b/>
              </w:rPr>
            </w:pPr>
            <w:r w:rsidRPr="00DB426E">
              <w:rPr>
                <w:b/>
              </w:rPr>
              <w:t>Nodokļu kredīts jeb maksājamā UIN samazinājums („</w:t>
            </w:r>
            <w:proofErr w:type="spellStart"/>
            <w:r w:rsidRPr="00DB426E">
              <w:rPr>
                <w:b/>
              </w:rPr>
              <w:t>tax</w:t>
            </w:r>
            <w:proofErr w:type="spellEnd"/>
            <w:r w:rsidRPr="00DB426E">
              <w:rPr>
                <w:b/>
              </w:rPr>
              <w:t xml:space="preserve"> </w:t>
            </w:r>
            <w:proofErr w:type="spellStart"/>
            <w:r w:rsidRPr="00DB426E">
              <w:rPr>
                <w:b/>
              </w:rPr>
              <w:t>credit</w:t>
            </w:r>
            <w:proofErr w:type="spellEnd"/>
            <w:r w:rsidRPr="00DB426E">
              <w:rPr>
                <w:b/>
              </w:rPr>
              <w:t>”) par 12% no izmaksām, kuru rezultātā ir tehnoloģiski uzlabots esošs produkts.</w:t>
            </w:r>
          </w:p>
        </w:tc>
        <w:tc>
          <w:tcPr>
            <w:tcW w:w="3240" w:type="dxa"/>
          </w:tcPr>
          <w:p w:rsidR="00E76417" w:rsidRPr="00DB426E" w:rsidRDefault="00E76417" w:rsidP="00E76417">
            <w:r w:rsidRPr="00DB426E">
              <w:t xml:space="preserve">Attiecībā uz </w:t>
            </w:r>
            <w:proofErr w:type="spellStart"/>
            <w:r w:rsidRPr="00DB426E">
              <w:rPr>
                <w:i/>
              </w:rPr>
              <w:t>know-how</w:t>
            </w:r>
            <w:r w:rsidRPr="00DB426E">
              <w:t>,</w:t>
            </w:r>
            <w:proofErr w:type="spellEnd"/>
            <w:r w:rsidRPr="00DB426E">
              <w:t xml:space="preserve"> licencēm un patentiem izmaksas, par kurām piemērojams atvieglojums, nedrīkst pārsniegt EUR 1 miljonu.</w:t>
            </w:r>
          </w:p>
        </w:tc>
      </w:tr>
      <w:tr w:rsidR="00E76417" w:rsidRPr="00DB426E" w:rsidTr="00E76417">
        <w:tc>
          <w:tcPr>
            <w:tcW w:w="558" w:type="dxa"/>
            <w:vAlign w:val="center"/>
          </w:tcPr>
          <w:p w:rsidR="00E76417" w:rsidRPr="00DB426E" w:rsidRDefault="00E76417" w:rsidP="00E76417">
            <w:pPr>
              <w:jc w:val="center"/>
            </w:pPr>
            <w:r w:rsidRPr="00DB426E">
              <w:t xml:space="preserve">5. </w:t>
            </w:r>
          </w:p>
        </w:tc>
        <w:tc>
          <w:tcPr>
            <w:tcW w:w="4770" w:type="dxa"/>
            <w:vAlign w:val="center"/>
          </w:tcPr>
          <w:p w:rsidR="00E76417" w:rsidRPr="00DB426E" w:rsidRDefault="00E76417" w:rsidP="00E76417">
            <w:pPr>
              <w:rPr>
                <w:b/>
              </w:rPr>
            </w:pPr>
            <w:r w:rsidRPr="00DB426E">
              <w:rPr>
                <w:b/>
                <w:i/>
              </w:rPr>
              <w:t>„</w:t>
            </w:r>
            <w:proofErr w:type="spellStart"/>
            <w:r w:rsidRPr="00DB426E">
              <w:rPr>
                <w:b/>
                <w:i/>
              </w:rPr>
              <w:t>Patent</w:t>
            </w:r>
            <w:proofErr w:type="spellEnd"/>
            <w:r w:rsidRPr="00DB426E">
              <w:rPr>
                <w:b/>
                <w:i/>
              </w:rPr>
              <w:t xml:space="preserve"> </w:t>
            </w:r>
            <w:proofErr w:type="spellStart"/>
            <w:r w:rsidRPr="00DB426E">
              <w:rPr>
                <w:b/>
                <w:i/>
              </w:rPr>
              <w:t>Box</w:t>
            </w:r>
            <w:proofErr w:type="spellEnd"/>
            <w:r w:rsidRPr="00DB426E">
              <w:rPr>
                <w:b/>
                <w:i/>
              </w:rPr>
              <w:t>”</w:t>
            </w:r>
            <w:r w:rsidRPr="00DB426E">
              <w:rPr>
                <w:b/>
              </w:rPr>
              <w:t xml:space="preserve"> – 50% ienākuma atbrīvojums no UIN.</w:t>
            </w:r>
          </w:p>
          <w:p w:rsidR="00E76417" w:rsidRPr="00DB426E" w:rsidRDefault="00E76417" w:rsidP="00E76417">
            <w:pPr>
              <w:rPr>
                <w:b/>
              </w:rPr>
            </w:pPr>
            <w:r w:rsidRPr="00DB426E">
              <w:t>50% ienākuma no sekojošiem aktīviem ir atbrīvots no UIN:</w:t>
            </w:r>
          </w:p>
          <w:p w:rsidR="00E76417" w:rsidRPr="00475128" w:rsidRDefault="00E76417" w:rsidP="006C3F27">
            <w:pPr>
              <w:pStyle w:val="ListParagraph"/>
              <w:numPr>
                <w:ilvl w:val="0"/>
                <w:numId w:val="90"/>
              </w:numPr>
              <w:suppressAutoHyphens w:val="0"/>
              <w:spacing w:line="276" w:lineRule="auto"/>
              <w:ind w:left="714" w:hanging="357"/>
              <w:rPr>
                <w:lang w:val="lv-LV" w:eastAsia="en-US"/>
              </w:rPr>
            </w:pPr>
            <w:r w:rsidRPr="00475128">
              <w:rPr>
                <w:lang w:val="lv-LV" w:eastAsia="en-US"/>
              </w:rPr>
              <w:t>patenti,</w:t>
            </w:r>
          </w:p>
          <w:p w:rsidR="00E76417" w:rsidRPr="00475128" w:rsidRDefault="00E76417" w:rsidP="006C3F27">
            <w:pPr>
              <w:pStyle w:val="ListParagraph"/>
              <w:numPr>
                <w:ilvl w:val="0"/>
                <w:numId w:val="90"/>
              </w:numPr>
              <w:suppressAutoHyphens w:val="0"/>
              <w:spacing w:line="276" w:lineRule="auto"/>
              <w:ind w:left="714" w:hanging="357"/>
              <w:rPr>
                <w:lang w:val="lv-LV" w:eastAsia="en-US"/>
              </w:rPr>
            </w:pPr>
            <w:r w:rsidRPr="00475128">
              <w:rPr>
                <w:lang w:val="lv-LV" w:eastAsia="en-US"/>
              </w:rPr>
              <w:t>dizains, formulas,</w:t>
            </w:r>
          </w:p>
          <w:p w:rsidR="00E76417" w:rsidRPr="00475128" w:rsidRDefault="00E76417" w:rsidP="006C3F27">
            <w:pPr>
              <w:pStyle w:val="ListParagraph"/>
              <w:numPr>
                <w:ilvl w:val="0"/>
                <w:numId w:val="90"/>
              </w:numPr>
              <w:suppressAutoHyphens w:val="0"/>
              <w:spacing w:line="276" w:lineRule="auto"/>
              <w:ind w:left="714" w:hanging="357"/>
              <w:rPr>
                <w:i/>
                <w:lang w:val="lv-LV" w:eastAsia="en-US"/>
              </w:rPr>
            </w:pPr>
            <w:proofErr w:type="spellStart"/>
            <w:r w:rsidRPr="00475128">
              <w:rPr>
                <w:i/>
                <w:lang w:val="lv-LV" w:eastAsia="en-US"/>
              </w:rPr>
              <w:t>know-how</w:t>
            </w:r>
            <w:proofErr w:type="spellEnd"/>
          </w:p>
          <w:p w:rsidR="00E76417" w:rsidRPr="00DB426E" w:rsidRDefault="00E76417" w:rsidP="00E76417">
            <w:r w:rsidRPr="00DB426E">
              <w:t>Tādejādi efektīvā UIN likme par augstāk minēto ienākumu ir 15% (uzņēmumiem, kas maksā standarta UIN likmi 30%).</w:t>
            </w:r>
          </w:p>
        </w:tc>
        <w:tc>
          <w:tcPr>
            <w:tcW w:w="3240" w:type="dxa"/>
            <w:vAlign w:val="center"/>
          </w:tcPr>
          <w:p w:rsidR="00E76417" w:rsidRPr="00DB426E" w:rsidRDefault="00E76417" w:rsidP="00E76417">
            <w:pPr>
              <w:jc w:val="center"/>
            </w:pPr>
          </w:p>
        </w:tc>
      </w:tr>
    </w:tbl>
    <w:p w:rsidR="00E76417" w:rsidRPr="00DB426E" w:rsidRDefault="00E76417" w:rsidP="00E76417">
      <w:pPr>
        <w:pStyle w:val="Heading4"/>
        <w:numPr>
          <w:ilvl w:val="3"/>
          <w:numId w:val="4"/>
        </w:numPr>
        <w:spacing w:after="100" w:afterAutospacing="1"/>
        <w:ind w:firstLine="270"/>
        <w:rPr>
          <w:szCs w:val="24"/>
        </w:rPr>
      </w:pPr>
      <w:bookmarkStart w:id="355" w:name="_Toc358978758"/>
      <w:r w:rsidRPr="00DB426E">
        <w:rPr>
          <w:szCs w:val="24"/>
        </w:rPr>
        <w:t>Citas prasības</w:t>
      </w:r>
      <w:bookmarkEnd w:id="355"/>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lang w:val="lv-LV"/>
        </w:rPr>
        <w:t>Ja taksācijas gada kopējais R&amp;D izmaksu apjoms (atvieglojumu Nr. 1- 4 kopsumma) pārsniedz 10% maksājamā UIN, kurš samazināts par attiecīgajiem atvieglojumiem, samazinājuma kopsumma nedrīkst pārsniegt 50% UIN summas pirms samazinājuma piemērošanas. Ja nepārsniedz – samazinājuma kopsumma nedrīkst pārsniegt 25% UIN summas pirms samazinājuma piemērošanas.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lang w:val="lv-LV"/>
        </w:rPr>
        <w:t>Neizmantotais nodokļu kredīts var tikt pārnests uz nākamajiem 18 taksācijas gadiem (bez iespējām saņemt atmaksu no valsts).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 xml:space="preserve">Uzņēmumiem nav nepieciešams iepriekš saskaņot R&amp;D izmaksas un atvieglojumus ar valsti. Atvieglojumu piemērošana notiek pēc </w:t>
      </w:r>
      <w:proofErr w:type="spellStart"/>
      <w:r w:rsidRPr="00DB426E">
        <w:rPr>
          <w:rFonts w:cs="Calibri"/>
          <w:lang w:val="lv-LV"/>
        </w:rPr>
        <w:t>pašdeklarēšanās</w:t>
      </w:r>
      <w:proofErr w:type="spellEnd"/>
      <w:r w:rsidRPr="00DB426E">
        <w:rPr>
          <w:rFonts w:cs="Calibri"/>
          <w:lang w:val="lv-LV"/>
        </w:rPr>
        <w:t xml:space="preserve"> principa.</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R&amp;D atvieglojumi pieejami visās nozarēs.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Atvieglojumi pieejami arī tad, ja uzņēmuma R&amp;D aktivitātes notiek ārpus Spānijas, taču ES vai EEZ teritorijā vai valstī, ar kuru Spānija ir noslēgusi konvenciju par nodokļu dubultās uzlikšanas un nodokļu nemaksāšanas novēršanu.</w:t>
      </w:r>
    </w:p>
    <w:p w:rsidR="00E76417" w:rsidRPr="00DB426E" w:rsidRDefault="00E76417" w:rsidP="00E76417">
      <w:pPr>
        <w:pStyle w:val="Heading3"/>
        <w:numPr>
          <w:ilvl w:val="2"/>
          <w:numId w:val="4"/>
        </w:numPr>
      </w:pPr>
      <w:bookmarkStart w:id="356" w:name="_Toc356472837"/>
      <w:bookmarkStart w:id="357" w:name="_Toc358978759"/>
      <w:r w:rsidRPr="00DB426E">
        <w:t>Grieķija</w:t>
      </w:r>
      <w:bookmarkEnd w:id="356"/>
      <w:bookmarkEnd w:id="357"/>
    </w:p>
    <w:p w:rsidR="00E76417" w:rsidRPr="00DB426E" w:rsidRDefault="00E76417" w:rsidP="00E76417">
      <w:pPr>
        <w:pStyle w:val="Heading4"/>
        <w:numPr>
          <w:ilvl w:val="3"/>
          <w:numId w:val="4"/>
        </w:numPr>
        <w:ind w:firstLine="270"/>
        <w:rPr>
          <w:szCs w:val="24"/>
        </w:rPr>
      </w:pPr>
      <w:bookmarkStart w:id="358" w:name="_Toc358978760"/>
      <w:r w:rsidRPr="00DB426E">
        <w:rPr>
          <w:szCs w:val="24"/>
        </w:rPr>
        <w:t>Pamatinformācija</w:t>
      </w:r>
      <w:bookmarkEnd w:id="358"/>
    </w:p>
    <w:p w:rsidR="00E76417" w:rsidRPr="00DB426E" w:rsidRDefault="00E76417" w:rsidP="00E76417">
      <w:r w:rsidRPr="00DB426E">
        <w:t>Grieķijas UIN likme ir 26%.</w:t>
      </w:r>
    </w:p>
    <w:p w:rsidR="00E76417" w:rsidRPr="00DB426E" w:rsidRDefault="00E76417" w:rsidP="00E76417">
      <w:pPr>
        <w:pStyle w:val="Heading4"/>
        <w:numPr>
          <w:ilvl w:val="3"/>
          <w:numId w:val="4"/>
        </w:numPr>
        <w:ind w:firstLine="270"/>
        <w:rPr>
          <w:szCs w:val="24"/>
        </w:rPr>
      </w:pPr>
      <w:bookmarkStart w:id="359" w:name="_Toc358978761"/>
      <w:r w:rsidRPr="00DB426E">
        <w:rPr>
          <w:szCs w:val="24"/>
        </w:rPr>
        <w:t>R&amp;D nodokļu atvieglojumi</w:t>
      </w:r>
      <w:bookmarkEnd w:id="359"/>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950"/>
        <w:gridCol w:w="3060"/>
      </w:tblGrid>
      <w:tr w:rsidR="00E76417" w:rsidRPr="00DB426E" w:rsidTr="00E76417">
        <w:tc>
          <w:tcPr>
            <w:tcW w:w="558" w:type="dxa"/>
            <w:shd w:val="clear" w:color="auto" w:fill="F2F2F2"/>
            <w:vAlign w:val="center"/>
          </w:tcPr>
          <w:p w:rsidR="00E76417" w:rsidRPr="00097DBA" w:rsidRDefault="00E76417" w:rsidP="00E76417">
            <w:pPr>
              <w:jc w:val="center"/>
              <w:rPr>
                <w:b/>
              </w:rPr>
            </w:pPr>
            <w:proofErr w:type="spellStart"/>
            <w:r w:rsidRPr="00097DBA">
              <w:rPr>
                <w:b/>
              </w:rPr>
              <w:t>Nr.p.k</w:t>
            </w:r>
            <w:proofErr w:type="spellEnd"/>
            <w:r w:rsidRPr="00097DBA">
              <w:rPr>
                <w:b/>
              </w:rPr>
              <w:t>.</w:t>
            </w:r>
          </w:p>
        </w:tc>
        <w:tc>
          <w:tcPr>
            <w:tcW w:w="4950" w:type="dxa"/>
            <w:shd w:val="clear" w:color="auto" w:fill="F2F2F2"/>
            <w:vAlign w:val="center"/>
          </w:tcPr>
          <w:p w:rsidR="00E76417" w:rsidRPr="00097DBA" w:rsidRDefault="00E76417" w:rsidP="00E76417">
            <w:pPr>
              <w:jc w:val="center"/>
              <w:rPr>
                <w:b/>
              </w:rPr>
            </w:pPr>
            <w:r w:rsidRPr="00097DBA">
              <w:rPr>
                <w:b/>
              </w:rPr>
              <w:t>Atvieglojuma apraksts</w:t>
            </w:r>
          </w:p>
        </w:tc>
        <w:tc>
          <w:tcPr>
            <w:tcW w:w="3060" w:type="dxa"/>
            <w:shd w:val="clear" w:color="auto" w:fill="F2F2F2"/>
            <w:vAlign w:val="center"/>
          </w:tcPr>
          <w:p w:rsidR="00E76417" w:rsidRPr="00097DBA" w:rsidRDefault="00E76417" w:rsidP="00E76417">
            <w:pPr>
              <w:jc w:val="center"/>
              <w:rPr>
                <w:b/>
              </w:rPr>
            </w:pPr>
            <w:r w:rsidRPr="00097DBA">
              <w:rPr>
                <w:b/>
              </w:rPr>
              <w:t>Atvieglojuma piemērošanas ierobežojumi</w:t>
            </w:r>
          </w:p>
        </w:tc>
      </w:tr>
      <w:tr w:rsidR="00E76417" w:rsidRPr="00DB426E" w:rsidTr="00E76417">
        <w:tc>
          <w:tcPr>
            <w:tcW w:w="558" w:type="dxa"/>
            <w:vAlign w:val="center"/>
          </w:tcPr>
          <w:p w:rsidR="00E76417" w:rsidRPr="00DB426E" w:rsidRDefault="00E76417" w:rsidP="00E76417">
            <w:pPr>
              <w:jc w:val="center"/>
            </w:pPr>
            <w:r w:rsidRPr="00DB426E">
              <w:t>1.</w:t>
            </w:r>
          </w:p>
        </w:tc>
        <w:tc>
          <w:tcPr>
            <w:tcW w:w="4950" w:type="dxa"/>
            <w:vAlign w:val="center"/>
          </w:tcPr>
          <w:p w:rsidR="00E76417" w:rsidRPr="00DB426E" w:rsidRDefault="00E76417" w:rsidP="00E76417">
            <w:pPr>
              <w:rPr>
                <w:b/>
              </w:rPr>
            </w:pPr>
            <w:r w:rsidRPr="00DB426E">
              <w:rPr>
                <w:b/>
              </w:rPr>
              <w:t>Apliekamā ienākuma samazinājums par R&amp;D izmaksām 100%/150% apmērā.</w:t>
            </w:r>
          </w:p>
          <w:p w:rsidR="00E76417" w:rsidRPr="00DB426E" w:rsidRDefault="00E76417" w:rsidP="00E76417">
            <w:pPr>
              <w:rPr>
                <w:b/>
              </w:rPr>
            </w:pPr>
            <w:r w:rsidRPr="00DB426E">
              <w:t xml:space="preserve">R&amp;D izmaksas ir atskaitāmas 100% apmērā tajā taksācijas gadā, kad tās ir radušās. Taču, ja taksācijas gada R&amp;D izmaksas pārsniedz iepriekšējo divu taksācijas gadu vidējās R&amp;D izmaksas, tās ir atskaitāmas 150% apmērā. </w:t>
            </w:r>
          </w:p>
        </w:tc>
        <w:tc>
          <w:tcPr>
            <w:tcW w:w="3060" w:type="dxa"/>
            <w:vAlign w:val="center"/>
          </w:tcPr>
          <w:p w:rsidR="00E76417" w:rsidRPr="00DB426E" w:rsidRDefault="00E76417" w:rsidP="00E76417">
            <w:pPr>
              <w:jc w:val="center"/>
            </w:pPr>
          </w:p>
        </w:tc>
      </w:tr>
      <w:tr w:rsidR="00E76417" w:rsidRPr="00DB426E" w:rsidTr="00E76417">
        <w:tc>
          <w:tcPr>
            <w:tcW w:w="558" w:type="dxa"/>
            <w:vAlign w:val="center"/>
          </w:tcPr>
          <w:p w:rsidR="00E76417" w:rsidRPr="00DB426E" w:rsidRDefault="00E76417" w:rsidP="00E76417">
            <w:pPr>
              <w:jc w:val="center"/>
            </w:pPr>
            <w:r w:rsidRPr="00DB426E">
              <w:t>2.</w:t>
            </w:r>
          </w:p>
        </w:tc>
        <w:tc>
          <w:tcPr>
            <w:tcW w:w="4950" w:type="dxa"/>
            <w:vAlign w:val="center"/>
          </w:tcPr>
          <w:p w:rsidR="00E76417" w:rsidRPr="00DB426E" w:rsidRDefault="00E76417" w:rsidP="00E76417">
            <w:pPr>
              <w:rPr>
                <w:b/>
              </w:rPr>
            </w:pPr>
            <w:r w:rsidRPr="00DB426E">
              <w:rPr>
                <w:b/>
              </w:rPr>
              <w:t>Paātrināts nolietojums R&amp;D aktivitātes izmantotajiem pamatlīdzekļiem.</w:t>
            </w:r>
          </w:p>
          <w:p w:rsidR="00E76417" w:rsidRPr="00DB426E" w:rsidRDefault="00E76417" w:rsidP="00E76417">
            <w:r w:rsidRPr="00DB426E">
              <w:t>R&amp;D aktivitātēs izmantotie pamatlīdzekļi ir norakstāmi trīs gados.</w:t>
            </w:r>
          </w:p>
        </w:tc>
        <w:tc>
          <w:tcPr>
            <w:tcW w:w="3060" w:type="dxa"/>
            <w:vAlign w:val="center"/>
          </w:tcPr>
          <w:p w:rsidR="00E76417" w:rsidRPr="00DB426E" w:rsidRDefault="00E76417" w:rsidP="00E76417">
            <w:pPr>
              <w:jc w:val="center"/>
            </w:pPr>
          </w:p>
        </w:tc>
      </w:tr>
      <w:tr w:rsidR="00E76417" w:rsidRPr="00DB426E" w:rsidTr="00E76417">
        <w:tc>
          <w:tcPr>
            <w:tcW w:w="558" w:type="dxa"/>
            <w:vAlign w:val="center"/>
          </w:tcPr>
          <w:p w:rsidR="00E76417" w:rsidRPr="00DB426E" w:rsidRDefault="00E76417" w:rsidP="00E76417">
            <w:pPr>
              <w:jc w:val="center"/>
            </w:pPr>
            <w:r w:rsidRPr="00DB426E">
              <w:t>3.</w:t>
            </w:r>
          </w:p>
        </w:tc>
        <w:tc>
          <w:tcPr>
            <w:tcW w:w="4950" w:type="dxa"/>
            <w:vAlign w:val="center"/>
          </w:tcPr>
          <w:p w:rsidR="00E76417" w:rsidRPr="00DB426E" w:rsidRDefault="00E76417" w:rsidP="00E76417">
            <w:pPr>
              <w:rPr>
                <w:b/>
              </w:rPr>
            </w:pPr>
            <w:r w:rsidRPr="00DB426E">
              <w:rPr>
                <w:b/>
              </w:rPr>
              <w:t>Ienākuma no patenta atbrīvojums no UIN 3 gadus.</w:t>
            </w:r>
          </w:p>
          <w:p w:rsidR="00E76417" w:rsidRPr="00DB426E" w:rsidRDefault="00E76417" w:rsidP="00E76417">
            <w:r w:rsidRPr="00DB426E">
              <w:t xml:space="preserve">Ienākums no produkta un ar to saistīto pakalpojumu pārdošanas ir atbrīvots no UIN trīs taksācijas gadus pēc kārtas sākot ar gadu, kurā ienākums tika gūts pirmo reizi, ja produkts ir aizsargāts ar patentu, kuru ir attīstījis un kurš ir reģistrēts uz konkrētā uzņēmuma vārda. </w:t>
            </w:r>
          </w:p>
          <w:p w:rsidR="00E76417" w:rsidRPr="00DB426E" w:rsidRDefault="00E76417" w:rsidP="00E76417">
            <w:r w:rsidRPr="00DB426E">
              <w:t>Atbrīvojums ir pieejams arī tad, ja produktu izgatavo trešā puse.</w:t>
            </w:r>
          </w:p>
        </w:tc>
        <w:tc>
          <w:tcPr>
            <w:tcW w:w="3060" w:type="dxa"/>
            <w:vAlign w:val="center"/>
          </w:tcPr>
          <w:p w:rsidR="00E76417" w:rsidRPr="00DB426E" w:rsidRDefault="00E76417" w:rsidP="00E76417"/>
        </w:tc>
      </w:tr>
    </w:tbl>
    <w:p w:rsidR="00E76417" w:rsidRPr="00DB426E" w:rsidRDefault="00E76417" w:rsidP="00E76417">
      <w:pPr>
        <w:pStyle w:val="Heading4"/>
        <w:numPr>
          <w:ilvl w:val="3"/>
          <w:numId w:val="4"/>
        </w:numPr>
        <w:spacing w:after="100" w:afterAutospacing="1"/>
        <w:ind w:firstLine="270"/>
        <w:rPr>
          <w:szCs w:val="24"/>
        </w:rPr>
      </w:pPr>
      <w:bookmarkStart w:id="360" w:name="_Toc358978762"/>
      <w:r w:rsidRPr="00DB426E">
        <w:rPr>
          <w:szCs w:val="24"/>
        </w:rPr>
        <w:t>Citas prasības</w:t>
      </w:r>
      <w:bookmarkEnd w:id="360"/>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 xml:space="preserve">Uzņēmumiem nav nepieciešams iepriekš saskaņot R&amp;D izmaksas un atvieglojumus ar valsti. Atvieglojumu piemērošana notiek pēc </w:t>
      </w:r>
      <w:proofErr w:type="spellStart"/>
      <w:r w:rsidRPr="00DB426E">
        <w:rPr>
          <w:rFonts w:cs="Calibri"/>
          <w:lang w:val="lv-LV"/>
        </w:rPr>
        <w:t>pašdeklarēšanās</w:t>
      </w:r>
      <w:proofErr w:type="spellEnd"/>
      <w:r w:rsidRPr="00DB426E">
        <w:rPr>
          <w:rFonts w:cs="Calibri"/>
          <w:lang w:val="lv-LV"/>
        </w:rPr>
        <w:t xml:space="preserve"> principa.</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R&amp;D atvieglojumi pieejami visās nozarēs.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Atvieglojumi pieejami arī tad, ja uzņēmuma R&amp;D aktivitātes notiek ārpus Grieķijas, taču ES vai EEZ teritorijā vai valstī, ar kuru Grieķija ir noslēgusi konvenciju par nodokļu dubultās uzlikšanas un nodokļu nemaksāšanas novēršanu.</w:t>
      </w:r>
    </w:p>
    <w:p w:rsidR="00E76417" w:rsidRPr="00DB426E" w:rsidRDefault="00E76417" w:rsidP="00E76417">
      <w:pPr>
        <w:pStyle w:val="Heading3"/>
        <w:numPr>
          <w:ilvl w:val="2"/>
          <w:numId w:val="4"/>
        </w:numPr>
      </w:pPr>
      <w:bookmarkStart w:id="361" w:name="_Toc356472838"/>
      <w:bookmarkStart w:id="362" w:name="_Toc358978763"/>
      <w:r w:rsidRPr="00DB426E">
        <w:t>Lietuva</w:t>
      </w:r>
      <w:bookmarkEnd w:id="361"/>
      <w:bookmarkEnd w:id="362"/>
    </w:p>
    <w:p w:rsidR="00E76417" w:rsidRPr="00DB426E" w:rsidRDefault="00E76417" w:rsidP="00E76417">
      <w:pPr>
        <w:pStyle w:val="Heading4"/>
        <w:numPr>
          <w:ilvl w:val="3"/>
          <w:numId w:val="4"/>
        </w:numPr>
        <w:ind w:firstLine="270"/>
        <w:rPr>
          <w:szCs w:val="24"/>
        </w:rPr>
      </w:pPr>
      <w:bookmarkStart w:id="363" w:name="_Toc358978764"/>
      <w:r w:rsidRPr="00DB426E">
        <w:rPr>
          <w:szCs w:val="24"/>
        </w:rPr>
        <w:t>Pamatinformācija</w:t>
      </w:r>
      <w:bookmarkEnd w:id="363"/>
    </w:p>
    <w:p w:rsidR="00E76417" w:rsidRPr="00DB426E" w:rsidRDefault="00E76417" w:rsidP="00E76417">
      <w:r w:rsidRPr="00DB426E">
        <w:t>Lietuvas standarta UIN likme ir 15%. Mikrouzņēmumi maksā samazinātu likmi 5% apmērā.</w:t>
      </w:r>
    </w:p>
    <w:p w:rsidR="00E76417" w:rsidRPr="00DB426E" w:rsidRDefault="00E76417" w:rsidP="00E76417">
      <w:pPr>
        <w:pStyle w:val="Heading4"/>
        <w:numPr>
          <w:ilvl w:val="3"/>
          <w:numId w:val="4"/>
        </w:numPr>
        <w:ind w:firstLine="270"/>
        <w:rPr>
          <w:szCs w:val="24"/>
        </w:rPr>
      </w:pPr>
      <w:bookmarkStart w:id="364" w:name="_Toc358978765"/>
      <w:r w:rsidRPr="00DB426E">
        <w:rPr>
          <w:szCs w:val="24"/>
        </w:rPr>
        <w:t>R&amp;D nodokļu atvieglojumi</w:t>
      </w:r>
      <w:bookmarkEnd w:id="364"/>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410"/>
        <w:gridCol w:w="3600"/>
      </w:tblGrid>
      <w:tr w:rsidR="00E76417" w:rsidRPr="00DB426E" w:rsidTr="00E76417">
        <w:tc>
          <w:tcPr>
            <w:tcW w:w="558" w:type="dxa"/>
            <w:shd w:val="clear" w:color="auto" w:fill="F2F2F2"/>
            <w:vAlign w:val="center"/>
          </w:tcPr>
          <w:p w:rsidR="00E76417" w:rsidRPr="00097DBA" w:rsidRDefault="00E76417" w:rsidP="00E76417">
            <w:pPr>
              <w:spacing w:after="60"/>
              <w:jc w:val="center"/>
              <w:rPr>
                <w:b/>
              </w:rPr>
            </w:pPr>
            <w:proofErr w:type="spellStart"/>
            <w:r w:rsidRPr="00097DBA">
              <w:rPr>
                <w:b/>
              </w:rPr>
              <w:t>Nr.p.k</w:t>
            </w:r>
            <w:proofErr w:type="spellEnd"/>
            <w:r w:rsidRPr="00097DBA">
              <w:rPr>
                <w:b/>
              </w:rPr>
              <w:t>.</w:t>
            </w:r>
          </w:p>
        </w:tc>
        <w:tc>
          <w:tcPr>
            <w:tcW w:w="4410" w:type="dxa"/>
            <w:shd w:val="clear" w:color="auto" w:fill="F2F2F2"/>
            <w:vAlign w:val="center"/>
          </w:tcPr>
          <w:p w:rsidR="00E76417" w:rsidRPr="00097DBA" w:rsidRDefault="00E76417" w:rsidP="00E76417">
            <w:pPr>
              <w:spacing w:after="60"/>
              <w:jc w:val="center"/>
              <w:rPr>
                <w:b/>
              </w:rPr>
            </w:pPr>
            <w:r w:rsidRPr="00097DBA">
              <w:rPr>
                <w:b/>
              </w:rPr>
              <w:t>Atvieglojuma apraksts</w:t>
            </w:r>
          </w:p>
        </w:tc>
        <w:tc>
          <w:tcPr>
            <w:tcW w:w="3600" w:type="dxa"/>
            <w:shd w:val="clear" w:color="auto" w:fill="F2F2F2"/>
            <w:vAlign w:val="center"/>
          </w:tcPr>
          <w:p w:rsidR="00E76417" w:rsidRPr="00097DBA" w:rsidRDefault="00E76417" w:rsidP="00E76417">
            <w:pPr>
              <w:spacing w:after="60"/>
              <w:jc w:val="center"/>
              <w:rPr>
                <w:b/>
              </w:rPr>
            </w:pPr>
            <w:r w:rsidRPr="00097DBA">
              <w:rPr>
                <w:b/>
              </w:rPr>
              <w:t>Atvieglojuma piemērošanas ierobežojumi</w:t>
            </w:r>
          </w:p>
        </w:tc>
      </w:tr>
      <w:tr w:rsidR="00E76417" w:rsidRPr="00DB426E" w:rsidTr="00E76417">
        <w:tc>
          <w:tcPr>
            <w:tcW w:w="558" w:type="dxa"/>
            <w:vAlign w:val="center"/>
          </w:tcPr>
          <w:p w:rsidR="00E76417" w:rsidRPr="00DB426E" w:rsidRDefault="00E76417" w:rsidP="00E76417">
            <w:pPr>
              <w:spacing w:after="60"/>
              <w:jc w:val="center"/>
            </w:pPr>
            <w:r w:rsidRPr="00DB426E">
              <w:t>1.</w:t>
            </w:r>
          </w:p>
        </w:tc>
        <w:tc>
          <w:tcPr>
            <w:tcW w:w="4410" w:type="dxa"/>
            <w:vAlign w:val="center"/>
          </w:tcPr>
          <w:p w:rsidR="00E76417" w:rsidRPr="00DB426E" w:rsidRDefault="00E76417" w:rsidP="00E76417">
            <w:pPr>
              <w:spacing w:after="60"/>
              <w:rPr>
                <w:b/>
              </w:rPr>
            </w:pPr>
            <w:r w:rsidRPr="00DB426E">
              <w:rPr>
                <w:b/>
              </w:rPr>
              <w:t>Apliekamā ienākuma samazinājums par R&amp;D izmaksām 300% apmērā.</w:t>
            </w:r>
          </w:p>
          <w:p w:rsidR="00E76417" w:rsidRPr="00DB426E" w:rsidRDefault="00E76417" w:rsidP="00E76417">
            <w:pPr>
              <w:spacing w:after="60"/>
            </w:pPr>
            <w:r w:rsidRPr="00DB426E">
              <w:t>R&amp;D izmaksas, uz kurām attiecas atvieglojums:</w:t>
            </w:r>
          </w:p>
          <w:p w:rsidR="00E76417" w:rsidRPr="00475128" w:rsidRDefault="00E76417" w:rsidP="00E76417">
            <w:pPr>
              <w:pStyle w:val="ListParagraph"/>
              <w:numPr>
                <w:ilvl w:val="0"/>
                <w:numId w:val="48"/>
              </w:numPr>
              <w:suppressAutoHyphens w:val="0"/>
              <w:spacing w:after="60" w:line="276" w:lineRule="auto"/>
              <w:rPr>
                <w:lang w:val="lv-LV" w:eastAsia="en-US"/>
              </w:rPr>
            </w:pPr>
            <w:r w:rsidRPr="00475128">
              <w:rPr>
                <w:lang w:val="lv-LV" w:eastAsia="en-US"/>
              </w:rPr>
              <w:t>R&amp;D aktivitātēs iesaistīto darbinieku algas, komandējumu izmaksas,</w:t>
            </w:r>
          </w:p>
          <w:p w:rsidR="00E76417" w:rsidRPr="00475128" w:rsidRDefault="00E76417" w:rsidP="00E76417">
            <w:pPr>
              <w:pStyle w:val="ListParagraph"/>
              <w:numPr>
                <w:ilvl w:val="0"/>
                <w:numId w:val="48"/>
              </w:numPr>
              <w:suppressAutoHyphens w:val="0"/>
              <w:spacing w:after="60" w:line="276" w:lineRule="auto"/>
              <w:rPr>
                <w:lang w:val="lv-LV" w:eastAsia="en-US"/>
              </w:rPr>
            </w:pPr>
            <w:r w:rsidRPr="00475128">
              <w:rPr>
                <w:lang w:val="lv-LV" w:eastAsia="en-US"/>
              </w:rPr>
              <w:t>trešo pušu pakalpojumu izmaksas,</w:t>
            </w:r>
          </w:p>
          <w:p w:rsidR="00E76417" w:rsidRPr="00475128" w:rsidRDefault="00E76417" w:rsidP="00E76417">
            <w:pPr>
              <w:pStyle w:val="ListParagraph"/>
              <w:numPr>
                <w:ilvl w:val="0"/>
                <w:numId w:val="48"/>
              </w:numPr>
              <w:suppressAutoHyphens w:val="0"/>
              <w:spacing w:after="60" w:line="276" w:lineRule="auto"/>
              <w:rPr>
                <w:lang w:val="lv-LV" w:eastAsia="en-US"/>
              </w:rPr>
            </w:pPr>
            <w:r w:rsidRPr="00475128">
              <w:rPr>
                <w:lang w:val="lv-LV" w:eastAsia="en-US"/>
              </w:rPr>
              <w:t>R&amp;D aktivitātēs iesaistītā nomāta personāla izmaksas,</w:t>
            </w:r>
          </w:p>
          <w:p w:rsidR="00E76417" w:rsidRPr="00475128" w:rsidRDefault="00E76417" w:rsidP="00E76417">
            <w:pPr>
              <w:pStyle w:val="ListParagraph"/>
              <w:numPr>
                <w:ilvl w:val="0"/>
                <w:numId w:val="48"/>
              </w:numPr>
              <w:suppressAutoHyphens w:val="0"/>
              <w:spacing w:after="60" w:line="276" w:lineRule="auto"/>
              <w:rPr>
                <w:lang w:val="lv-LV" w:eastAsia="en-US"/>
              </w:rPr>
            </w:pPr>
            <w:r w:rsidRPr="00475128">
              <w:rPr>
                <w:lang w:val="lv-LV" w:eastAsia="en-US"/>
              </w:rPr>
              <w:t>materiāli, kas ir izlietoti vai pārveidoti R&amp;D aktivitāšu rezultātā.</w:t>
            </w:r>
          </w:p>
        </w:tc>
        <w:tc>
          <w:tcPr>
            <w:tcW w:w="3600" w:type="dxa"/>
          </w:tcPr>
          <w:p w:rsidR="00E76417" w:rsidRPr="00DB426E" w:rsidRDefault="00E76417" w:rsidP="00E76417">
            <w:pPr>
              <w:spacing w:after="60"/>
            </w:pPr>
            <w:r w:rsidRPr="00DB426E">
              <w:t>Atvieglojums neattiecas uz R&amp;D aktivitātēs izmantotajiem pamatlīdzekļiem.</w:t>
            </w:r>
          </w:p>
        </w:tc>
      </w:tr>
      <w:tr w:rsidR="00E76417" w:rsidRPr="00DB426E" w:rsidTr="00E76417">
        <w:tc>
          <w:tcPr>
            <w:tcW w:w="558" w:type="dxa"/>
            <w:vAlign w:val="center"/>
          </w:tcPr>
          <w:p w:rsidR="00E76417" w:rsidRPr="00DB426E" w:rsidRDefault="00E76417" w:rsidP="00E76417">
            <w:pPr>
              <w:spacing w:after="60"/>
              <w:jc w:val="center"/>
            </w:pPr>
            <w:r w:rsidRPr="00DB426E">
              <w:t>2.</w:t>
            </w:r>
          </w:p>
        </w:tc>
        <w:tc>
          <w:tcPr>
            <w:tcW w:w="4410" w:type="dxa"/>
            <w:vAlign w:val="center"/>
          </w:tcPr>
          <w:p w:rsidR="00E76417" w:rsidRPr="00DB426E" w:rsidRDefault="00E76417" w:rsidP="00E76417">
            <w:pPr>
              <w:spacing w:after="60"/>
              <w:rPr>
                <w:b/>
              </w:rPr>
            </w:pPr>
            <w:r w:rsidRPr="00DB426E">
              <w:rPr>
                <w:b/>
              </w:rPr>
              <w:t>Paātrināts nolietojums R&amp;D aktivitātes izmantotajiem pamatlīdzekļiem.</w:t>
            </w:r>
          </w:p>
          <w:p w:rsidR="00E76417" w:rsidRPr="00DB426E" w:rsidRDefault="00E76417" w:rsidP="00E76417">
            <w:pPr>
              <w:spacing w:after="60"/>
            </w:pPr>
            <w:r w:rsidRPr="00DB426E">
              <w:t>Uzņēmums pats var izvēlēties, cik gados norakstīt R&amp;D aktivitātēs izmantotos pamatlīdzekļus, taču, ievērojot likumā noteikto minimumu:</w:t>
            </w:r>
          </w:p>
          <w:p w:rsidR="00E76417" w:rsidRPr="00475128" w:rsidRDefault="00E76417" w:rsidP="00E76417">
            <w:pPr>
              <w:pStyle w:val="ListParagraph"/>
              <w:numPr>
                <w:ilvl w:val="0"/>
                <w:numId w:val="49"/>
              </w:numPr>
              <w:suppressAutoHyphens w:val="0"/>
              <w:spacing w:after="60" w:line="276" w:lineRule="auto"/>
              <w:rPr>
                <w:lang w:val="lv-LV" w:eastAsia="en-US"/>
              </w:rPr>
            </w:pPr>
            <w:r w:rsidRPr="00475128">
              <w:rPr>
                <w:lang w:val="lv-LV" w:eastAsia="en-US"/>
              </w:rPr>
              <w:t>nemateriālie aktīvi: 2-15 gadi (standarta: 3-15 gadi),</w:t>
            </w:r>
          </w:p>
          <w:p w:rsidR="00E76417" w:rsidRPr="00475128" w:rsidRDefault="00E76417" w:rsidP="00E76417">
            <w:pPr>
              <w:pStyle w:val="ListParagraph"/>
              <w:numPr>
                <w:ilvl w:val="0"/>
                <w:numId w:val="49"/>
              </w:numPr>
              <w:suppressAutoHyphens w:val="0"/>
              <w:spacing w:after="60" w:line="276" w:lineRule="auto"/>
              <w:rPr>
                <w:lang w:val="lv-LV" w:eastAsia="en-US"/>
              </w:rPr>
            </w:pPr>
            <w:r w:rsidRPr="00475128">
              <w:rPr>
                <w:lang w:val="lv-LV" w:eastAsia="en-US"/>
              </w:rPr>
              <w:t>ēkas, kas uzbūvētas vai atjaunotas līdz 01.01.2002: 15-20 gadi (standarta: 15-20 gadi),</w:t>
            </w:r>
          </w:p>
          <w:p w:rsidR="00E76417" w:rsidRPr="00475128" w:rsidRDefault="00E76417" w:rsidP="00E76417">
            <w:pPr>
              <w:pStyle w:val="ListParagraph"/>
              <w:numPr>
                <w:ilvl w:val="0"/>
                <w:numId w:val="49"/>
              </w:numPr>
              <w:suppressAutoHyphens w:val="0"/>
              <w:spacing w:after="60" w:line="276" w:lineRule="auto"/>
              <w:rPr>
                <w:lang w:val="lv-LV" w:eastAsia="en-US"/>
              </w:rPr>
            </w:pPr>
            <w:r w:rsidRPr="00475128">
              <w:rPr>
                <w:lang w:val="lv-LV" w:eastAsia="en-US"/>
              </w:rPr>
              <w:t>ēkas, kas uzbūvētas vai atjaunotas pēc 01.01.2002: 8 gadi (standarta: 8 gadi),</w:t>
            </w:r>
          </w:p>
          <w:p w:rsidR="00E76417" w:rsidRPr="00475128" w:rsidRDefault="00E76417" w:rsidP="00E76417">
            <w:pPr>
              <w:pStyle w:val="ListParagraph"/>
              <w:numPr>
                <w:ilvl w:val="0"/>
                <w:numId w:val="49"/>
              </w:numPr>
              <w:suppressAutoHyphens w:val="0"/>
              <w:spacing w:after="60" w:line="276" w:lineRule="auto"/>
              <w:rPr>
                <w:lang w:val="lv-LV" w:eastAsia="en-US"/>
              </w:rPr>
            </w:pPr>
            <w:r w:rsidRPr="00475128">
              <w:rPr>
                <w:lang w:val="lv-LV" w:eastAsia="en-US"/>
              </w:rPr>
              <w:t>iekārtas: 2-15 gadi (standarta: 5-15 gadi),</w:t>
            </w:r>
          </w:p>
          <w:p w:rsidR="00E76417" w:rsidRPr="00475128" w:rsidRDefault="00E76417" w:rsidP="00E76417">
            <w:pPr>
              <w:pStyle w:val="ListParagraph"/>
              <w:numPr>
                <w:ilvl w:val="0"/>
                <w:numId w:val="49"/>
              </w:numPr>
              <w:suppressAutoHyphens w:val="0"/>
              <w:spacing w:after="60" w:line="276" w:lineRule="auto"/>
              <w:rPr>
                <w:lang w:val="lv-LV" w:eastAsia="en-US"/>
              </w:rPr>
            </w:pPr>
            <w:r w:rsidRPr="00475128">
              <w:rPr>
                <w:lang w:val="lv-LV" w:eastAsia="en-US"/>
              </w:rPr>
              <w:t>datori: 2 gadi (standarta: 3 gadi),</w:t>
            </w:r>
          </w:p>
          <w:p w:rsidR="00E76417" w:rsidRPr="00475128" w:rsidRDefault="00E76417" w:rsidP="00E76417">
            <w:pPr>
              <w:pStyle w:val="ListParagraph"/>
              <w:numPr>
                <w:ilvl w:val="0"/>
                <w:numId w:val="49"/>
              </w:numPr>
              <w:suppressAutoHyphens w:val="0"/>
              <w:spacing w:after="60" w:line="276" w:lineRule="auto"/>
              <w:rPr>
                <w:lang w:val="lv-LV" w:eastAsia="en-US"/>
              </w:rPr>
            </w:pPr>
            <w:r w:rsidRPr="00475128">
              <w:rPr>
                <w:lang w:val="lv-LV" w:eastAsia="en-US"/>
              </w:rPr>
              <w:t>autotransports: 4-10 gadi (standarta: 4-10 gadi),</w:t>
            </w:r>
          </w:p>
          <w:p w:rsidR="00E76417" w:rsidRPr="00475128" w:rsidRDefault="00E76417" w:rsidP="00E76417">
            <w:pPr>
              <w:pStyle w:val="ListParagraph"/>
              <w:numPr>
                <w:ilvl w:val="0"/>
                <w:numId w:val="49"/>
              </w:numPr>
              <w:suppressAutoHyphens w:val="0"/>
              <w:spacing w:after="60" w:line="276" w:lineRule="auto"/>
              <w:rPr>
                <w:lang w:val="lv-LV" w:eastAsia="en-US"/>
              </w:rPr>
            </w:pPr>
            <w:r w:rsidRPr="00475128">
              <w:rPr>
                <w:lang w:val="lv-LV" w:eastAsia="en-US"/>
              </w:rPr>
              <w:t>citi pamatlīdzekļi: 2 gadi (standarta: 4 gadi).</w:t>
            </w:r>
          </w:p>
        </w:tc>
        <w:tc>
          <w:tcPr>
            <w:tcW w:w="3600" w:type="dxa"/>
            <w:vAlign w:val="center"/>
          </w:tcPr>
          <w:p w:rsidR="00E76417" w:rsidRPr="00DB426E" w:rsidRDefault="00E76417" w:rsidP="00E76417">
            <w:pPr>
              <w:spacing w:after="60"/>
              <w:jc w:val="center"/>
            </w:pPr>
          </w:p>
        </w:tc>
      </w:tr>
      <w:tr w:rsidR="00E76417" w:rsidRPr="00DB426E" w:rsidTr="00E76417">
        <w:tc>
          <w:tcPr>
            <w:tcW w:w="558" w:type="dxa"/>
            <w:vAlign w:val="center"/>
          </w:tcPr>
          <w:p w:rsidR="00E76417" w:rsidRPr="00DB426E" w:rsidRDefault="00E76417" w:rsidP="00E76417">
            <w:pPr>
              <w:spacing w:after="60"/>
              <w:jc w:val="center"/>
            </w:pPr>
            <w:r w:rsidRPr="00DB426E">
              <w:t>3.</w:t>
            </w:r>
          </w:p>
        </w:tc>
        <w:tc>
          <w:tcPr>
            <w:tcW w:w="4410" w:type="dxa"/>
            <w:vAlign w:val="center"/>
          </w:tcPr>
          <w:p w:rsidR="00E76417" w:rsidRPr="00DB426E" w:rsidRDefault="00E76417" w:rsidP="00E76417">
            <w:pPr>
              <w:spacing w:after="60"/>
              <w:rPr>
                <w:b/>
              </w:rPr>
            </w:pPr>
            <w:r w:rsidRPr="00DB426E">
              <w:rPr>
                <w:b/>
              </w:rPr>
              <w:t>Apliekamā ienākuma samazinājums līdz 50% par R&amp;D aktivitātēs izmantoto pamatlīdzekļu iegādes izmaksām.</w:t>
            </w:r>
          </w:p>
          <w:p w:rsidR="00E76417" w:rsidRPr="00DB426E" w:rsidRDefault="00E76417" w:rsidP="00E76417">
            <w:pPr>
              <w:spacing w:after="60"/>
              <w:rPr>
                <w:b/>
              </w:rPr>
            </w:pPr>
            <w:r w:rsidRPr="00DB426E">
              <w:t xml:space="preserve">Apliekamo ienākumu var samazināt par R&amp;D aktivitātēs izmantoto pamatlīdzekļu iegādes izmaksām taksācijas gadā, kad pamatlīdzeklis tika iegādāts, taču apliekamā ienākuma samazinājums nedrīkst pārsniegt 50%. Ja izmaksas ir lielākas par 50% apliekamā ienākuma, pārsnieguma daļa var tikt pārnesta uz nākamajiem četriem taksācijas gadiem. </w:t>
            </w:r>
          </w:p>
        </w:tc>
        <w:tc>
          <w:tcPr>
            <w:tcW w:w="3600" w:type="dxa"/>
            <w:vAlign w:val="center"/>
          </w:tcPr>
          <w:p w:rsidR="00E76417" w:rsidRPr="00DB426E" w:rsidRDefault="00E76417" w:rsidP="00E76417">
            <w:pPr>
              <w:spacing w:after="60"/>
            </w:pPr>
            <w:r w:rsidRPr="00DB426E">
              <w:t>Atvieglojums pieejams tikai attiecībā uz jauniem un iepriekš nelietotiem pamatlīdzekļiem, kas ražoti ne agrāk kā divus gadus pirms to ekspluatācijas uzsākšanas. Atvieglojums nav pieejams attiecībā uz zemes iegādes izmaksām.</w:t>
            </w:r>
          </w:p>
          <w:p w:rsidR="00E76417" w:rsidRPr="00DB426E" w:rsidRDefault="00E76417" w:rsidP="00E76417">
            <w:pPr>
              <w:spacing w:after="60"/>
            </w:pPr>
            <w:r w:rsidRPr="00DB426E">
              <w:t>Atvieglojums attiecas tikai uz izmaksām, kas radušās laika periodā no 2009. – 2013.gadam.</w:t>
            </w:r>
          </w:p>
        </w:tc>
      </w:tr>
    </w:tbl>
    <w:p w:rsidR="00E76417" w:rsidRPr="00DB426E" w:rsidRDefault="00E76417" w:rsidP="00E76417">
      <w:pPr>
        <w:pStyle w:val="Heading4"/>
        <w:numPr>
          <w:ilvl w:val="3"/>
          <w:numId w:val="4"/>
        </w:numPr>
        <w:spacing w:after="100" w:afterAutospacing="1"/>
        <w:ind w:firstLine="270"/>
        <w:rPr>
          <w:szCs w:val="24"/>
        </w:rPr>
      </w:pPr>
      <w:bookmarkStart w:id="365" w:name="_Toc358978766"/>
      <w:r w:rsidRPr="00DB426E">
        <w:rPr>
          <w:szCs w:val="24"/>
        </w:rPr>
        <w:t>Citas prasības</w:t>
      </w:r>
      <w:bookmarkEnd w:id="365"/>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 xml:space="preserve">Uzņēmumiem nav nepieciešams iepriekš saskaņot R&amp;D izmaksas un atvieglojumus ar valsti. Atvieglojumu piemērošana notiek pēc </w:t>
      </w:r>
      <w:proofErr w:type="spellStart"/>
      <w:r w:rsidRPr="00DB426E">
        <w:rPr>
          <w:rFonts w:cs="Calibri"/>
          <w:lang w:val="lv-LV"/>
        </w:rPr>
        <w:t>pašdeklarēšanās</w:t>
      </w:r>
      <w:proofErr w:type="spellEnd"/>
      <w:r w:rsidRPr="00DB426E">
        <w:rPr>
          <w:rFonts w:cs="Calibri"/>
          <w:lang w:val="lv-LV"/>
        </w:rPr>
        <w:t xml:space="preserve"> principa.</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R&amp;D atvieglojumi pieejami visās nozarēs.</w:t>
      </w:r>
    </w:p>
    <w:p w:rsidR="00E76417" w:rsidRPr="00DB426E" w:rsidRDefault="00E76417" w:rsidP="00E76417">
      <w:pPr>
        <w:pStyle w:val="ListParagraph"/>
        <w:numPr>
          <w:ilvl w:val="0"/>
          <w:numId w:val="23"/>
        </w:numPr>
        <w:suppressAutoHyphens w:val="0"/>
        <w:spacing w:after="200" w:line="276" w:lineRule="auto"/>
        <w:ind w:left="714" w:hanging="357"/>
        <w:rPr>
          <w:rFonts w:cs="Calibri"/>
          <w:lang w:val="lv-LV"/>
        </w:rPr>
      </w:pPr>
      <w:r w:rsidRPr="00DB426E">
        <w:rPr>
          <w:rFonts w:cs="Calibri"/>
          <w:lang w:val="lv-LV"/>
        </w:rPr>
        <w:t>Atvieglojumi pieejami arī tad, ja uzņēmuma R&amp;D aktivitātes notiek ārpus Lietuvas, taču ES vai EEZ teritorijā vai valstī, ar kuru Lietuva ir noslēgusi konvenciju par nodokļu dubultās uzlikšanas un nodokļu nemaksāšanas novēršanu.</w:t>
      </w:r>
    </w:p>
    <w:p w:rsidR="00E76417" w:rsidRPr="00DB426E" w:rsidRDefault="00E76417" w:rsidP="00E76417">
      <w:pPr>
        <w:pStyle w:val="Heading4"/>
        <w:numPr>
          <w:ilvl w:val="3"/>
          <w:numId w:val="4"/>
        </w:numPr>
        <w:spacing w:after="100" w:afterAutospacing="1"/>
        <w:ind w:firstLine="270"/>
        <w:rPr>
          <w:szCs w:val="24"/>
        </w:rPr>
      </w:pPr>
      <w:bookmarkStart w:id="366" w:name="_Toc358978767"/>
      <w:r w:rsidRPr="00DB426E">
        <w:rPr>
          <w:szCs w:val="24"/>
        </w:rPr>
        <w:t>Atvieglojumu izmantošanas intensitāte</w:t>
      </w:r>
      <w:bookmarkEnd w:id="366"/>
    </w:p>
    <w:p w:rsidR="00E76417" w:rsidRDefault="00E76417" w:rsidP="00E76417">
      <w:r w:rsidRPr="00DB426E">
        <w:t>Saskaņā ar Lietuvas Finanšu ministrijas sniegtajiem datiem, no 104’844 uzņēmumiem, kas par 2009.gadu iesniedza gada pārskatus, R&amp;D nodokļu atvieglojumus bija piemērojuši 212 uzņēmumi jeb 0,2%, par 2010.gadu – 189 no 91’636 jeb 0,2%, par 2011.gadu – 169 no 89’752 jeb 0,18%.</w:t>
      </w:r>
      <w:r w:rsidR="00BF6B8C">
        <w:t>`</w:t>
      </w:r>
    </w:p>
    <w:p w:rsidR="00BF6B8C" w:rsidRPr="00DB426E" w:rsidRDefault="00A21FC2" w:rsidP="00E76417">
      <w:r w:rsidRPr="00DB426E">
        <w:t>Atbalsta instrumentus regulējošo normatīvo aktu analīze un projektu rezultātu un programmu rādītāju sakarību un atbilstības vērtējums</w:t>
      </w:r>
    </w:p>
    <w:p w:rsidR="000B4ED4" w:rsidRPr="00A21FC2" w:rsidRDefault="00A21FC2" w:rsidP="00BF6B8C">
      <w:pPr>
        <w:pStyle w:val="Heading2"/>
        <w:numPr>
          <w:ilvl w:val="1"/>
          <w:numId w:val="4"/>
        </w:numPr>
        <w:suppressAutoHyphens w:val="0"/>
        <w:spacing w:before="240" w:after="60"/>
        <w:jc w:val="both"/>
      </w:pPr>
      <w:bookmarkStart w:id="367" w:name="_Toc358978768"/>
      <w:r w:rsidRPr="00A21FC2">
        <w:t>Atbalsta instrumentus regulējošo normatīvo aktu izvērstā analīze un projektu rezultātu un programmu rādītāju sakarību un atbilstības izvērstais vērtējums</w:t>
      </w:r>
      <w:bookmarkEnd w:id="367"/>
    </w:p>
    <w:p w:rsidR="000B4ED4" w:rsidRPr="00A21FC2" w:rsidRDefault="000B4ED4" w:rsidP="000B4ED4">
      <w:pPr>
        <w:pStyle w:val="Heading3"/>
        <w:numPr>
          <w:ilvl w:val="2"/>
          <w:numId w:val="4"/>
        </w:numPr>
      </w:pPr>
      <w:bookmarkStart w:id="368" w:name="_Toc356472843"/>
      <w:bookmarkStart w:id="369" w:name="_Toc356566549"/>
      <w:bookmarkStart w:id="370" w:name="_Toc358978769"/>
      <w:r w:rsidRPr="00A21FC2">
        <w:t>ES Struktūrfondu aktivitātes</w:t>
      </w:r>
      <w:bookmarkEnd w:id="368"/>
      <w:bookmarkEnd w:id="369"/>
      <w:bookmarkEnd w:id="370"/>
    </w:p>
    <w:p w:rsidR="000B4ED4" w:rsidRPr="00DB426E" w:rsidRDefault="000B4ED4" w:rsidP="000B4ED4">
      <w:pPr>
        <w:pStyle w:val="Heading4"/>
        <w:numPr>
          <w:ilvl w:val="3"/>
          <w:numId w:val="4"/>
        </w:numPr>
        <w:ind w:firstLine="270"/>
      </w:pPr>
      <w:bookmarkStart w:id="371" w:name="_Toc356566550"/>
      <w:bookmarkStart w:id="372" w:name="_Toc358978770"/>
      <w:r w:rsidRPr="00DB426E">
        <w:t>1.3. prioritāte „Nodarbinātības veicināšana un veselība darbā”</w:t>
      </w:r>
      <w:bookmarkEnd w:id="371"/>
      <w:bookmarkEnd w:id="372"/>
    </w:p>
    <w:p w:rsidR="000B4ED4" w:rsidRPr="00DB426E" w:rsidRDefault="000B4ED4" w:rsidP="000B4ED4">
      <w:pPr>
        <w:rPr>
          <w:rFonts w:cs="Calibri"/>
          <w:szCs w:val="20"/>
        </w:rPr>
      </w:pPr>
      <w:r w:rsidRPr="00DB426E">
        <w:rPr>
          <w:rFonts w:cs="Calibri"/>
          <w:szCs w:val="20"/>
        </w:rPr>
        <w:t xml:space="preserve">Šajā prioritātē tika apskatītas divas aktivitātes - </w:t>
      </w:r>
      <w:r w:rsidRPr="00DB426E">
        <w:t>1.3.1.1.6. Atbalsts darbavietu radīšanai un 1.3.1.9. Augstas kvalifikācijas darbinieku piesaiste. Lai gan prioritātes vispārējie mērķi un sasniedzamie rādītāji nav vērsti uz R&amp;D aktivitāšu veicināšanu, divu minēto aktivitāšu atbalsta saņemšanas nosacījumi paredz atbalsta saņēmēja privāto ieguldījumu veikšanu R&amp;D, kas atbilst pētījuma mērķim.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Cs/>
                <w:sz w:val="20"/>
                <w:szCs w:val="20"/>
              </w:rPr>
              <w:t>1.3.1.1.6. Atbalsts darba vietu radīšanai</w:t>
            </w:r>
            <w:r w:rsidRPr="00DB426E">
              <w:rPr>
                <w:rStyle w:val="FootnoteReference"/>
                <w:bCs/>
                <w:sz w:val="20"/>
                <w:szCs w:val="20"/>
              </w:rPr>
              <w:footnoteReference w:id="18"/>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veicināt jaunu darba vietu izveidi.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Darba samaksa (bez nodokļiem un VSAOI)</w:t>
            </w:r>
          </w:p>
          <w:p w:rsidR="000B4ED4" w:rsidRPr="00DB426E" w:rsidRDefault="000B4ED4" w:rsidP="000B4ED4">
            <w:pPr>
              <w:spacing w:after="60"/>
              <w:rPr>
                <w:rFonts w:cs="Calibri"/>
                <w:sz w:val="20"/>
                <w:szCs w:val="20"/>
              </w:rPr>
            </w:pPr>
            <w:r w:rsidRPr="00DB426E">
              <w:rPr>
                <w:rFonts w:cs="Calibri"/>
                <w:sz w:val="20"/>
                <w:szCs w:val="20"/>
              </w:rPr>
              <w:t>Apmācības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p w:rsidR="000B4ED4" w:rsidRPr="00DB426E" w:rsidRDefault="000B4ED4" w:rsidP="000B4ED4">
            <w:pPr>
              <w:spacing w:after="60"/>
              <w:rPr>
                <w:rFonts w:cs="Calibri"/>
                <w:sz w:val="20"/>
                <w:szCs w:val="20"/>
              </w:rPr>
            </w:pPr>
            <w:r w:rsidRPr="00DB426E">
              <w:rPr>
                <w:rFonts w:cs="Calibri"/>
                <w:sz w:val="20"/>
                <w:szCs w:val="20"/>
              </w:rPr>
              <w:t>Lielais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Pārtikas rūpniecība (C10–11)</w:t>
            </w:r>
          </w:p>
          <w:p w:rsidR="000B4ED4" w:rsidRPr="00DB426E" w:rsidRDefault="000B4ED4" w:rsidP="000B4ED4">
            <w:pPr>
              <w:spacing w:after="60"/>
              <w:rPr>
                <w:rFonts w:cs="Calibri"/>
                <w:sz w:val="20"/>
                <w:szCs w:val="20"/>
              </w:rPr>
            </w:pPr>
            <w:r w:rsidRPr="00DB426E">
              <w:rPr>
                <w:rFonts w:cs="Calibri"/>
                <w:sz w:val="20"/>
                <w:szCs w:val="20"/>
              </w:rPr>
              <w:t>Kokrūpniecība (C16–18; C31)</w:t>
            </w:r>
          </w:p>
          <w:p w:rsidR="000B4ED4" w:rsidRPr="00DB426E" w:rsidRDefault="000B4ED4" w:rsidP="000B4ED4">
            <w:pPr>
              <w:spacing w:after="60"/>
              <w:rPr>
                <w:rFonts w:cs="Calibri"/>
                <w:sz w:val="20"/>
                <w:szCs w:val="20"/>
              </w:rPr>
            </w:pPr>
            <w:r w:rsidRPr="00DB426E">
              <w:rPr>
                <w:rFonts w:cs="Calibri"/>
                <w:sz w:val="20"/>
                <w:szCs w:val="20"/>
              </w:rPr>
              <w:t>Ķīmisko vielu un produktu, farmaceitisko pamatvielu un preparātu, kā arī gumijas un plastmasas izstrādājumu ražošana, tai skaitā dzīvības zinātnes (C20–23; C32)</w:t>
            </w:r>
          </w:p>
          <w:p w:rsidR="000B4ED4" w:rsidRPr="00DB426E" w:rsidRDefault="000B4ED4" w:rsidP="000B4ED4">
            <w:pPr>
              <w:spacing w:after="60"/>
              <w:rPr>
                <w:rFonts w:cs="Calibri"/>
                <w:sz w:val="20"/>
                <w:szCs w:val="20"/>
              </w:rPr>
            </w:pPr>
            <w:r w:rsidRPr="00DB426E">
              <w:rPr>
                <w:rFonts w:cs="Calibri"/>
                <w:sz w:val="20"/>
                <w:szCs w:val="20"/>
              </w:rPr>
              <w:t>Elektrisko un optisko iekārtu ražošana (C26–27)</w:t>
            </w:r>
          </w:p>
          <w:p w:rsidR="000B4ED4" w:rsidRPr="00DB426E" w:rsidRDefault="000B4ED4" w:rsidP="000B4ED4">
            <w:pPr>
              <w:spacing w:after="60"/>
              <w:rPr>
                <w:rFonts w:cs="Calibri"/>
                <w:sz w:val="20"/>
                <w:szCs w:val="20"/>
              </w:rPr>
            </w:pPr>
            <w:r w:rsidRPr="00DB426E">
              <w:rPr>
                <w:rFonts w:cs="Calibri"/>
                <w:sz w:val="20"/>
                <w:szCs w:val="20"/>
              </w:rPr>
              <w:t>Informācijas un komunikāciju tehnoloģijas (J58; J61–63)</w:t>
            </w:r>
          </w:p>
          <w:p w:rsidR="000B4ED4" w:rsidRPr="00DB426E" w:rsidRDefault="000B4ED4" w:rsidP="000B4ED4">
            <w:pPr>
              <w:spacing w:after="60"/>
              <w:rPr>
                <w:rFonts w:cs="Calibri"/>
                <w:sz w:val="20"/>
                <w:szCs w:val="20"/>
              </w:rPr>
            </w:pPr>
            <w:r w:rsidRPr="00DB426E">
              <w:rPr>
                <w:rFonts w:cs="Calibri"/>
                <w:sz w:val="20"/>
                <w:szCs w:val="20"/>
              </w:rPr>
              <w:t>Mašīnbūve un metālapstrāde, tai skaitā zaļās tehnoloģijas atjaunojamo resursu plašākai izmantošanai (C24–25; C28–30)</w:t>
            </w:r>
          </w:p>
          <w:p w:rsidR="000B4ED4" w:rsidRPr="00DB426E" w:rsidRDefault="000B4ED4" w:rsidP="000B4ED4">
            <w:pPr>
              <w:spacing w:after="60"/>
              <w:rPr>
                <w:rFonts w:cs="Calibri"/>
                <w:sz w:val="20"/>
                <w:szCs w:val="20"/>
              </w:rPr>
            </w:pPr>
            <w:r w:rsidRPr="00DB426E">
              <w:rPr>
                <w:rFonts w:cs="Calibri"/>
                <w:sz w:val="20"/>
                <w:szCs w:val="20"/>
              </w:rPr>
              <w:t>Transports un loģistika (H49–53)</w:t>
            </w:r>
          </w:p>
          <w:p w:rsidR="000B4ED4" w:rsidRPr="00DB426E" w:rsidRDefault="000B4ED4" w:rsidP="000B4ED4">
            <w:pPr>
              <w:spacing w:after="60"/>
              <w:rPr>
                <w:rFonts w:cs="Calibri"/>
                <w:sz w:val="20"/>
                <w:szCs w:val="20"/>
              </w:rPr>
            </w:pPr>
            <w:r w:rsidRPr="00DB426E">
              <w:rPr>
                <w:rFonts w:cs="Calibri"/>
                <w:sz w:val="20"/>
                <w:szCs w:val="20"/>
              </w:rPr>
              <w:t>Veselības aprūpe (Q86–88)</w:t>
            </w:r>
          </w:p>
          <w:p w:rsidR="000B4ED4" w:rsidRPr="00DB426E" w:rsidRDefault="000B4ED4" w:rsidP="000B4ED4">
            <w:pPr>
              <w:spacing w:after="60"/>
              <w:rPr>
                <w:rFonts w:cs="Calibri"/>
                <w:sz w:val="20"/>
                <w:szCs w:val="20"/>
              </w:rPr>
            </w:pPr>
            <w:r w:rsidRPr="00DB426E">
              <w:rPr>
                <w:rFonts w:cs="Calibri"/>
                <w:sz w:val="20"/>
                <w:szCs w:val="20"/>
              </w:rPr>
              <w:t>Biroji (M69–74; N82.1–82.2)</w:t>
            </w:r>
          </w:p>
          <w:p w:rsidR="000B4ED4" w:rsidRPr="00DB426E" w:rsidRDefault="000B4ED4" w:rsidP="000B4ED4">
            <w:pPr>
              <w:spacing w:after="60"/>
              <w:rPr>
                <w:rFonts w:cs="Calibri"/>
                <w:sz w:val="20"/>
                <w:szCs w:val="20"/>
              </w:rPr>
            </w:pPr>
          </w:p>
          <w:p w:rsidR="000B4ED4" w:rsidRPr="00DB426E" w:rsidRDefault="000B4ED4" w:rsidP="000B4ED4">
            <w:pPr>
              <w:spacing w:after="60"/>
              <w:rPr>
                <w:rFonts w:cs="Calibri"/>
                <w:sz w:val="20"/>
                <w:szCs w:val="20"/>
              </w:rPr>
            </w:pPr>
            <w:r w:rsidRPr="00DB426E">
              <w:rPr>
                <w:rFonts w:cs="Calibri"/>
                <w:sz w:val="20"/>
                <w:szCs w:val="20"/>
              </w:rPr>
              <w:t xml:space="preserve">Īstenojot projektu citā </w:t>
            </w:r>
            <w:r w:rsidRPr="00DB426E">
              <w:rPr>
                <w:rFonts w:cs="Calibri"/>
                <w:b/>
                <w:sz w:val="20"/>
                <w:szCs w:val="20"/>
              </w:rPr>
              <w:t>apstrādes rūpniecības nozarē</w:t>
            </w:r>
            <w:r w:rsidRPr="00DB426E">
              <w:rPr>
                <w:rFonts w:cs="Calibri"/>
                <w:sz w:val="20"/>
                <w:szCs w:val="20"/>
              </w:rPr>
              <w:t>, vērtēšanā tiek piešķirts mazāks punktu skaits.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Īstenojot projektu, obligāti jāveic privātie ieguldījumi R&amp;D (tiem tiešs atbalsts netiek piemērots)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Jārada vismaz 50 jaunas darba vietas.</w:t>
            </w:r>
          </w:p>
          <w:p w:rsidR="000B4ED4" w:rsidRPr="00DB426E" w:rsidRDefault="000B4ED4" w:rsidP="000B4ED4">
            <w:pPr>
              <w:spacing w:after="60"/>
              <w:rPr>
                <w:rFonts w:cs="Calibri"/>
                <w:sz w:val="20"/>
                <w:szCs w:val="20"/>
              </w:rPr>
            </w:pPr>
            <w:r w:rsidRPr="00DB426E">
              <w:rPr>
                <w:rFonts w:cs="Calibri"/>
                <w:sz w:val="20"/>
                <w:szCs w:val="20"/>
              </w:rPr>
              <w:t>Papildus jāveic investīcijas darba vietu attīstībai 3 500 000 LVL apmērā (ja projekta iesniedzēja un saistīto uzņēmumu bilances vērtība nepārsniedz 250 milj. LVL) vai 1000 LVL apmērā par katru darba vietu (ja projekta iesniedzēja un saistīto uzņēmumu bilances vērtība pārsniedz 250 milj. LVL).</w:t>
            </w:r>
          </w:p>
          <w:p w:rsidR="000B4ED4" w:rsidRPr="00DB426E" w:rsidRDefault="000B4ED4" w:rsidP="000B4ED4">
            <w:pPr>
              <w:spacing w:after="60"/>
              <w:rPr>
                <w:rFonts w:cs="Calibri"/>
                <w:sz w:val="20"/>
                <w:szCs w:val="20"/>
              </w:rPr>
            </w:pPr>
            <w:r w:rsidRPr="00DB426E">
              <w:rPr>
                <w:rFonts w:cs="Calibri"/>
                <w:sz w:val="20"/>
                <w:szCs w:val="20"/>
              </w:rPr>
              <w:t>Nodokļi un VSAOI nav attiecināmi.</w:t>
            </w:r>
          </w:p>
          <w:p w:rsidR="000B4ED4" w:rsidRPr="00DB426E" w:rsidRDefault="000B4ED4" w:rsidP="000B4ED4">
            <w:pPr>
              <w:spacing w:after="60"/>
              <w:rPr>
                <w:rFonts w:cs="Calibri"/>
                <w:sz w:val="20"/>
                <w:szCs w:val="20"/>
              </w:rPr>
            </w:pPr>
            <w:r w:rsidRPr="00DB426E">
              <w:rPr>
                <w:rFonts w:cs="Calibri"/>
                <w:sz w:val="20"/>
                <w:szCs w:val="20"/>
              </w:rPr>
              <w:t>Darba vietas jāsaglabā vismaz 3 gadus pēc projekta īstenošanas.</w:t>
            </w:r>
          </w:p>
          <w:p w:rsidR="000B4ED4" w:rsidRPr="00DB426E" w:rsidRDefault="000B4ED4" w:rsidP="000B4ED4">
            <w:pPr>
              <w:spacing w:after="60"/>
              <w:rPr>
                <w:rFonts w:cs="Calibri"/>
                <w:sz w:val="20"/>
                <w:szCs w:val="20"/>
              </w:rPr>
            </w:pPr>
            <w:r w:rsidRPr="00DB426E">
              <w:rPr>
                <w:rFonts w:cs="Calibri"/>
                <w:sz w:val="20"/>
                <w:szCs w:val="20"/>
              </w:rPr>
              <w:t>Darba samaksai jābūt vismaz 120% apmērā no valsts vidējās darba samaksas.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1 500 000 LVL (ne vairāk kā 12 000 LVL par katru darba vietu)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50% - darba algām</w:t>
            </w:r>
          </w:p>
          <w:p w:rsidR="000B4ED4" w:rsidRPr="00DB426E" w:rsidRDefault="000B4ED4" w:rsidP="000B4ED4">
            <w:pPr>
              <w:spacing w:after="60"/>
              <w:rPr>
                <w:rFonts w:cs="Calibri"/>
                <w:sz w:val="20"/>
                <w:szCs w:val="20"/>
              </w:rPr>
            </w:pPr>
            <w:r w:rsidRPr="00DB426E">
              <w:rPr>
                <w:rFonts w:cs="Calibri"/>
                <w:sz w:val="20"/>
                <w:szCs w:val="20"/>
              </w:rPr>
              <w:t xml:space="preserve">25% - apmācībām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3 000 000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jc w:val="center"/>
              <w:rPr>
                <w:rFonts w:cs="Calibri"/>
                <w:b/>
                <w:sz w:val="20"/>
                <w:szCs w:val="20"/>
              </w:rPr>
            </w:pPr>
            <w:r w:rsidRPr="00DB426E">
              <w:rPr>
                <w:rFonts w:cs="Calibri"/>
                <w:b/>
                <w:sz w:val="20"/>
                <w:szCs w:val="20"/>
              </w:rPr>
              <w:t>Sasniedzamie r</w:t>
            </w:r>
            <w:r w:rsidRPr="00475128">
              <w:rPr>
                <w:rFonts w:cs="Calibri"/>
                <w:b/>
                <w:sz w:val="20"/>
                <w:szCs w:val="20"/>
                <w:shd w:val="clear" w:color="auto" w:fill="F2F2F2"/>
              </w:rPr>
              <w:t>ā</w:t>
            </w:r>
            <w:r w:rsidRPr="00DB426E">
              <w:rPr>
                <w:rFonts w:cs="Calibri"/>
                <w:b/>
                <w:sz w:val="20"/>
                <w:szCs w:val="20"/>
              </w:rPr>
              <w:t>dītāji</w:t>
            </w:r>
          </w:p>
        </w:tc>
      </w:tr>
      <w:tr w:rsidR="000B4ED4" w:rsidRPr="00DB426E" w:rsidTr="000B4ED4">
        <w:trPr>
          <w:trHeight w:val="120"/>
          <w:jc w:val="center"/>
        </w:trPr>
        <w:tc>
          <w:tcPr>
            <w:tcW w:w="1309" w:type="pct"/>
            <w:vMerge w:val="restart"/>
          </w:tcPr>
          <w:p w:rsidR="000B4ED4" w:rsidRPr="00DB426E" w:rsidRDefault="000B4ED4" w:rsidP="000B4ED4">
            <w:pPr>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rPr>
                <w:rFonts w:cs="Calibri"/>
                <w:b/>
                <w:sz w:val="20"/>
                <w:szCs w:val="20"/>
              </w:rPr>
            </w:pPr>
          </w:p>
        </w:tc>
        <w:tc>
          <w:tcPr>
            <w:tcW w:w="1845" w:type="pct"/>
          </w:tcPr>
          <w:p w:rsidR="000B4ED4" w:rsidRPr="00DB426E" w:rsidRDefault="000B4ED4" w:rsidP="000B4ED4">
            <w:pPr>
              <w:rPr>
                <w:rFonts w:cs="Calibri"/>
                <w:sz w:val="20"/>
                <w:szCs w:val="20"/>
              </w:rPr>
            </w:pPr>
            <w:r w:rsidRPr="00DB426E">
              <w:rPr>
                <w:rFonts w:cs="Calibri"/>
                <w:sz w:val="20"/>
                <w:szCs w:val="20"/>
              </w:rPr>
              <w:t>Izmaksātais finansējums: 3 000 000 LVL</w:t>
            </w:r>
          </w:p>
        </w:tc>
        <w:tc>
          <w:tcPr>
            <w:tcW w:w="1846" w:type="pct"/>
          </w:tcPr>
          <w:p w:rsidR="000B4ED4" w:rsidRPr="00DB426E" w:rsidRDefault="000B4ED4" w:rsidP="000B4ED4">
            <w:pPr>
              <w:rPr>
                <w:rFonts w:cs="Calibri"/>
                <w:sz w:val="20"/>
                <w:szCs w:val="20"/>
              </w:rPr>
            </w:pPr>
            <w:r w:rsidRPr="00DB426E">
              <w:rPr>
                <w:rFonts w:cs="Calibri"/>
                <w:sz w:val="20"/>
                <w:szCs w:val="20"/>
              </w:rPr>
              <w:t>0 LVL</w:t>
            </w:r>
          </w:p>
        </w:tc>
      </w:tr>
      <w:tr w:rsidR="000B4ED4" w:rsidRPr="00DB426E" w:rsidTr="000B4ED4">
        <w:trPr>
          <w:trHeight w:val="248"/>
          <w:jc w:val="center"/>
        </w:trPr>
        <w:tc>
          <w:tcPr>
            <w:tcW w:w="1309" w:type="pct"/>
            <w:vMerge w:val="restart"/>
          </w:tcPr>
          <w:p w:rsidR="000B4ED4" w:rsidRPr="00DB426E" w:rsidRDefault="000B4ED4" w:rsidP="000B4ED4">
            <w:pPr>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rPr>
                <w:rFonts w:cs="Calibri"/>
                <w:sz w:val="20"/>
                <w:szCs w:val="20"/>
              </w:rPr>
            </w:pPr>
            <w:r w:rsidRPr="00DB426E">
              <w:rPr>
                <w:rFonts w:cs="Calibri"/>
                <w:sz w:val="20"/>
                <w:szCs w:val="20"/>
              </w:rPr>
              <w:t>Plānotais</w:t>
            </w:r>
          </w:p>
        </w:tc>
        <w:tc>
          <w:tcPr>
            <w:tcW w:w="1846" w:type="pct"/>
          </w:tcPr>
          <w:p w:rsidR="000B4ED4" w:rsidRPr="00DB426E" w:rsidRDefault="000B4ED4" w:rsidP="000B4ED4">
            <w:pPr>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rPr>
                <w:rFonts w:cs="Calibri"/>
                <w:b/>
                <w:sz w:val="20"/>
                <w:szCs w:val="20"/>
              </w:rPr>
            </w:pPr>
          </w:p>
        </w:tc>
        <w:tc>
          <w:tcPr>
            <w:tcW w:w="1845" w:type="pct"/>
          </w:tcPr>
          <w:p w:rsidR="000B4ED4" w:rsidRPr="00DB426E" w:rsidRDefault="000B4ED4" w:rsidP="000B4ED4">
            <w:pPr>
              <w:rPr>
                <w:rFonts w:cs="Calibri"/>
                <w:sz w:val="20"/>
                <w:szCs w:val="20"/>
              </w:rPr>
            </w:pPr>
            <w:r w:rsidRPr="00DB426E">
              <w:rPr>
                <w:rFonts w:cs="Calibri"/>
                <w:sz w:val="20"/>
                <w:szCs w:val="20"/>
              </w:rPr>
              <w:t>Radītas jaunas darba vietas: 583</w:t>
            </w:r>
          </w:p>
        </w:tc>
        <w:tc>
          <w:tcPr>
            <w:tcW w:w="1846" w:type="pct"/>
          </w:tcPr>
          <w:p w:rsidR="000B4ED4" w:rsidRPr="00DB426E" w:rsidRDefault="000B4ED4" w:rsidP="000B4ED4">
            <w:pPr>
              <w:rPr>
                <w:rFonts w:cs="Calibri"/>
                <w:sz w:val="20"/>
                <w:szCs w:val="20"/>
              </w:rPr>
            </w:pPr>
            <w:r w:rsidRPr="00DB426E">
              <w:rPr>
                <w:rFonts w:cs="Calibri"/>
                <w:sz w:val="20"/>
                <w:szCs w:val="20"/>
              </w:rPr>
              <w:t>0</w:t>
            </w:r>
          </w:p>
        </w:tc>
      </w:tr>
    </w:tbl>
    <w:p w:rsidR="000B4ED4" w:rsidRPr="00DB426E" w:rsidRDefault="000B4ED4" w:rsidP="000B4ED4">
      <w:pPr>
        <w:spacing w:before="240"/>
      </w:pPr>
      <w:r w:rsidRPr="00DB426E">
        <w:t xml:space="preserve">ESF aktivitātes 1.3.1.1.6. pieteikšanās procedūra ir vērtējama kā sarežģīta: Kopā ar projekta pieteikumu ir iesniedzams būvdarbu skiču projekts, būvatļauja, būvniecības izmaksu tāme. Tāpat nepieciešama kredītiestādes garantijas vēstule (2% no pieprasītā publiskā finansējuma). </w:t>
      </w:r>
    </w:p>
    <w:p w:rsidR="000B4ED4" w:rsidRPr="00DB426E" w:rsidRDefault="000B4ED4" w:rsidP="000B4ED4">
      <w:r w:rsidRPr="00DB426E">
        <w:t>Arī atbalsta pretendenta atbilstības kritēriji ir samērā grūti sasniedzami: Minimālais jaunradīto darbavietu skaits ir 50, bet minimālā darba samaksa, kas jānodrošina projekta īstenošanas laikā un 3 gadus pēc tā, ir 120% apmērā no valsts vidējās darba samaksas. Iesniedzēja pašu kapitālam jābūt vismaz 25% no kopējām attiecināmajām izmaksām. Kā arī obligāta prasība ir investīciju veikšana vismaz 3 500 000 LVL apmērā.</w:t>
      </w:r>
    </w:p>
    <w:p w:rsidR="000B4ED4" w:rsidRPr="00DB426E" w:rsidRDefault="000B4ED4" w:rsidP="000B4ED4">
      <w:pPr>
        <w:rPr>
          <w:szCs w:val="20"/>
        </w:rPr>
      </w:pPr>
      <w:r w:rsidRPr="00DB426E">
        <w:rPr>
          <w:szCs w:val="20"/>
        </w:rPr>
        <w:t>Šai aktivitātei ir netieša ietekme uz privāto investīciju veikšanu R&amp;D. Projekta īstenošanas laikā privāto ieguldījumu veikšana R&amp;D ir obligāta; t.i., šādas aktivitātes paredzēšana biznesa plānā ir viens no atbilstības kritērijiem. Taču šīs aktivitātes ietvaros tiešs atbalsts R&amp;D netiek sniegts. Veicamo aktivitāšu un investīciju apmērs nav limitēts. R&amp;D aktivitātes iespējams finansēt, piesaistot citus struktūrfondu vai citu finanšu instrumentu līdzekļus.</w:t>
      </w:r>
    </w:p>
    <w:p w:rsidR="000B4ED4" w:rsidRPr="00DB426E" w:rsidRDefault="000B4ED4" w:rsidP="000B4ED4">
      <w:pPr>
        <w:rPr>
          <w:szCs w:val="20"/>
        </w:rPr>
      </w:pPr>
      <w:r w:rsidRPr="00DB426E">
        <w:rPr>
          <w:szCs w:val="20"/>
        </w:rPr>
        <w:t>Aktivitātei ir ierobežojoši pieteikšanās nosacījumi, kas varētu ietekmēt brīvo konkurenci. Pirmkārt, atbalsts netiek sniegts nozarēs, kurās ir augsta darbietilpība (lauksaimniecība, mežsaimniecība, ieguves rūpniecība, u. c.). Otrkārt, aktivitātē ir noteikta minimālā darba samaksa – 120% no valsts noteiktās vidējās darba samaksas visās nozarēs. Taču aktivitātes ietvaros tiek atbalstītas gan nozares, kurās vidējā darba samaksā faktiski ir krietni zem vidējās darba samaksas valstī, gan nozares, kurās vidējā darba samaksa pārsniedz valsts vidējo. Līdz ar to šis kritērijs rada dažādus nosacījumus dažādu nozaru uzņēmumiem. Kā vēl viens tirgu kropļojošs faktors ir netieši atviegloti nosacījumi lielajiem uzņēmumiem, kuru bilances vērība (ieskaitot saistītos uzņēmumus) pārsniedz 250 miljonus latu – tiem papildus veicamās investīcijas sastāda 1 000 LVL uz vienu jaunu darba vietu, t.i., minimums 50 000 LVL. Savukārt tiem komersantiem, kuru bilances vērtība nepārsniedz 250 milj. LVL minimālās veicamās investīcijas ir 3 500 000 LVL, kas sevišķi apgrūtina atbalsta saņemšanu mazajiem un vidējiem komersantiem.</w:t>
      </w:r>
    </w:p>
    <w:p w:rsidR="000B4ED4" w:rsidRPr="00DB426E" w:rsidRDefault="000B4ED4" w:rsidP="000B4ED4">
      <w:pPr>
        <w:rPr>
          <w:color w:val="FF0000"/>
          <w:szCs w:val="20"/>
        </w:rPr>
      </w:pPr>
      <w:r w:rsidRPr="00DB426E">
        <w:rPr>
          <w:szCs w:val="20"/>
        </w:rPr>
        <w:t>Aktivitātes mērķis sakrīt ar plānotajiem rezultatīvajiem un ietekmes rādītājiem. Mērķim un rādītājiem nav ietekmes uz R&amp;D.</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Cs/>
                <w:sz w:val="20"/>
                <w:szCs w:val="20"/>
              </w:rPr>
              <w:t>1.3.1.9. Augstas kvalifikācijas darbinieku piesaiste</w:t>
            </w:r>
            <w:r w:rsidRPr="00DB426E">
              <w:rPr>
                <w:rStyle w:val="FootnoteReference"/>
                <w:bCs/>
                <w:sz w:val="20"/>
                <w:szCs w:val="20"/>
              </w:rPr>
              <w:footnoteReference w:id="19"/>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sz w:val="20"/>
                <w:szCs w:val="20"/>
              </w:rPr>
            </w:pPr>
            <w:r w:rsidRPr="00DB426E">
              <w:rPr>
                <w:sz w:val="20"/>
                <w:szCs w:val="20"/>
              </w:rPr>
              <w:t>Aktivitātes mērķis ir paaugstināt komersantu konkurētspēju un veicināt komersantos pētniecisku aktivitāti, jaunradītās darba vietās piesaistot augsti kva</w:t>
            </w:r>
            <w:r w:rsidRPr="00DB426E">
              <w:rPr>
                <w:sz w:val="20"/>
                <w:szCs w:val="20"/>
              </w:rPr>
              <w:softHyphen/>
              <w:t>lificētus darbiniekus, kas risinātu konkrētas tehnoloģiskas problēmas vai attīstītu jaunus produktus.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Darba samaksa (ieskaitot nodokļus un VSAOI)</w:t>
            </w:r>
          </w:p>
          <w:p w:rsidR="000B4ED4" w:rsidRPr="00DB426E" w:rsidRDefault="000B4ED4" w:rsidP="000B4ED4">
            <w:pPr>
              <w:spacing w:after="60"/>
              <w:rPr>
                <w:rFonts w:cs="Calibri"/>
                <w:sz w:val="20"/>
                <w:szCs w:val="20"/>
              </w:rPr>
            </w:pPr>
            <w:r w:rsidRPr="00DB426E">
              <w:rPr>
                <w:rFonts w:cs="Calibri"/>
                <w:sz w:val="20"/>
                <w:szCs w:val="20"/>
              </w:rPr>
              <w:t>Transporta izmaksas (ekonomiskās klases sabiedriskā transporta izmaksas un bagāžas pārvadāšanas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jc w:val="left"/>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jc w:val="left"/>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p w:rsidR="000B4ED4" w:rsidRPr="00DB426E" w:rsidRDefault="000B4ED4" w:rsidP="000B4ED4">
            <w:pPr>
              <w:spacing w:after="60"/>
              <w:rPr>
                <w:rFonts w:cs="Calibri"/>
                <w:sz w:val="20"/>
                <w:szCs w:val="20"/>
              </w:rPr>
            </w:pPr>
            <w:r w:rsidRPr="00DB426E">
              <w:rPr>
                <w:rFonts w:cs="Calibri"/>
                <w:sz w:val="20"/>
                <w:szCs w:val="20"/>
              </w:rPr>
              <w:t>Lielai</w:t>
            </w:r>
          </w:p>
        </w:tc>
      </w:tr>
      <w:tr w:rsidR="000B4ED4" w:rsidRPr="00DB426E" w:rsidTr="000B4ED4">
        <w:trPr>
          <w:jc w:val="center"/>
        </w:trPr>
        <w:tc>
          <w:tcPr>
            <w:tcW w:w="1309" w:type="pct"/>
          </w:tcPr>
          <w:p w:rsidR="000B4ED4" w:rsidRPr="00DB426E" w:rsidRDefault="000B4ED4" w:rsidP="000B4ED4">
            <w:pPr>
              <w:spacing w:after="60"/>
              <w:jc w:val="left"/>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Latvijas Republikas teritorija </w:t>
            </w:r>
          </w:p>
        </w:tc>
      </w:tr>
      <w:tr w:rsidR="000B4ED4" w:rsidRPr="00DB426E" w:rsidTr="000B4ED4">
        <w:trPr>
          <w:jc w:val="center"/>
        </w:trPr>
        <w:tc>
          <w:tcPr>
            <w:tcW w:w="1309" w:type="pct"/>
          </w:tcPr>
          <w:p w:rsidR="000B4ED4" w:rsidRPr="00DB426E" w:rsidRDefault="000B4ED4" w:rsidP="000B4ED4">
            <w:pPr>
              <w:spacing w:after="60"/>
              <w:jc w:val="left"/>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Tērauda rūpniecība;</w:t>
            </w:r>
          </w:p>
          <w:p w:rsidR="000B4ED4" w:rsidRPr="00DB426E" w:rsidRDefault="000B4ED4" w:rsidP="000B4ED4">
            <w:pPr>
              <w:spacing w:after="60"/>
              <w:rPr>
                <w:rFonts w:cs="Calibri"/>
                <w:sz w:val="20"/>
                <w:szCs w:val="20"/>
              </w:rPr>
            </w:pPr>
            <w:r w:rsidRPr="00DB426E">
              <w:rPr>
                <w:rFonts w:cs="Calibri"/>
                <w:sz w:val="20"/>
                <w:szCs w:val="20"/>
              </w:rPr>
              <w:t>Sintētisko šķiedru ražošana;</w:t>
            </w:r>
          </w:p>
          <w:p w:rsidR="000B4ED4" w:rsidRPr="00DB426E" w:rsidRDefault="000B4ED4" w:rsidP="000B4ED4">
            <w:pPr>
              <w:spacing w:after="60"/>
              <w:rPr>
                <w:rFonts w:cs="Calibri"/>
                <w:sz w:val="20"/>
                <w:szCs w:val="20"/>
              </w:rPr>
            </w:pPr>
            <w:r w:rsidRPr="00DB426E">
              <w:rPr>
                <w:rFonts w:cs="Calibri"/>
                <w:sz w:val="20"/>
                <w:szCs w:val="20"/>
              </w:rPr>
              <w:t>Lauksaimniecības produktu ražošana;</w:t>
            </w:r>
          </w:p>
          <w:p w:rsidR="000B4ED4" w:rsidRPr="00DB426E" w:rsidRDefault="000B4ED4" w:rsidP="000B4ED4">
            <w:pPr>
              <w:spacing w:after="60"/>
              <w:rPr>
                <w:rFonts w:cs="Calibri"/>
                <w:sz w:val="20"/>
                <w:szCs w:val="20"/>
              </w:rPr>
            </w:pPr>
            <w:r w:rsidRPr="00DB426E">
              <w:rPr>
                <w:rFonts w:cs="Calibri"/>
                <w:sz w:val="20"/>
                <w:szCs w:val="20"/>
              </w:rPr>
              <w:t>Zivsaimniecība un akvakultūra;</w:t>
            </w:r>
          </w:p>
          <w:p w:rsidR="000B4ED4" w:rsidRPr="00DB426E" w:rsidRDefault="000B4ED4" w:rsidP="000B4ED4">
            <w:pPr>
              <w:spacing w:after="60"/>
              <w:rPr>
                <w:rFonts w:cs="Calibri"/>
                <w:sz w:val="20"/>
                <w:szCs w:val="20"/>
              </w:rPr>
            </w:pPr>
            <w:r w:rsidRPr="00DB426E">
              <w:rPr>
                <w:rFonts w:cs="Calibri"/>
                <w:sz w:val="20"/>
                <w:szCs w:val="20"/>
              </w:rPr>
              <w:t>Ogļu rūpniecība;</w:t>
            </w:r>
          </w:p>
          <w:p w:rsidR="000B4ED4" w:rsidRPr="00DB426E" w:rsidRDefault="000B4ED4" w:rsidP="000B4ED4">
            <w:pPr>
              <w:spacing w:after="60"/>
              <w:rPr>
                <w:rFonts w:cs="Calibri"/>
                <w:sz w:val="20"/>
                <w:szCs w:val="20"/>
              </w:rPr>
            </w:pPr>
            <w:r w:rsidRPr="00DB426E">
              <w:rPr>
                <w:rFonts w:cs="Calibri"/>
                <w:sz w:val="20"/>
                <w:szCs w:val="20"/>
              </w:rPr>
              <w:t>Alkoholisko dzērienu ražošana;</w:t>
            </w:r>
          </w:p>
          <w:p w:rsidR="000B4ED4" w:rsidRPr="00DB426E" w:rsidRDefault="000B4ED4" w:rsidP="000B4ED4">
            <w:pPr>
              <w:spacing w:after="60"/>
              <w:rPr>
                <w:rFonts w:cs="Calibri"/>
                <w:sz w:val="20"/>
                <w:szCs w:val="20"/>
              </w:rPr>
            </w:pPr>
            <w:r w:rsidRPr="00DB426E">
              <w:rPr>
                <w:rFonts w:cs="Calibri"/>
                <w:sz w:val="20"/>
                <w:szCs w:val="20"/>
              </w:rPr>
              <w:t>Tabakas izstrādājumu ražošana;</w:t>
            </w:r>
          </w:p>
          <w:p w:rsidR="000B4ED4" w:rsidRPr="00DB426E" w:rsidRDefault="000B4ED4" w:rsidP="000B4ED4">
            <w:pPr>
              <w:spacing w:after="60"/>
              <w:rPr>
                <w:rFonts w:cs="Calibri"/>
                <w:sz w:val="20"/>
                <w:szCs w:val="20"/>
              </w:rPr>
            </w:pPr>
            <w:r w:rsidRPr="00DB426E">
              <w:rPr>
                <w:rFonts w:cs="Calibri"/>
                <w:sz w:val="20"/>
                <w:szCs w:val="20"/>
              </w:rPr>
              <w:t>Kuģu būve;</w:t>
            </w:r>
          </w:p>
          <w:p w:rsidR="000B4ED4" w:rsidRPr="00DB426E" w:rsidRDefault="000B4ED4" w:rsidP="000B4ED4">
            <w:pPr>
              <w:spacing w:after="60"/>
              <w:rPr>
                <w:rFonts w:cs="Calibri"/>
                <w:sz w:val="20"/>
                <w:szCs w:val="20"/>
              </w:rPr>
            </w:pPr>
            <w:r w:rsidRPr="00DB426E">
              <w:rPr>
                <w:rFonts w:cs="Calibri"/>
                <w:sz w:val="20"/>
                <w:szCs w:val="20"/>
              </w:rPr>
              <w:t>Tirdzniecība;</w:t>
            </w:r>
          </w:p>
          <w:p w:rsidR="000B4ED4" w:rsidRPr="00DB426E" w:rsidRDefault="000B4ED4" w:rsidP="000B4ED4">
            <w:pPr>
              <w:spacing w:after="60"/>
              <w:rPr>
                <w:rFonts w:cs="Calibri"/>
                <w:sz w:val="20"/>
                <w:szCs w:val="20"/>
              </w:rPr>
            </w:pPr>
            <w:r w:rsidRPr="00DB426E">
              <w:rPr>
                <w:rFonts w:cs="Calibri"/>
                <w:sz w:val="20"/>
                <w:szCs w:val="20"/>
              </w:rPr>
              <w:t>Finanšu starpniecība;</w:t>
            </w:r>
          </w:p>
          <w:p w:rsidR="000B4ED4" w:rsidRPr="00DB426E" w:rsidRDefault="000B4ED4" w:rsidP="000B4ED4">
            <w:pPr>
              <w:spacing w:after="60"/>
              <w:rPr>
                <w:rFonts w:cs="Calibri"/>
                <w:sz w:val="20"/>
                <w:szCs w:val="20"/>
              </w:rPr>
            </w:pPr>
            <w:r w:rsidRPr="00DB426E">
              <w:rPr>
                <w:rFonts w:cs="Calibri"/>
                <w:sz w:val="20"/>
                <w:szCs w:val="20"/>
              </w:rPr>
              <w:t>Komercpakalpojumi;</w:t>
            </w:r>
          </w:p>
          <w:p w:rsidR="000B4ED4" w:rsidRPr="00DB426E" w:rsidRDefault="000B4ED4" w:rsidP="000B4ED4">
            <w:pPr>
              <w:spacing w:after="60"/>
              <w:rPr>
                <w:rFonts w:cs="Calibri"/>
                <w:sz w:val="20"/>
                <w:szCs w:val="20"/>
              </w:rPr>
            </w:pPr>
            <w:r w:rsidRPr="00DB426E">
              <w:rPr>
                <w:rFonts w:cs="Calibri"/>
                <w:sz w:val="20"/>
                <w:szCs w:val="20"/>
              </w:rPr>
              <w:t>Azartspēles.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Atbalsts tiek sniegts R&amp;D aktivitāšu veikšanai.</w:t>
            </w:r>
          </w:p>
          <w:p w:rsidR="000B4ED4" w:rsidRPr="00DB426E" w:rsidRDefault="000B4ED4" w:rsidP="000B4ED4">
            <w:pPr>
              <w:spacing w:after="60"/>
              <w:rPr>
                <w:rFonts w:cs="Calibri"/>
                <w:sz w:val="20"/>
                <w:szCs w:val="20"/>
              </w:rPr>
            </w:pPr>
            <w:r w:rsidRPr="00DB426E">
              <w:rPr>
                <w:rFonts w:cs="Calibri"/>
                <w:sz w:val="20"/>
                <w:szCs w:val="20"/>
              </w:rPr>
              <w:t>Darbinieks, kurš saņem atbalstu, tiek piesaistīts konkrētu pētniecisku aktivitāšu, tehno</w:t>
            </w:r>
            <w:r w:rsidRPr="00DB426E">
              <w:rPr>
                <w:rFonts w:cs="Calibri"/>
                <w:sz w:val="20"/>
                <w:szCs w:val="20"/>
              </w:rPr>
              <w:softHyphen/>
              <w:t>lo</w:t>
            </w:r>
            <w:r w:rsidRPr="00DB426E">
              <w:rPr>
                <w:rFonts w:cs="Calibri"/>
                <w:sz w:val="20"/>
                <w:szCs w:val="20"/>
              </w:rPr>
              <w:softHyphen/>
              <w:t xml:space="preserve">ģisku problēmu risināšanai vai jaunu produktu izstrādei pie komersanta.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Darbiniekam ir atbilstoša augstākā izglītība - vismaz maģistra grāds vai tam pielīdzināma izglītība dabas zinātnēs, matemātikā, informācijas tehno</w:t>
            </w:r>
            <w:r w:rsidRPr="00DB426E">
              <w:rPr>
                <w:rFonts w:cs="Calibri"/>
                <w:sz w:val="20"/>
                <w:szCs w:val="20"/>
              </w:rPr>
              <w:softHyphen/>
              <w:t>loģijās, inženierzinātnēs un tehnoloģijās, ražošanā un pārstrādē, kā arī dizainā.</w:t>
            </w:r>
          </w:p>
          <w:p w:rsidR="000B4ED4" w:rsidRPr="00DB426E" w:rsidRDefault="000B4ED4" w:rsidP="000B4ED4">
            <w:pPr>
              <w:spacing w:after="60"/>
              <w:rPr>
                <w:rFonts w:cs="Calibri"/>
                <w:sz w:val="20"/>
                <w:szCs w:val="20"/>
              </w:rPr>
            </w:pPr>
            <w:r w:rsidRPr="00DB426E">
              <w:rPr>
                <w:rFonts w:cs="Calibri"/>
                <w:sz w:val="20"/>
                <w:szCs w:val="20"/>
              </w:rPr>
              <w:t>Darbiniekam ir vismaz 5 gadu pieredze pētniecībā, jaunu produktu izstrādē un attīstībā, ražošanā.</w:t>
            </w:r>
          </w:p>
          <w:p w:rsidR="000B4ED4" w:rsidRPr="00DB426E" w:rsidRDefault="000B4ED4" w:rsidP="000B4ED4">
            <w:pPr>
              <w:spacing w:after="60"/>
              <w:rPr>
                <w:rFonts w:cs="Calibri"/>
                <w:sz w:val="20"/>
                <w:szCs w:val="20"/>
              </w:rPr>
            </w:pPr>
            <w:r w:rsidRPr="00DB426E">
              <w:rPr>
                <w:rFonts w:cs="Calibri"/>
                <w:sz w:val="20"/>
                <w:szCs w:val="20"/>
              </w:rPr>
              <w:t>Projekta īstenošanas laiks – 12 mēneši.</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40 000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40% </w:t>
            </w:r>
          </w:p>
          <w:p w:rsidR="000B4ED4" w:rsidRPr="00DB426E" w:rsidRDefault="000B4ED4" w:rsidP="000B4ED4">
            <w:pPr>
              <w:spacing w:after="60"/>
              <w:rPr>
                <w:rFonts w:cs="Calibri"/>
                <w:sz w:val="20"/>
                <w:szCs w:val="20"/>
              </w:rPr>
            </w:pPr>
            <w:r w:rsidRPr="00DB426E">
              <w:rPr>
                <w:rFonts w:cs="Calibri"/>
                <w:sz w:val="20"/>
                <w:szCs w:val="20"/>
              </w:rPr>
              <w:t>(Atbalsta intensitāti palielina par 10%, ja projektu īsteno ārpus Rīgas un Ādažu, Babītes, Baldones, Carnikavas, Garkalnes, Krimuldas, Ķekavas, Mālpils, Mārupes, Olaines, Salaspils, Saulkrastu, Siguldas un Stopiņu novada)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106 293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3</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100 952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3</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100 952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Jaunas darba vietas: 250 (kopā ar aktivitāti 1.3.1.1.6. „</w:t>
            </w:r>
            <w:r w:rsidRPr="00DB426E">
              <w:rPr>
                <w:bCs/>
                <w:sz w:val="20"/>
                <w:szCs w:val="20"/>
              </w:rPr>
              <w:t>Atbalsts darba vietu radīšanai”</w:t>
            </w: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p>
        </w:tc>
      </w:tr>
    </w:tbl>
    <w:p w:rsidR="000B4ED4" w:rsidRPr="00DB426E" w:rsidRDefault="000B4ED4" w:rsidP="000B4ED4">
      <w:pPr>
        <w:spacing w:before="240"/>
      </w:pPr>
      <w:r w:rsidRPr="00DB426E">
        <w:t xml:space="preserve">Pieteikties atbalstam aktivitātes ietvaros bija samērā vienkārši; komersantam netika izvirzītas īpašas prasības. Tāpat iesniedzamie dokumenti bija samērā vienkārši aizpildāmi; nebija nepieciešams papildus laiks to kārtošanai. </w:t>
      </w:r>
    </w:p>
    <w:p w:rsidR="000B4ED4" w:rsidRPr="00DB426E" w:rsidRDefault="000B4ED4" w:rsidP="000B4ED4">
      <w:r w:rsidRPr="00DB426E">
        <w:t>Aktivitātes atbalsts ir brīvi pieejams.</w:t>
      </w:r>
    </w:p>
    <w:p w:rsidR="000B4ED4" w:rsidRPr="00DB426E" w:rsidRDefault="000B4ED4" w:rsidP="000B4ED4">
      <w:r w:rsidRPr="00DB426E">
        <w:t>Aktivitātes mērķis sakrīt ar sasniedzamajiem ietekmes rādītājiem. Mērķim un rādītājiem ir ietekme uz R&amp;D, tie atbalsta nodarbinātību R&amp;D jomā, tādējādi sekmējot R&amp;D darbības uzņēmumos un veicinot privātos ieguldījumus R&amp;D.</w:t>
      </w:r>
    </w:p>
    <w:p w:rsidR="000B4ED4" w:rsidRPr="00DB426E" w:rsidRDefault="000B4ED4" w:rsidP="000B4ED4">
      <w:pPr>
        <w:pStyle w:val="Heading4"/>
        <w:numPr>
          <w:ilvl w:val="3"/>
          <w:numId w:val="4"/>
        </w:numPr>
        <w:ind w:firstLine="270"/>
      </w:pPr>
      <w:bookmarkStart w:id="373" w:name="_Toc356566551"/>
      <w:bookmarkStart w:id="374" w:name="_Toc358978771"/>
      <w:r w:rsidRPr="00DB426E">
        <w:t>2.1. prioritāte „Zinātne un inovācijas”</w:t>
      </w:r>
      <w:bookmarkEnd w:id="373"/>
      <w:bookmarkEnd w:id="374"/>
    </w:p>
    <w:p w:rsidR="000B4ED4" w:rsidRDefault="000B4ED4" w:rsidP="000B4ED4">
      <w:r w:rsidRPr="00DB426E">
        <w:t>2.1. prioritāte vērsta uz valsts zinātnes un pētniecības potenciāla nostiprināšanu, starptautiskās konkurētspējas palielināšanu, kā arī zināšanu pārneses un to komercializācijas veicināšanu. Šie mērķi sasniedzami, investējot zinātnes un pētniecības centru aprīkojumā, pētniecības veicināšanā, izveidojot zināšanu pārneses infrastruktūru un atbalsta mehānismus.</w:t>
      </w:r>
      <w:r w:rsidRPr="00DB426E">
        <w:rPr>
          <w:rStyle w:val="FootnoteReference"/>
          <w:szCs w:val="20"/>
        </w:rPr>
        <w:footnoteReference w:id="20"/>
      </w:r>
      <w:r w:rsidRPr="00DB426E">
        <w:t xml:space="preserve"> Līdz ar to prioritātei ir tieša ietekme uz R&amp;D ieguldījumu veicināšanu, un tiek aplūkotas tās apakšprogrammas, kuru mērķi un sasniedzamie rādītāji raksturo ieguldījumus R&amp;D.</w:t>
      </w:r>
    </w:p>
    <w:p w:rsidR="000B4ED4" w:rsidRPr="00DB426E" w:rsidRDefault="000B4ED4" w:rsidP="000B4ED4"/>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
                <w:bCs/>
                <w:sz w:val="20"/>
                <w:szCs w:val="20"/>
              </w:rPr>
              <w:t>2.1.1.1. Atbalsts zinātnei un pētniecībai</w:t>
            </w:r>
            <w:r w:rsidRPr="00DB426E">
              <w:rPr>
                <w:rStyle w:val="FootnoteReference"/>
                <w:b/>
                <w:bCs/>
                <w:sz w:val="20"/>
                <w:szCs w:val="20"/>
              </w:rPr>
              <w:footnoteReference w:id="21"/>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sz w:val="20"/>
                <w:szCs w:val="20"/>
              </w:rPr>
            </w:pPr>
            <w:r w:rsidRPr="00DB426E">
              <w:rPr>
                <w:sz w:val="20"/>
                <w:szCs w:val="20"/>
              </w:rPr>
              <w:t>Aktivitātes mērķis ir atbalstīt pētniecības projektus, kuri sekmētu zinātnes un ražošanas integrāciju un pētniecības rezultātu komercializāciju atbilstoši valstī noteiktajām prioritārajām tautsaimniecības nozarēm un prioritārajiem zinātnes virzieniem fundamentālo un lietišķo pētījumu finansēšanai 2010.–2013.gadā</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Darba samaksa (ieskaitot nodokļus un VSAOI)</w:t>
            </w:r>
          </w:p>
          <w:p w:rsidR="000B4ED4" w:rsidRPr="00DB426E" w:rsidRDefault="000B4ED4" w:rsidP="000B4ED4">
            <w:pPr>
              <w:spacing w:after="60"/>
              <w:rPr>
                <w:rFonts w:cs="Calibri"/>
                <w:sz w:val="20"/>
                <w:szCs w:val="20"/>
              </w:rPr>
            </w:pPr>
            <w:r w:rsidRPr="00DB426E">
              <w:rPr>
                <w:rFonts w:cs="Calibri"/>
                <w:sz w:val="20"/>
                <w:szCs w:val="20"/>
              </w:rPr>
              <w:t>Komandējumu izdevumi (transports, naktsmītnes, dienas nauda)</w:t>
            </w:r>
          </w:p>
          <w:p w:rsidR="000B4ED4" w:rsidRPr="00DB426E" w:rsidRDefault="000B4ED4" w:rsidP="000B4ED4">
            <w:pPr>
              <w:spacing w:after="60"/>
              <w:rPr>
                <w:rFonts w:cs="Calibri"/>
                <w:sz w:val="20"/>
                <w:szCs w:val="20"/>
              </w:rPr>
            </w:pPr>
            <w:r w:rsidRPr="00DB426E">
              <w:rPr>
                <w:rFonts w:cs="Calibri"/>
                <w:sz w:val="20"/>
                <w:szCs w:val="20"/>
              </w:rPr>
              <w:t>Iekārtu iegāde, noma, nolietojums</w:t>
            </w:r>
          </w:p>
          <w:p w:rsidR="000B4ED4" w:rsidRPr="00DB426E" w:rsidRDefault="000B4ED4" w:rsidP="000B4ED4">
            <w:pPr>
              <w:spacing w:after="60"/>
              <w:rPr>
                <w:rFonts w:cs="Calibri"/>
                <w:sz w:val="20"/>
                <w:szCs w:val="20"/>
              </w:rPr>
            </w:pPr>
            <w:r w:rsidRPr="00DB426E">
              <w:rPr>
                <w:rFonts w:cs="Calibri"/>
                <w:sz w:val="20"/>
                <w:szCs w:val="20"/>
              </w:rPr>
              <w:t>Inventāra, instrumentu un materiālu iegāde</w:t>
            </w:r>
          </w:p>
          <w:p w:rsidR="000B4ED4" w:rsidRPr="00DB426E" w:rsidRDefault="000B4ED4" w:rsidP="000B4ED4">
            <w:pPr>
              <w:spacing w:after="60"/>
              <w:rPr>
                <w:rFonts w:cs="Calibri"/>
                <w:sz w:val="20"/>
                <w:szCs w:val="20"/>
              </w:rPr>
            </w:pPr>
            <w:r w:rsidRPr="00DB426E">
              <w:rPr>
                <w:rFonts w:cs="Calibri"/>
                <w:sz w:val="20"/>
                <w:szCs w:val="20"/>
              </w:rPr>
              <w:t>Ārpakalpojumi</w:t>
            </w:r>
          </w:p>
          <w:p w:rsidR="000B4ED4" w:rsidRPr="00DB426E" w:rsidRDefault="000B4ED4" w:rsidP="000B4ED4">
            <w:pPr>
              <w:spacing w:after="60"/>
              <w:rPr>
                <w:rFonts w:cs="Calibri"/>
                <w:sz w:val="20"/>
                <w:szCs w:val="20"/>
              </w:rPr>
            </w:pPr>
            <w:proofErr w:type="spellStart"/>
            <w:r w:rsidRPr="00DB426E">
              <w:rPr>
                <w:rFonts w:cs="Calibri"/>
                <w:sz w:val="20"/>
                <w:szCs w:val="20"/>
              </w:rPr>
              <w:t>Līgumpētījumi</w:t>
            </w:r>
            <w:proofErr w:type="spellEnd"/>
          </w:p>
          <w:p w:rsidR="000B4ED4" w:rsidRPr="00DB426E" w:rsidRDefault="000B4ED4" w:rsidP="000B4ED4">
            <w:pPr>
              <w:spacing w:after="60"/>
              <w:rPr>
                <w:rFonts w:cs="Calibri"/>
                <w:sz w:val="20"/>
                <w:szCs w:val="20"/>
              </w:rPr>
            </w:pPr>
            <w:r w:rsidRPr="00DB426E">
              <w:rPr>
                <w:rFonts w:cs="Calibri"/>
                <w:sz w:val="20"/>
                <w:szCs w:val="20"/>
              </w:rPr>
              <w:t>Intelektuālā īpašuma licenču tiesību iegāde</w:t>
            </w:r>
          </w:p>
          <w:p w:rsidR="000B4ED4" w:rsidRPr="00DB426E" w:rsidRDefault="000B4ED4" w:rsidP="000B4ED4">
            <w:pPr>
              <w:spacing w:after="60"/>
              <w:rPr>
                <w:rFonts w:cs="Calibri"/>
                <w:sz w:val="20"/>
                <w:szCs w:val="20"/>
              </w:rPr>
            </w:pPr>
            <w:r w:rsidRPr="00DB426E">
              <w:rPr>
                <w:rFonts w:cs="Calibri"/>
                <w:sz w:val="20"/>
                <w:szCs w:val="20"/>
              </w:rPr>
              <w:t xml:space="preserve">Rūpnieciskā īpašuma tiesību nostiprināšanas izmaksas (tikai </w:t>
            </w:r>
            <w:proofErr w:type="spellStart"/>
            <w:r w:rsidRPr="00DB426E">
              <w:rPr>
                <w:rFonts w:cs="Calibri"/>
                <w:sz w:val="20"/>
                <w:szCs w:val="20"/>
              </w:rPr>
              <w:t>miko</w:t>
            </w:r>
            <w:proofErr w:type="spellEnd"/>
            <w:r w:rsidRPr="00DB426E">
              <w:rPr>
                <w:rFonts w:cs="Calibri"/>
                <w:sz w:val="20"/>
                <w:szCs w:val="20"/>
              </w:rPr>
              <w:t>, mazie un vidējie komersanti)</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 xml:space="preserve">Atbalsta </w:t>
            </w:r>
            <w:r w:rsidRPr="00475128">
              <w:rPr>
                <w:rFonts w:cs="Calibri"/>
                <w:b/>
                <w:sz w:val="20"/>
                <w:szCs w:val="20"/>
                <w:shd w:val="clear" w:color="auto" w:fill="F2F2F2"/>
              </w:rPr>
              <w:t>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p w:rsidR="000B4ED4" w:rsidRPr="00DB426E" w:rsidRDefault="000B4ED4" w:rsidP="000B4ED4">
            <w:pPr>
              <w:spacing w:after="60"/>
              <w:rPr>
                <w:rFonts w:cs="Calibri"/>
                <w:sz w:val="20"/>
                <w:szCs w:val="20"/>
              </w:rPr>
            </w:pPr>
            <w:r w:rsidRPr="00DB426E">
              <w:rPr>
                <w:rFonts w:cs="Calibri"/>
                <w:sz w:val="20"/>
                <w:szCs w:val="20"/>
              </w:rPr>
              <w:t>Zinātniskā institūcija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p w:rsidR="000B4ED4" w:rsidRPr="00DB426E" w:rsidRDefault="000B4ED4" w:rsidP="000B4ED4">
            <w:pPr>
              <w:spacing w:after="60"/>
              <w:rPr>
                <w:rFonts w:cs="Calibri"/>
                <w:sz w:val="20"/>
                <w:szCs w:val="20"/>
              </w:rPr>
            </w:pPr>
            <w:r w:rsidRPr="00DB426E">
              <w:rPr>
                <w:rFonts w:cs="Calibri"/>
                <w:sz w:val="20"/>
                <w:szCs w:val="20"/>
              </w:rPr>
              <w:t>Lielais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hd w:val="clear" w:color="auto" w:fill="FFFFFF"/>
              <w:spacing w:after="60"/>
              <w:rPr>
                <w:rFonts w:cs="Calibri"/>
                <w:sz w:val="20"/>
                <w:szCs w:val="20"/>
              </w:rPr>
            </w:pPr>
            <w:r w:rsidRPr="00DB426E">
              <w:rPr>
                <w:rFonts w:cs="Calibri"/>
                <w:sz w:val="20"/>
                <w:szCs w:val="20"/>
              </w:rPr>
              <w:t>vairumtirdzniecība un mazumtirdzniecība;</w:t>
            </w:r>
          </w:p>
          <w:p w:rsidR="000B4ED4" w:rsidRPr="00DB426E" w:rsidRDefault="000B4ED4" w:rsidP="000B4ED4">
            <w:pPr>
              <w:shd w:val="clear" w:color="auto" w:fill="FFFFFF"/>
              <w:spacing w:after="60"/>
              <w:rPr>
                <w:rFonts w:cs="Calibri"/>
                <w:sz w:val="20"/>
                <w:szCs w:val="20"/>
              </w:rPr>
            </w:pPr>
            <w:r w:rsidRPr="00DB426E">
              <w:rPr>
                <w:rFonts w:cs="Calibri"/>
                <w:sz w:val="20"/>
                <w:szCs w:val="20"/>
              </w:rPr>
              <w:t>finanšu starpniecība, finanšu un apdrošināšanas darbības;</w:t>
            </w:r>
          </w:p>
          <w:p w:rsidR="000B4ED4" w:rsidRPr="00DB426E" w:rsidRDefault="000B4ED4" w:rsidP="000B4ED4">
            <w:pPr>
              <w:shd w:val="clear" w:color="auto" w:fill="FFFFFF"/>
              <w:spacing w:after="60"/>
              <w:rPr>
                <w:rFonts w:cs="Calibri"/>
                <w:sz w:val="20"/>
                <w:szCs w:val="20"/>
              </w:rPr>
            </w:pPr>
            <w:r w:rsidRPr="00DB426E">
              <w:rPr>
                <w:rFonts w:cs="Calibri"/>
                <w:sz w:val="20"/>
                <w:szCs w:val="20"/>
              </w:rPr>
              <w:t>komercpakalpojumi (operācijas ar nekustamo īpašumu; transportlīdzekļu, mašīnu un iekārtu, individuālās lietošanas priekšmetu, sadzīves aparatūras un iekārtu iznomāšana un līzings);</w:t>
            </w:r>
          </w:p>
          <w:p w:rsidR="000B4ED4" w:rsidRPr="00DB426E" w:rsidRDefault="000B4ED4" w:rsidP="000B4ED4">
            <w:pPr>
              <w:shd w:val="clear" w:color="auto" w:fill="FFFFFF"/>
              <w:spacing w:after="60"/>
              <w:rPr>
                <w:rFonts w:cs="Calibri"/>
                <w:sz w:val="20"/>
                <w:szCs w:val="20"/>
              </w:rPr>
            </w:pPr>
            <w:r w:rsidRPr="00DB426E">
              <w:rPr>
                <w:rFonts w:cs="Calibri"/>
                <w:sz w:val="20"/>
                <w:szCs w:val="20"/>
              </w:rPr>
              <w:t>azartspēles un derības;</w:t>
            </w:r>
          </w:p>
          <w:p w:rsidR="000B4ED4" w:rsidRPr="00DB426E" w:rsidRDefault="000B4ED4" w:rsidP="000B4ED4">
            <w:pPr>
              <w:shd w:val="clear" w:color="auto" w:fill="FFFFFF"/>
              <w:spacing w:after="60"/>
              <w:rPr>
                <w:rFonts w:cs="Calibri"/>
                <w:sz w:val="20"/>
                <w:szCs w:val="20"/>
              </w:rPr>
            </w:pPr>
            <w:r w:rsidRPr="00DB426E">
              <w:rPr>
                <w:rFonts w:cs="Calibri"/>
                <w:sz w:val="20"/>
                <w:szCs w:val="20"/>
              </w:rPr>
              <w:t>alkoholisko dzērienu, tai skaitā alus, ražošana;</w:t>
            </w:r>
          </w:p>
          <w:p w:rsidR="000B4ED4" w:rsidRPr="00DB426E" w:rsidRDefault="000B4ED4" w:rsidP="000B4ED4">
            <w:pPr>
              <w:shd w:val="clear" w:color="auto" w:fill="FFFFFF"/>
              <w:spacing w:after="60"/>
              <w:rPr>
                <w:rFonts w:cs="Calibri"/>
                <w:sz w:val="20"/>
                <w:szCs w:val="20"/>
              </w:rPr>
            </w:pPr>
            <w:r w:rsidRPr="00DB426E">
              <w:rPr>
                <w:rFonts w:cs="Calibri"/>
                <w:sz w:val="20"/>
                <w:szCs w:val="20"/>
              </w:rPr>
              <w:t>tabakas izstrādājumu ražošana;</w:t>
            </w:r>
          </w:p>
          <w:p w:rsidR="000B4ED4" w:rsidRPr="00DB426E" w:rsidRDefault="000B4ED4" w:rsidP="000B4ED4">
            <w:pPr>
              <w:shd w:val="clear" w:color="auto" w:fill="FFFFFF"/>
              <w:spacing w:after="60"/>
              <w:rPr>
                <w:rFonts w:cs="Calibri"/>
                <w:sz w:val="20"/>
                <w:szCs w:val="20"/>
              </w:rPr>
            </w:pPr>
            <w:r w:rsidRPr="00DB426E">
              <w:rPr>
                <w:rFonts w:cs="Calibri"/>
                <w:sz w:val="20"/>
                <w:szCs w:val="20"/>
              </w:rPr>
              <w:t>kuģu būve;</w:t>
            </w:r>
          </w:p>
          <w:p w:rsidR="000B4ED4" w:rsidRPr="00DB426E" w:rsidRDefault="000B4ED4" w:rsidP="000B4ED4">
            <w:pPr>
              <w:shd w:val="clear" w:color="auto" w:fill="FFFFFF"/>
              <w:spacing w:after="60"/>
              <w:rPr>
                <w:rFonts w:cs="Calibri"/>
                <w:sz w:val="20"/>
                <w:szCs w:val="20"/>
              </w:rPr>
            </w:pPr>
            <w:r w:rsidRPr="00DB426E">
              <w:rPr>
                <w:rFonts w:cs="Calibri"/>
                <w:sz w:val="20"/>
                <w:szCs w:val="20"/>
              </w:rPr>
              <w:t>tērauda nozare;</w:t>
            </w:r>
          </w:p>
          <w:p w:rsidR="000B4ED4" w:rsidRPr="00DB426E" w:rsidRDefault="000B4ED4" w:rsidP="000B4ED4">
            <w:pPr>
              <w:shd w:val="clear" w:color="auto" w:fill="FFFFFF"/>
              <w:spacing w:after="60"/>
              <w:rPr>
                <w:rFonts w:cs="Calibri"/>
                <w:sz w:val="20"/>
                <w:szCs w:val="20"/>
              </w:rPr>
            </w:pPr>
            <w:r w:rsidRPr="00DB426E">
              <w:rPr>
                <w:rFonts w:cs="Calibri"/>
                <w:sz w:val="20"/>
                <w:szCs w:val="20"/>
              </w:rPr>
              <w:t>sintētisko šķiedru ražošana;</w:t>
            </w:r>
          </w:p>
          <w:p w:rsidR="000B4ED4" w:rsidRPr="00DB426E" w:rsidRDefault="000B4ED4" w:rsidP="000B4ED4">
            <w:pPr>
              <w:shd w:val="clear" w:color="auto" w:fill="FFFFFF"/>
              <w:spacing w:after="60"/>
              <w:rPr>
                <w:rFonts w:cs="Calibri"/>
                <w:sz w:val="20"/>
                <w:szCs w:val="20"/>
              </w:rPr>
            </w:pPr>
            <w:r w:rsidRPr="00DB426E">
              <w:rPr>
                <w:rFonts w:cs="Calibri"/>
                <w:sz w:val="20"/>
                <w:szCs w:val="20"/>
              </w:rPr>
              <w:t>ogļu nozare.</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Projektu var īstenot partnerībā ar citiem komersantiem un zinātniskajām institūcijām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Obligāta prasība projekta pieteicējam: ieguldījumi R&amp;D vismaz 2% apmērā no apgrozījuma.</w:t>
            </w:r>
          </w:p>
          <w:p w:rsidR="000B4ED4" w:rsidRPr="00DB426E" w:rsidRDefault="000B4ED4" w:rsidP="000B4ED4">
            <w:pPr>
              <w:spacing w:after="60"/>
              <w:rPr>
                <w:rFonts w:cs="Calibri"/>
                <w:sz w:val="20"/>
                <w:szCs w:val="20"/>
              </w:rPr>
            </w:pPr>
            <w:r w:rsidRPr="00DB426E">
              <w:rPr>
                <w:rFonts w:cs="Calibri"/>
                <w:sz w:val="20"/>
                <w:szCs w:val="20"/>
              </w:rPr>
              <w:t>Atbalstu piešķir tikai ar pētniecību un attīstību saistītām aktivitātēm.</w:t>
            </w:r>
          </w:p>
          <w:p w:rsidR="000B4ED4" w:rsidRPr="00DB426E" w:rsidRDefault="000B4ED4" w:rsidP="000B4ED4">
            <w:pPr>
              <w:spacing w:after="60"/>
              <w:rPr>
                <w:rFonts w:cs="Calibri"/>
                <w:sz w:val="20"/>
                <w:szCs w:val="20"/>
              </w:rPr>
            </w:pPr>
            <w:r w:rsidRPr="00DB426E">
              <w:rPr>
                <w:rFonts w:cs="Calibri"/>
                <w:sz w:val="20"/>
                <w:szCs w:val="20"/>
              </w:rPr>
              <w:t>Atbalstāmas ir tikai tās izmaksas, kas radušās, veicot pētniecības un attīstības aktivitātes.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Zinātniskās institūcijas iesaiste (kā sadarbības partnerim vai </w:t>
            </w:r>
            <w:proofErr w:type="spellStart"/>
            <w:r w:rsidRPr="00DB426E">
              <w:rPr>
                <w:rFonts w:cs="Calibri"/>
                <w:sz w:val="20"/>
                <w:szCs w:val="20"/>
              </w:rPr>
              <w:t>līgumpētījuma</w:t>
            </w:r>
            <w:proofErr w:type="spellEnd"/>
            <w:r w:rsidRPr="00DB426E">
              <w:rPr>
                <w:rFonts w:cs="Calibri"/>
                <w:sz w:val="20"/>
                <w:szCs w:val="20"/>
              </w:rPr>
              <w:t xml:space="preserve"> izstrādātājam) ir obligāta</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50 000 LVL</w:t>
            </w:r>
          </w:p>
        </w:tc>
        <w:tc>
          <w:tcPr>
            <w:tcW w:w="1846" w:type="pct"/>
          </w:tcPr>
          <w:p w:rsidR="000B4ED4" w:rsidRPr="00DB426E" w:rsidRDefault="000B4ED4" w:rsidP="000B4ED4">
            <w:pPr>
              <w:spacing w:after="60"/>
              <w:rPr>
                <w:rFonts w:cs="Calibri"/>
                <w:sz w:val="20"/>
                <w:szCs w:val="20"/>
              </w:rPr>
            </w:pPr>
            <w:r w:rsidRPr="00DB426E">
              <w:rPr>
                <w:rFonts w:cs="Calibri"/>
                <w:sz w:val="20"/>
                <w:szCs w:val="20"/>
              </w:rPr>
              <w:t>300 000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Rūpnieciskā pētījuma veikšanai:</w:t>
            </w:r>
          </w:p>
          <w:p w:rsidR="000B4ED4" w:rsidRPr="00DB426E" w:rsidRDefault="000B4ED4" w:rsidP="000B4ED4">
            <w:pPr>
              <w:spacing w:after="60"/>
              <w:rPr>
                <w:rFonts w:cs="Calibri"/>
                <w:sz w:val="20"/>
                <w:szCs w:val="20"/>
              </w:rPr>
            </w:pPr>
            <w:r w:rsidRPr="00DB426E">
              <w:rPr>
                <w:rFonts w:cs="Calibri"/>
                <w:sz w:val="20"/>
                <w:szCs w:val="20"/>
              </w:rPr>
              <w:t xml:space="preserve">70% - </w:t>
            </w:r>
            <w:proofErr w:type="spellStart"/>
            <w:r w:rsidRPr="00DB426E">
              <w:rPr>
                <w:rFonts w:cs="Calibri"/>
                <w:sz w:val="20"/>
                <w:szCs w:val="20"/>
              </w:rPr>
              <w:t>mikro</w:t>
            </w:r>
            <w:proofErr w:type="spellEnd"/>
            <w:r w:rsidRPr="00DB426E">
              <w:rPr>
                <w:rFonts w:cs="Calibri"/>
                <w:sz w:val="20"/>
                <w:szCs w:val="20"/>
              </w:rPr>
              <w:t xml:space="preserve"> un mazajam komersantam</w:t>
            </w:r>
          </w:p>
          <w:p w:rsidR="000B4ED4" w:rsidRPr="00DB426E" w:rsidRDefault="000B4ED4" w:rsidP="000B4ED4">
            <w:pPr>
              <w:spacing w:after="60"/>
              <w:rPr>
                <w:rFonts w:cs="Calibri"/>
                <w:sz w:val="20"/>
                <w:szCs w:val="20"/>
              </w:rPr>
            </w:pPr>
            <w:r w:rsidRPr="00DB426E">
              <w:rPr>
                <w:rFonts w:cs="Calibri"/>
                <w:sz w:val="20"/>
                <w:szCs w:val="20"/>
              </w:rPr>
              <w:t>60% - vidējam komersantam</w:t>
            </w:r>
          </w:p>
          <w:p w:rsidR="000B4ED4" w:rsidRPr="00DB426E" w:rsidRDefault="000B4ED4" w:rsidP="000B4ED4">
            <w:pPr>
              <w:spacing w:after="60"/>
              <w:rPr>
                <w:rFonts w:cs="Calibri"/>
                <w:sz w:val="20"/>
                <w:szCs w:val="20"/>
              </w:rPr>
            </w:pPr>
            <w:r w:rsidRPr="00DB426E">
              <w:rPr>
                <w:rFonts w:cs="Calibri"/>
                <w:sz w:val="20"/>
                <w:szCs w:val="20"/>
              </w:rPr>
              <w:t>50% - lielajam komersantam</w:t>
            </w:r>
          </w:p>
          <w:p w:rsidR="000B4ED4" w:rsidRPr="00DB426E" w:rsidRDefault="000B4ED4" w:rsidP="000B4ED4">
            <w:pPr>
              <w:spacing w:after="60"/>
              <w:rPr>
                <w:rFonts w:cs="Calibri"/>
                <w:sz w:val="20"/>
                <w:szCs w:val="20"/>
              </w:rPr>
            </w:pPr>
            <w:r w:rsidRPr="00DB426E">
              <w:rPr>
                <w:rFonts w:cs="Calibri"/>
                <w:sz w:val="20"/>
                <w:szCs w:val="20"/>
              </w:rPr>
              <w:t>Eksperimentālajai izstrādnei:</w:t>
            </w:r>
          </w:p>
          <w:p w:rsidR="000B4ED4" w:rsidRPr="00DB426E" w:rsidRDefault="000B4ED4" w:rsidP="000B4ED4">
            <w:pPr>
              <w:spacing w:after="60"/>
              <w:rPr>
                <w:rFonts w:cs="Calibri"/>
                <w:sz w:val="20"/>
                <w:szCs w:val="20"/>
              </w:rPr>
            </w:pPr>
            <w:r w:rsidRPr="00DB426E">
              <w:rPr>
                <w:rFonts w:cs="Calibri"/>
                <w:sz w:val="20"/>
                <w:szCs w:val="20"/>
              </w:rPr>
              <w:t xml:space="preserve">45% - </w:t>
            </w:r>
            <w:proofErr w:type="spellStart"/>
            <w:r w:rsidRPr="00DB426E">
              <w:rPr>
                <w:rFonts w:cs="Calibri"/>
                <w:sz w:val="20"/>
                <w:szCs w:val="20"/>
              </w:rPr>
              <w:t>mikro</w:t>
            </w:r>
            <w:proofErr w:type="spellEnd"/>
            <w:r w:rsidRPr="00DB426E">
              <w:rPr>
                <w:rFonts w:cs="Calibri"/>
                <w:sz w:val="20"/>
                <w:szCs w:val="20"/>
              </w:rPr>
              <w:t xml:space="preserve"> un mazajam komersantam</w:t>
            </w:r>
          </w:p>
          <w:p w:rsidR="000B4ED4" w:rsidRPr="00DB426E" w:rsidRDefault="000B4ED4" w:rsidP="000B4ED4">
            <w:pPr>
              <w:spacing w:after="60"/>
              <w:rPr>
                <w:rFonts w:cs="Calibri"/>
                <w:sz w:val="20"/>
                <w:szCs w:val="20"/>
              </w:rPr>
            </w:pPr>
            <w:r w:rsidRPr="00DB426E">
              <w:rPr>
                <w:rFonts w:cs="Calibri"/>
                <w:sz w:val="20"/>
                <w:szCs w:val="20"/>
              </w:rPr>
              <w:t>35% - vidējam komersantam</w:t>
            </w:r>
          </w:p>
          <w:p w:rsidR="000B4ED4" w:rsidRPr="00DB426E" w:rsidRDefault="000B4ED4" w:rsidP="000B4ED4">
            <w:pPr>
              <w:spacing w:after="60"/>
              <w:rPr>
                <w:rFonts w:cs="Calibri"/>
                <w:sz w:val="20"/>
                <w:szCs w:val="20"/>
              </w:rPr>
            </w:pPr>
            <w:r w:rsidRPr="00DB426E">
              <w:rPr>
                <w:rFonts w:cs="Calibri"/>
                <w:sz w:val="20"/>
                <w:szCs w:val="20"/>
              </w:rPr>
              <w:t>25% - lielajam komersantam</w:t>
            </w:r>
          </w:p>
          <w:p w:rsidR="000B4ED4" w:rsidRPr="00DB426E" w:rsidRDefault="000B4ED4" w:rsidP="000B4ED4">
            <w:pPr>
              <w:spacing w:after="60"/>
              <w:rPr>
                <w:rFonts w:cs="Calibri"/>
                <w:sz w:val="20"/>
                <w:szCs w:val="20"/>
              </w:rPr>
            </w:pPr>
            <w:r w:rsidRPr="00DB426E">
              <w:rPr>
                <w:rFonts w:cs="Calibri"/>
                <w:sz w:val="20"/>
                <w:szCs w:val="20"/>
              </w:rPr>
              <w:t>Atbalsta intensitāti palielina par 15% (nepārsniedzot 80%) gadījumā, ja projektu īsteno partnerībā</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50 287 572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122</w:t>
            </w:r>
          </w:p>
        </w:tc>
        <w:tc>
          <w:tcPr>
            <w:tcW w:w="1846" w:type="pct"/>
          </w:tcPr>
          <w:p w:rsidR="000B4ED4" w:rsidRPr="00DB426E" w:rsidRDefault="000B4ED4" w:rsidP="000B4ED4">
            <w:pPr>
              <w:spacing w:after="60"/>
              <w:rPr>
                <w:rFonts w:cs="Calibri"/>
                <w:sz w:val="20"/>
                <w:szCs w:val="20"/>
              </w:rPr>
            </w:pPr>
            <w:r w:rsidRPr="00DB426E">
              <w:rPr>
                <w:rFonts w:cs="Calibri"/>
                <w:sz w:val="20"/>
                <w:szCs w:val="20"/>
              </w:rPr>
              <w:t>33 530 014 LVL</w:t>
            </w:r>
          </w:p>
        </w:tc>
      </w:tr>
      <w:tr w:rsidR="000B4ED4" w:rsidRPr="00DB426E" w:rsidTr="000B4ED4">
        <w:trPr>
          <w:trHeight w:val="248"/>
          <w:jc w:val="center"/>
        </w:trPr>
        <w:tc>
          <w:tcPr>
            <w:tcW w:w="1309" w:type="pct"/>
            <w:vMerge w:val="restart"/>
            <w:shd w:val="clear" w:color="auto" w:fill="auto"/>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shd w:val="clear" w:color="auto" w:fill="auto"/>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shd w:val="clear" w:color="auto" w:fill="auto"/>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shd w:val="clear" w:color="auto" w:fill="auto"/>
          </w:tcPr>
          <w:p w:rsidR="000B4ED4" w:rsidRPr="00DB426E" w:rsidRDefault="000B4ED4" w:rsidP="000B4ED4">
            <w:pPr>
              <w:spacing w:after="60"/>
              <w:rPr>
                <w:rFonts w:cs="Calibri"/>
                <w:b/>
                <w:sz w:val="20"/>
                <w:szCs w:val="20"/>
              </w:rPr>
            </w:pPr>
          </w:p>
        </w:tc>
        <w:tc>
          <w:tcPr>
            <w:tcW w:w="1845" w:type="pct"/>
            <w:shd w:val="clear" w:color="auto" w:fill="auto"/>
          </w:tcPr>
          <w:p w:rsidR="000B4ED4" w:rsidRPr="00DB426E" w:rsidRDefault="000B4ED4" w:rsidP="000B4ED4">
            <w:pPr>
              <w:spacing w:after="60"/>
              <w:rPr>
                <w:rFonts w:cs="Calibri"/>
                <w:sz w:val="20"/>
                <w:szCs w:val="20"/>
              </w:rPr>
            </w:pPr>
            <w:r w:rsidRPr="00DB426E">
              <w:rPr>
                <w:rFonts w:cs="Calibri"/>
                <w:sz w:val="20"/>
                <w:szCs w:val="20"/>
              </w:rPr>
              <w:t>122</w:t>
            </w:r>
          </w:p>
        </w:tc>
        <w:tc>
          <w:tcPr>
            <w:tcW w:w="1846" w:type="pct"/>
            <w:shd w:val="clear" w:color="auto" w:fill="auto"/>
          </w:tcPr>
          <w:p w:rsidR="000B4ED4" w:rsidRPr="00DB426E" w:rsidRDefault="000B4ED4" w:rsidP="000B4ED4">
            <w:pPr>
              <w:spacing w:after="60"/>
              <w:rPr>
                <w:rFonts w:cs="Calibri"/>
                <w:sz w:val="20"/>
                <w:szCs w:val="20"/>
              </w:rPr>
            </w:pPr>
            <w:r w:rsidRPr="00DB426E">
              <w:rPr>
                <w:rFonts w:cs="Calibri"/>
                <w:sz w:val="20"/>
                <w:szCs w:val="20"/>
              </w:rPr>
              <w:t>25 790 269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highlight w:val="green"/>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highlight w:val="green"/>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Starptautiski atzītu publikāciju skaits: 835</w:t>
            </w:r>
          </w:p>
          <w:p w:rsidR="000B4ED4" w:rsidRPr="00DB426E" w:rsidRDefault="000B4ED4" w:rsidP="000B4ED4">
            <w:pPr>
              <w:spacing w:after="60"/>
              <w:rPr>
                <w:rFonts w:cs="Calibri"/>
                <w:sz w:val="20"/>
                <w:szCs w:val="20"/>
              </w:rPr>
            </w:pPr>
            <w:r w:rsidRPr="00DB426E">
              <w:rPr>
                <w:rFonts w:cs="Calibri"/>
                <w:sz w:val="20"/>
                <w:szCs w:val="20"/>
              </w:rPr>
              <w:t>Pieteikto starptautisko patentu skaits: 43</w:t>
            </w:r>
          </w:p>
        </w:tc>
        <w:tc>
          <w:tcPr>
            <w:tcW w:w="1846" w:type="pct"/>
          </w:tcPr>
          <w:p w:rsidR="000B4ED4" w:rsidRPr="00DB426E" w:rsidRDefault="000B4ED4" w:rsidP="000B4ED4">
            <w:pPr>
              <w:spacing w:after="60"/>
              <w:rPr>
                <w:rFonts w:cs="Calibri"/>
                <w:sz w:val="20"/>
                <w:szCs w:val="20"/>
              </w:rPr>
            </w:pPr>
            <w:r w:rsidRPr="00DB426E">
              <w:rPr>
                <w:rFonts w:cs="Calibri"/>
                <w:sz w:val="20"/>
                <w:szCs w:val="20"/>
              </w:rPr>
              <w:t>Starptautiski atzītu publikāciju skaits: 289</w:t>
            </w:r>
          </w:p>
          <w:p w:rsidR="000B4ED4" w:rsidRPr="00DB426E" w:rsidRDefault="000B4ED4" w:rsidP="000B4ED4">
            <w:pPr>
              <w:spacing w:after="60"/>
              <w:rPr>
                <w:rFonts w:cs="Calibri"/>
                <w:sz w:val="20"/>
                <w:szCs w:val="20"/>
              </w:rPr>
            </w:pPr>
            <w:r w:rsidRPr="00DB426E">
              <w:rPr>
                <w:rFonts w:cs="Calibri"/>
                <w:sz w:val="20"/>
                <w:szCs w:val="20"/>
              </w:rPr>
              <w:t>Pieteikto starptautisko patentu skaits: 24</w:t>
            </w:r>
          </w:p>
        </w:tc>
      </w:tr>
      <w:tr w:rsidR="000B4ED4" w:rsidRPr="00DB426E" w:rsidTr="000B4ED4">
        <w:trPr>
          <w:trHeight w:val="248"/>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p w:rsidR="000B4ED4" w:rsidRPr="00DB426E" w:rsidRDefault="000B4ED4" w:rsidP="000B4ED4">
            <w:pPr>
              <w:spacing w:after="60"/>
              <w:rPr>
                <w:rFonts w:cs="Calibri"/>
                <w:sz w:val="20"/>
                <w:szCs w:val="20"/>
              </w:rPr>
            </w:pPr>
            <w:r w:rsidRPr="00DB426E">
              <w:rPr>
                <w:rFonts w:cs="Calibri"/>
                <w:sz w:val="20"/>
                <w:szCs w:val="20"/>
              </w:rPr>
              <w:t>Atbalstīto pētniecības projektu skaits: 200</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p w:rsidR="000B4ED4" w:rsidRPr="00DB426E" w:rsidRDefault="000B4ED4" w:rsidP="000B4ED4">
            <w:pPr>
              <w:spacing w:after="60"/>
              <w:rPr>
                <w:rFonts w:cs="Calibri"/>
                <w:sz w:val="20"/>
                <w:szCs w:val="20"/>
              </w:rPr>
            </w:pPr>
            <w:r w:rsidRPr="00DB426E">
              <w:rPr>
                <w:rFonts w:cs="Calibri"/>
                <w:sz w:val="20"/>
                <w:szCs w:val="20"/>
              </w:rPr>
              <w:t>Atbalstīto pētniecības projektu skaits: 122</w:t>
            </w:r>
          </w:p>
        </w:tc>
      </w:tr>
    </w:tbl>
    <w:p w:rsidR="000B4ED4" w:rsidRPr="00DB426E" w:rsidRDefault="000B4ED4" w:rsidP="000B4ED4">
      <w:pPr>
        <w:spacing w:before="240"/>
      </w:pPr>
      <w:r w:rsidRPr="00DB426E">
        <w:t>Pieteikšanās procedūra atbalsta saņemšanai vērtējama kā sarežģīta; lai pieteiktos atbalstam, iesniedzama iepirkumu dokumentācija, sadarbības līgums, zvērināta revidenta atzinumi par izmaksām R&amp;D, ieņēmumiem no jauniem produktiem un tehnoloģijām un eksporta rādītājiem. Tāpat iesniedzams biznesa plāns, finanšu modelis, u. c. dokumenti.</w:t>
      </w:r>
    </w:p>
    <w:p w:rsidR="000B4ED4" w:rsidRPr="00DB426E" w:rsidRDefault="000B4ED4" w:rsidP="000B4ED4">
      <w:r w:rsidRPr="00DB426E">
        <w:t>Šī aktivitāte nekropļo tirgu. MVU komersantiem pieejamā atbalsta intensitāte ir lielāka nekā lielajiem komersantiem. Aktivitātē tiek atbalstītas gandrīz visas nozares. Minimālā un maksimālā projekta atbalsta grīda un griesti ir samērīgi. Turklāt aktivitāte neparedz tādus projekta rezultātus, kuri būtu uzreiz komercializējami.</w:t>
      </w:r>
    </w:p>
    <w:p w:rsidR="000B4ED4" w:rsidRPr="00DB426E" w:rsidRDefault="000B4ED4" w:rsidP="000B4ED4">
      <w:r w:rsidRPr="00DB426E">
        <w:t xml:space="preserve">Šai aktivitātei ir tieša ietekme uz privāto ieguldījumu veikšanu R&amp;D. Atbalsts tiek sniegts tikai eksperimentālajām izstrādnēm un rūpnieciskajiem pētījumiem, kā rezultātā tiek nodrošināti privātie ieguldījumi R&amp;D projektu īstenošanas laikā. Obligāts nosacījums ir zinātniskās institūcijas iesaiste projektā. Ja projektu īsteno komersants, tam jābūt veikušam ieguldījumus R&amp;D vismaz 2% apmērā no apgrozījuma. </w:t>
      </w:r>
    </w:p>
    <w:p w:rsidR="000B4ED4" w:rsidRPr="00DB426E" w:rsidRDefault="000B4ED4" w:rsidP="000B4ED4">
      <w:r w:rsidRPr="00DB426E">
        <w:t>Aktivitātes mērķis sakrīt ar sasniegtajiem rezultatīvajiem rādītājiem. Mērķim un rādītājiem ir ietekme uz R&amp;D</w:t>
      </w:r>
      <w:r>
        <w:t xml:space="preserve"> </w:t>
      </w:r>
      <w:r w:rsidRPr="00DB426E">
        <w:t>un</w:t>
      </w:r>
      <w:r>
        <w:t>,</w:t>
      </w:r>
      <w:r w:rsidRPr="00DB426E">
        <w:t xml:space="preserve"> tie veicina privāto ieguldījumu veikšanu R&amp;D. Neskatoties uz aktivitātes tiešo ietekmi uz R&amp;D, var būt grūtības ar plānoto rezultatīvo un ietekmes rādītāju sasniegšanu. Lai arī izmaksāti 77% no piešķirtā finansējuma, sasniegtais publikāciju skaits ir tikai 35% no plānotā, patentu skaits 56% no plānotā un pētniecības projektu skaits 61% no plānotajiem 200 projektiem.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
                <w:bCs/>
                <w:sz w:val="20"/>
                <w:szCs w:val="20"/>
              </w:rPr>
              <w:t>2.1.1.2. Atbalsts starptautiskās sadarbības projektiem zinātnē un tehnoloģijās (EUREKA, 7.IP un citi)</w:t>
            </w:r>
            <w:r w:rsidRPr="00DB426E">
              <w:rPr>
                <w:rStyle w:val="FootnoteReference"/>
                <w:b/>
                <w:bCs/>
                <w:sz w:val="20"/>
                <w:szCs w:val="20"/>
              </w:rPr>
              <w:footnoteReference w:id="22"/>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w:t>
            </w:r>
          </w:p>
          <w:p w:rsidR="000B4ED4" w:rsidRPr="00475128" w:rsidRDefault="000B4ED4" w:rsidP="000B4ED4">
            <w:pPr>
              <w:pStyle w:val="ListParagraph"/>
              <w:numPr>
                <w:ilvl w:val="0"/>
                <w:numId w:val="28"/>
              </w:numPr>
              <w:suppressAutoHyphens w:val="0"/>
              <w:spacing w:after="60"/>
              <w:rPr>
                <w:rFonts w:cs="Calibri"/>
                <w:sz w:val="20"/>
                <w:szCs w:val="20"/>
                <w:lang w:val="lv-LV"/>
              </w:rPr>
            </w:pPr>
            <w:r w:rsidRPr="00475128">
              <w:rPr>
                <w:rFonts w:cs="Calibri"/>
                <w:sz w:val="20"/>
                <w:szCs w:val="20"/>
                <w:lang w:val="lv-LV"/>
              </w:rPr>
              <w:t>nodrošināt zinātnisko institūciju kapacitātes attīstību, sekmēt projektu īste</w:t>
            </w:r>
            <w:r w:rsidRPr="00475128">
              <w:rPr>
                <w:rFonts w:cs="Calibri"/>
                <w:sz w:val="20"/>
                <w:szCs w:val="20"/>
                <w:lang w:val="lv-LV"/>
              </w:rPr>
              <w:softHyphen/>
              <w:t>nošanu, jaunu sadarbības projektu izstrādi un dalību tehnoloģiskajās platformās;</w:t>
            </w:r>
          </w:p>
          <w:p w:rsidR="000B4ED4" w:rsidRPr="00475128" w:rsidRDefault="000B4ED4" w:rsidP="000B4ED4">
            <w:pPr>
              <w:pStyle w:val="ListParagraph"/>
              <w:numPr>
                <w:ilvl w:val="0"/>
                <w:numId w:val="28"/>
              </w:numPr>
              <w:suppressAutoHyphens w:val="0"/>
              <w:spacing w:after="60"/>
              <w:rPr>
                <w:rFonts w:cs="Calibri"/>
                <w:sz w:val="20"/>
                <w:szCs w:val="20"/>
                <w:lang w:val="lv-LV"/>
              </w:rPr>
            </w:pPr>
            <w:r w:rsidRPr="00475128">
              <w:rPr>
                <w:rFonts w:cs="Calibri"/>
                <w:sz w:val="20"/>
                <w:szCs w:val="20"/>
                <w:lang w:val="lv-LV"/>
              </w:rPr>
              <w:t>nodrošināt zinātniskajām institūcijām iespēju piedalīties zinātniskos kongresos, kā arī valsts zinātniskajām institūcijām nodrošināt dalību starp</w:t>
            </w:r>
            <w:r w:rsidRPr="00475128">
              <w:rPr>
                <w:rFonts w:cs="Calibri"/>
                <w:sz w:val="20"/>
                <w:szCs w:val="20"/>
                <w:lang w:val="lv-LV"/>
              </w:rPr>
              <w:softHyphen/>
              <w:t>tautiskās izstādēs, gadatirgos, tādējādi veicinot Latvijas zinātnes atpazīstamību Eiropas Savienībā un pasaulē.</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Starptautiskās sadarbības projektu pieteikumu sagatavošanas izmaksas</w:t>
            </w:r>
          </w:p>
          <w:p w:rsidR="000B4ED4" w:rsidRPr="00DB426E" w:rsidRDefault="000B4ED4" w:rsidP="000B4ED4">
            <w:pPr>
              <w:spacing w:after="60"/>
              <w:rPr>
                <w:rFonts w:cs="Calibri"/>
                <w:sz w:val="20"/>
                <w:szCs w:val="20"/>
              </w:rPr>
            </w:pPr>
            <w:r w:rsidRPr="00DB426E">
              <w:rPr>
                <w:rFonts w:cs="Calibri"/>
                <w:sz w:val="20"/>
                <w:szCs w:val="20"/>
              </w:rPr>
              <w:t>Pētniecības rezultātu izplatīšanas izmaksas</w:t>
            </w:r>
          </w:p>
          <w:p w:rsidR="000B4ED4" w:rsidRPr="00DB426E" w:rsidRDefault="000B4ED4" w:rsidP="000B4ED4">
            <w:pPr>
              <w:spacing w:after="60"/>
              <w:rPr>
                <w:rFonts w:cs="Calibri"/>
                <w:sz w:val="20"/>
                <w:szCs w:val="20"/>
              </w:rPr>
            </w:pPr>
            <w:r w:rsidRPr="00DB426E">
              <w:rPr>
                <w:rFonts w:cs="Calibri"/>
                <w:sz w:val="20"/>
                <w:szCs w:val="20"/>
              </w:rPr>
              <w:t>Dalība starptautiskajos zinātnes pasākumos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Zinātniskā institūcija (t. sk. augstskola)</w:t>
            </w:r>
          </w:p>
          <w:p w:rsidR="000B4ED4" w:rsidRPr="00DB426E" w:rsidRDefault="000B4ED4" w:rsidP="000B4ED4">
            <w:pPr>
              <w:spacing w:after="60"/>
              <w:rPr>
                <w:rFonts w:cs="Calibri"/>
                <w:sz w:val="20"/>
                <w:szCs w:val="20"/>
              </w:rPr>
            </w:pPr>
            <w:r w:rsidRPr="00DB426E">
              <w:rPr>
                <w:rFonts w:cs="Calibri"/>
                <w:sz w:val="20"/>
                <w:szCs w:val="20"/>
              </w:rPr>
              <w:t>Valsts pārvaldes iestāde</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(pētniecības nozares, izglītība, valsts pārvalde)</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Projektu iespējams iesniegt partnerībā ar citām zinātniskajām institūcijām, valsts pārvaldes iestādēm un komersantiem.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Atbalstu piešķir tikai ar pētniecību un attīstību saistītām aktivitātēm.</w:t>
            </w:r>
          </w:p>
          <w:p w:rsidR="000B4ED4" w:rsidRPr="00DB426E" w:rsidRDefault="000B4ED4" w:rsidP="000B4ED4">
            <w:pPr>
              <w:spacing w:after="60"/>
              <w:rPr>
                <w:rFonts w:cs="Calibri"/>
                <w:sz w:val="20"/>
                <w:szCs w:val="20"/>
              </w:rPr>
            </w:pPr>
            <w:r w:rsidRPr="00DB426E">
              <w:rPr>
                <w:rFonts w:cs="Calibri"/>
                <w:sz w:val="20"/>
                <w:szCs w:val="20"/>
              </w:rPr>
              <w:t>Atbalstāmas ir tikai tās izmaksas, kas radušās, veicot pētniecības un attīstības aktivitātes.</w:t>
            </w:r>
          </w:p>
          <w:p w:rsidR="000B4ED4" w:rsidRPr="00DB426E" w:rsidRDefault="000B4ED4" w:rsidP="000B4ED4">
            <w:pPr>
              <w:spacing w:after="60"/>
              <w:rPr>
                <w:rFonts w:cs="Calibri"/>
                <w:sz w:val="20"/>
                <w:szCs w:val="20"/>
              </w:rPr>
            </w:pPr>
            <w:r w:rsidRPr="00DB426E">
              <w:rPr>
                <w:rFonts w:cs="Calibri"/>
                <w:sz w:val="20"/>
                <w:szCs w:val="20"/>
              </w:rPr>
              <w:t xml:space="preserve">Aktivitātes mērķauditorija ir zinātniskās institūcijas, zinātnē un pētniecībā nodarbinātais personāls un valsts pārvaldes iestādes. </w:t>
            </w:r>
          </w:p>
          <w:p w:rsidR="000B4ED4" w:rsidRPr="00DB426E" w:rsidRDefault="000B4ED4" w:rsidP="000B4ED4">
            <w:pPr>
              <w:spacing w:after="60"/>
              <w:rPr>
                <w:rFonts w:cs="Calibri"/>
                <w:sz w:val="20"/>
                <w:szCs w:val="20"/>
              </w:rPr>
            </w:pPr>
            <w:r w:rsidRPr="00DB426E">
              <w:rPr>
                <w:rFonts w:cs="Calibri"/>
                <w:sz w:val="20"/>
                <w:szCs w:val="20"/>
              </w:rPr>
              <w:t>Tomēr ietekme uz privāto investīciju veikšanu R&amp;D ir netieša, jo primārā mērķauditorija nav komersanti.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Projekta īstenošanas termiņš – 36 mēneši </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70 280 LVL</w:t>
            </w:r>
          </w:p>
        </w:tc>
        <w:tc>
          <w:tcPr>
            <w:tcW w:w="1846" w:type="pct"/>
          </w:tcPr>
          <w:p w:rsidR="000B4ED4" w:rsidRPr="00DB426E" w:rsidRDefault="000B4ED4" w:rsidP="000B4ED4">
            <w:pPr>
              <w:spacing w:after="60"/>
              <w:rPr>
                <w:rFonts w:cs="Calibri"/>
                <w:sz w:val="20"/>
                <w:szCs w:val="20"/>
              </w:rPr>
            </w:pPr>
            <w:r w:rsidRPr="00DB426E">
              <w:rPr>
                <w:rFonts w:cs="Calibri"/>
                <w:sz w:val="20"/>
                <w:szCs w:val="20"/>
              </w:rPr>
              <w:t>491 962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100%</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4 366 560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20</w:t>
            </w:r>
          </w:p>
        </w:tc>
        <w:tc>
          <w:tcPr>
            <w:tcW w:w="1846" w:type="pct"/>
          </w:tcPr>
          <w:p w:rsidR="000B4ED4" w:rsidRPr="00DB426E" w:rsidRDefault="000B4ED4" w:rsidP="000B4ED4">
            <w:pPr>
              <w:spacing w:after="60"/>
              <w:rPr>
                <w:rFonts w:cs="Calibri"/>
                <w:sz w:val="20"/>
                <w:szCs w:val="20"/>
              </w:rPr>
            </w:pPr>
            <w:r w:rsidRPr="00DB426E">
              <w:rPr>
                <w:rFonts w:cs="Calibri"/>
                <w:sz w:val="20"/>
                <w:szCs w:val="20"/>
              </w:rPr>
              <w:t>4 113 862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20</w:t>
            </w:r>
          </w:p>
        </w:tc>
        <w:tc>
          <w:tcPr>
            <w:tcW w:w="1846" w:type="pct"/>
          </w:tcPr>
          <w:p w:rsidR="000B4ED4" w:rsidRPr="00DB426E" w:rsidRDefault="000B4ED4" w:rsidP="000B4ED4">
            <w:pPr>
              <w:spacing w:after="60"/>
              <w:rPr>
                <w:rFonts w:cs="Calibri"/>
                <w:sz w:val="20"/>
                <w:szCs w:val="20"/>
              </w:rPr>
            </w:pPr>
            <w:r w:rsidRPr="00DB426E">
              <w:rPr>
                <w:rFonts w:cs="Calibri"/>
                <w:sz w:val="20"/>
                <w:szCs w:val="20"/>
              </w:rPr>
              <w:t>2 920 933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Starptautisko sadarbības projektu skaits: 30</w:t>
            </w:r>
          </w:p>
        </w:tc>
        <w:tc>
          <w:tcPr>
            <w:tcW w:w="1846" w:type="pct"/>
          </w:tcPr>
          <w:p w:rsidR="000B4ED4" w:rsidRPr="00DB426E" w:rsidRDefault="000B4ED4" w:rsidP="000B4ED4">
            <w:pPr>
              <w:spacing w:after="60"/>
              <w:rPr>
                <w:rFonts w:cs="Calibri"/>
                <w:sz w:val="20"/>
                <w:szCs w:val="20"/>
              </w:rPr>
            </w:pPr>
            <w:r w:rsidRPr="00DB426E">
              <w:rPr>
                <w:rFonts w:cs="Calibri"/>
                <w:sz w:val="20"/>
                <w:szCs w:val="20"/>
              </w:rPr>
              <w:t>Starptautisko sadarbības projektu skaits: 20</w:t>
            </w:r>
          </w:p>
        </w:tc>
      </w:tr>
    </w:tbl>
    <w:p w:rsidR="000B4ED4" w:rsidRPr="00DB426E" w:rsidRDefault="000B4ED4" w:rsidP="000B4ED4">
      <w:pPr>
        <w:spacing w:before="240"/>
      </w:pPr>
      <w:r w:rsidRPr="00DB426E">
        <w:t>Pieteikšanās procedūra atbalsta saņemšanai ir samērā vienkārša. Iesniedzamo dokumentu sarakstā ir pieteikuma veidlapa, Valsts ieņēmumu dienesta izziņa, apliecinājums par resursu pieejamību u. c. tamlīdzīgi dokumenti. Nav nepieciešams sniegt dokuments, kuru sagatavošana prasa būtiski laika vai naudas resursu ieguldījumu (piemēram, biznesa plāns).</w:t>
      </w:r>
    </w:p>
    <w:p w:rsidR="000B4ED4" w:rsidRPr="00DB426E" w:rsidRDefault="000B4ED4" w:rsidP="000B4ED4">
      <w:r w:rsidRPr="00DB426E">
        <w:t xml:space="preserve">Šī aktivitāte nekropļo tirgu. Projekta iesniedzējs ir zinātniskā institūcija vai valsts pārvaldes iestāde, un atbalstāmas ir tikai R&amp;D aktivitāšu izmaksas, kuras projekta īstenošanas laikā nav paredzēts komercializēt. </w:t>
      </w:r>
    </w:p>
    <w:p w:rsidR="000B4ED4" w:rsidRPr="00DB426E" w:rsidRDefault="000B4ED4" w:rsidP="000B4ED4">
      <w:r w:rsidRPr="00DB426E">
        <w:t>Šai aktivitātei ir netieša ietekme uz privāto ieguldījumu veikšanu R&amp;D. Atbalsts tiek sniegts tikai ar pētniecību un attīstību saistītajām aktivitātēm, t. sk. dalība zinātnes pasākumos, projektu pieteikumu sagatavošanas izmaksas, izmaksas pētījuma datu popularizēšanai. Tomēr aktivitāte nenosaka veicamo R&amp;D investīciju apjomu. Tāpat privātās investīcijas R&amp;D tiek veiktas tikai tad, ja projektu īsteno partnerībā ar komersantu. Šāda partnerība ir iespējama, bet nav obligāta. Aktivitātes mērķis sakrīt ar sasniegtajiem ietekmes rādītājiem. Mērķim un rādīt</w:t>
      </w:r>
      <w:r>
        <w:t xml:space="preserve">ājiem ir ietekme uz R&amp;D un, tie </w:t>
      </w:r>
      <w:r w:rsidRPr="00DB426E">
        <w:t>veicina privāto ieguldījumu veikšanu R&amp;D. Izmaksātais finansējuma apjoms un sasniegtie rādītāji ir samērojami un liecina, ka ar plānoto aktivitātes rezultatīvo rādītāju sasniegšanu problēmu nebūs.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
                <w:bCs/>
                <w:sz w:val="20"/>
                <w:szCs w:val="20"/>
              </w:rPr>
              <w:t>2.1.1.3.1. Zinātnes infrastruktūras attīstība</w:t>
            </w:r>
            <w:r w:rsidRPr="00DB426E">
              <w:rPr>
                <w:rStyle w:val="FootnoteReference"/>
                <w:b/>
                <w:bCs/>
                <w:sz w:val="20"/>
                <w:szCs w:val="20"/>
              </w:rPr>
              <w:footnoteReference w:id="23"/>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sz w:val="20"/>
                <w:szCs w:val="20"/>
              </w:rPr>
            </w:pPr>
            <w:r w:rsidRPr="00DB426E">
              <w:rPr>
                <w:sz w:val="20"/>
                <w:szCs w:val="20"/>
              </w:rPr>
              <w:t>Attīstīt pētniecības infrastruktūru, lai veicinātu komercdarbību pētniecības pakalpojumu sektorā un sekmētu zināšanu pārnesi tautsaimniecībā un augstākas eksportspējas produktu ražošanu.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Būvniecības izmaksas (rekonstrukcija, renovācija, jaunu ēku būvniecība)</w:t>
            </w:r>
          </w:p>
          <w:p w:rsidR="000B4ED4" w:rsidRPr="00DB426E" w:rsidRDefault="000B4ED4" w:rsidP="000B4ED4">
            <w:pPr>
              <w:spacing w:after="60"/>
              <w:rPr>
                <w:rFonts w:cs="Calibri"/>
                <w:sz w:val="20"/>
                <w:szCs w:val="20"/>
              </w:rPr>
            </w:pPr>
            <w:r w:rsidRPr="00DB426E">
              <w:rPr>
                <w:rFonts w:cs="Calibri"/>
                <w:sz w:val="20"/>
                <w:szCs w:val="20"/>
              </w:rPr>
              <w:t>Iekārtu iegādes izmaksas</w:t>
            </w:r>
          </w:p>
          <w:p w:rsidR="000B4ED4" w:rsidRPr="00DB426E" w:rsidRDefault="000B4ED4" w:rsidP="000B4ED4">
            <w:pPr>
              <w:spacing w:after="60"/>
              <w:rPr>
                <w:rFonts w:cs="Calibri"/>
                <w:sz w:val="20"/>
                <w:szCs w:val="20"/>
              </w:rPr>
            </w:pPr>
            <w:r w:rsidRPr="00DB426E">
              <w:rPr>
                <w:rFonts w:cs="Calibri"/>
                <w:sz w:val="20"/>
                <w:szCs w:val="20"/>
              </w:rPr>
              <w:t>Zinātnieku darba vietu aprīkojums (mēbeles, datortehnika)</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p w:rsidR="000B4ED4" w:rsidRPr="00DB426E" w:rsidRDefault="000B4ED4" w:rsidP="000B4ED4">
            <w:pPr>
              <w:spacing w:after="60"/>
              <w:rPr>
                <w:rFonts w:cs="Calibri"/>
                <w:sz w:val="20"/>
                <w:szCs w:val="20"/>
              </w:rPr>
            </w:pPr>
            <w:r w:rsidRPr="00DB426E">
              <w:rPr>
                <w:rFonts w:cs="Calibri"/>
                <w:sz w:val="20"/>
                <w:szCs w:val="20"/>
              </w:rPr>
              <w:t>Zinātniskā institūcija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p w:rsidR="000B4ED4" w:rsidRPr="00DB426E" w:rsidRDefault="000B4ED4" w:rsidP="000B4ED4">
            <w:pPr>
              <w:spacing w:after="60"/>
              <w:rPr>
                <w:rFonts w:cs="Calibri"/>
                <w:sz w:val="20"/>
                <w:szCs w:val="20"/>
              </w:rPr>
            </w:pPr>
            <w:r w:rsidRPr="00DB426E">
              <w:rPr>
                <w:rFonts w:cs="Calibri"/>
                <w:sz w:val="20"/>
                <w:szCs w:val="20"/>
              </w:rPr>
              <w:t>Lielais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Alus un alkoholisko dzērienu ražošana</w:t>
            </w:r>
          </w:p>
          <w:p w:rsidR="000B4ED4" w:rsidRPr="00DB426E" w:rsidRDefault="000B4ED4" w:rsidP="000B4ED4">
            <w:pPr>
              <w:spacing w:after="60"/>
              <w:rPr>
                <w:rFonts w:cs="Calibri"/>
                <w:sz w:val="20"/>
                <w:szCs w:val="20"/>
              </w:rPr>
            </w:pPr>
            <w:r w:rsidRPr="00DB426E">
              <w:rPr>
                <w:rFonts w:cs="Calibri"/>
                <w:sz w:val="20"/>
                <w:szCs w:val="20"/>
              </w:rPr>
              <w:t>Tabakas izstrādājumu ražošana</w:t>
            </w:r>
          </w:p>
          <w:p w:rsidR="000B4ED4" w:rsidRPr="00DB426E" w:rsidRDefault="000B4ED4" w:rsidP="000B4ED4">
            <w:pPr>
              <w:spacing w:after="60"/>
              <w:rPr>
                <w:rFonts w:cs="Calibri"/>
                <w:sz w:val="20"/>
                <w:szCs w:val="20"/>
              </w:rPr>
            </w:pPr>
            <w:r w:rsidRPr="00DB426E">
              <w:rPr>
                <w:rFonts w:cs="Calibri"/>
                <w:sz w:val="20"/>
                <w:szCs w:val="20"/>
              </w:rPr>
              <w:t>Tirdzniecība</w:t>
            </w:r>
          </w:p>
          <w:p w:rsidR="000B4ED4" w:rsidRPr="00DB426E" w:rsidRDefault="000B4ED4" w:rsidP="000B4ED4">
            <w:pPr>
              <w:spacing w:after="60"/>
              <w:rPr>
                <w:rFonts w:cs="Calibri"/>
                <w:sz w:val="20"/>
                <w:szCs w:val="20"/>
              </w:rPr>
            </w:pPr>
            <w:r w:rsidRPr="00DB426E">
              <w:rPr>
                <w:rFonts w:cs="Calibri"/>
                <w:sz w:val="20"/>
                <w:szCs w:val="20"/>
              </w:rPr>
              <w:t>Finanšu starpniecība</w:t>
            </w:r>
          </w:p>
          <w:p w:rsidR="000B4ED4" w:rsidRPr="00DB426E" w:rsidRDefault="000B4ED4" w:rsidP="000B4ED4">
            <w:pPr>
              <w:spacing w:after="60"/>
              <w:rPr>
                <w:rFonts w:cs="Calibri"/>
                <w:sz w:val="20"/>
                <w:szCs w:val="20"/>
              </w:rPr>
            </w:pPr>
            <w:r w:rsidRPr="00DB426E">
              <w:rPr>
                <w:rFonts w:cs="Calibri"/>
                <w:sz w:val="20"/>
                <w:szCs w:val="20"/>
              </w:rPr>
              <w:t>Azartspēles</w:t>
            </w:r>
          </w:p>
          <w:p w:rsidR="000B4ED4" w:rsidRPr="00DB426E" w:rsidRDefault="000B4ED4" w:rsidP="000B4ED4">
            <w:pPr>
              <w:spacing w:after="60"/>
              <w:rPr>
                <w:rFonts w:cs="Calibri"/>
                <w:sz w:val="20"/>
                <w:szCs w:val="20"/>
              </w:rPr>
            </w:pPr>
            <w:r w:rsidRPr="00DB426E">
              <w:rPr>
                <w:rFonts w:cs="Calibri"/>
                <w:sz w:val="20"/>
                <w:szCs w:val="20"/>
              </w:rPr>
              <w:t>Komercpakalpojumi</w:t>
            </w:r>
          </w:p>
          <w:p w:rsidR="000B4ED4" w:rsidRPr="00DB426E" w:rsidRDefault="000B4ED4" w:rsidP="000B4ED4">
            <w:pPr>
              <w:spacing w:after="60"/>
              <w:rPr>
                <w:rFonts w:cs="Calibri"/>
                <w:sz w:val="20"/>
                <w:szCs w:val="20"/>
              </w:rPr>
            </w:pPr>
            <w:r w:rsidRPr="00DB426E">
              <w:rPr>
                <w:rFonts w:cs="Calibri"/>
                <w:sz w:val="20"/>
                <w:szCs w:val="20"/>
              </w:rPr>
              <w:t>Ieroču un munīcijas ražošana</w:t>
            </w:r>
          </w:p>
          <w:p w:rsidR="000B4ED4" w:rsidRPr="00DB426E" w:rsidRDefault="000B4ED4" w:rsidP="000B4ED4">
            <w:pPr>
              <w:spacing w:after="60"/>
              <w:rPr>
                <w:rFonts w:cs="Calibri"/>
                <w:sz w:val="20"/>
                <w:szCs w:val="20"/>
              </w:rPr>
            </w:pPr>
            <w:r w:rsidRPr="00DB426E">
              <w:rPr>
                <w:rFonts w:cs="Calibri"/>
                <w:sz w:val="20"/>
                <w:szCs w:val="20"/>
              </w:rPr>
              <w:t>Lauksaimniecības produktu ražošana</w:t>
            </w:r>
          </w:p>
          <w:p w:rsidR="000B4ED4" w:rsidRPr="00DB426E" w:rsidRDefault="000B4ED4" w:rsidP="000B4ED4">
            <w:pPr>
              <w:spacing w:after="60"/>
              <w:rPr>
                <w:rFonts w:cs="Calibri"/>
                <w:sz w:val="20"/>
                <w:szCs w:val="20"/>
              </w:rPr>
            </w:pPr>
            <w:r w:rsidRPr="00DB426E">
              <w:rPr>
                <w:rFonts w:cs="Calibri"/>
                <w:sz w:val="20"/>
                <w:szCs w:val="20"/>
              </w:rPr>
              <w:t>Zivsaimniecība un akvakultūra</w:t>
            </w:r>
          </w:p>
          <w:p w:rsidR="000B4ED4" w:rsidRPr="00DB426E" w:rsidRDefault="000B4ED4" w:rsidP="000B4ED4">
            <w:pPr>
              <w:spacing w:after="60"/>
              <w:rPr>
                <w:rFonts w:cs="Calibri"/>
                <w:sz w:val="20"/>
                <w:szCs w:val="20"/>
              </w:rPr>
            </w:pPr>
            <w:r w:rsidRPr="00DB426E">
              <w:rPr>
                <w:rFonts w:cs="Calibri"/>
                <w:sz w:val="20"/>
                <w:szCs w:val="20"/>
              </w:rPr>
              <w:t>Tērauda rūpniecība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Aktivitāte tieši veicina ieguldījumus R&amp;D. </w:t>
            </w:r>
          </w:p>
          <w:p w:rsidR="000B4ED4" w:rsidRPr="00DB426E" w:rsidRDefault="000B4ED4" w:rsidP="000B4ED4">
            <w:pPr>
              <w:spacing w:after="60"/>
              <w:rPr>
                <w:rFonts w:cs="Calibri"/>
                <w:sz w:val="20"/>
                <w:szCs w:val="20"/>
              </w:rPr>
            </w:pPr>
            <w:r w:rsidRPr="00DB426E">
              <w:rPr>
                <w:rFonts w:cs="Calibri"/>
                <w:sz w:val="20"/>
                <w:szCs w:val="20"/>
              </w:rPr>
              <w:t>Aktivitāte atbalsta ar pētniecību saistītu iekārtu iegādi un būvniecību ar pētniecību un attīstību saistīto aktivitāšu vajadzībām.</w:t>
            </w:r>
          </w:p>
          <w:p w:rsidR="000B4ED4" w:rsidRPr="00DB426E" w:rsidRDefault="000B4ED4" w:rsidP="000B4ED4">
            <w:pPr>
              <w:spacing w:after="60"/>
              <w:rPr>
                <w:rFonts w:cs="Calibri"/>
                <w:sz w:val="20"/>
                <w:szCs w:val="20"/>
              </w:rPr>
            </w:pPr>
            <w:r w:rsidRPr="00DB426E">
              <w:rPr>
                <w:rFonts w:cs="Calibri"/>
                <w:sz w:val="20"/>
                <w:szCs w:val="20"/>
              </w:rPr>
              <w:t>Ja projekta iesniedzējs ir komersants, vienam no komersanta dibinātājiem un īpašniekiem ir jābūt zinātnisko institūciju reģistrā reģistrētai zinātniskajai institūcijai.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Projekta iesniedzējam ir apstiprināta intelektuālā īpašuma tiesību pārvaldības politika.</w:t>
            </w:r>
          </w:p>
          <w:p w:rsidR="000B4ED4" w:rsidRPr="00DB426E" w:rsidRDefault="000B4ED4" w:rsidP="000B4ED4">
            <w:pPr>
              <w:spacing w:after="60"/>
              <w:rPr>
                <w:rFonts w:cs="Calibri"/>
                <w:sz w:val="20"/>
                <w:szCs w:val="20"/>
              </w:rPr>
            </w:pPr>
            <w:r w:rsidRPr="00DB426E">
              <w:rPr>
                <w:rFonts w:cs="Calibri"/>
                <w:sz w:val="20"/>
                <w:szCs w:val="20"/>
              </w:rPr>
              <w:t>Ja projekta iesniedzējs ir komersants:</w:t>
            </w:r>
          </w:p>
          <w:p w:rsidR="000B4ED4" w:rsidRPr="00475128" w:rsidRDefault="000B4ED4" w:rsidP="000B4ED4">
            <w:pPr>
              <w:pStyle w:val="ListParagraph"/>
              <w:numPr>
                <w:ilvl w:val="0"/>
                <w:numId w:val="29"/>
              </w:numPr>
              <w:suppressAutoHyphens w:val="0"/>
              <w:spacing w:after="60" w:line="276" w:lineRule="auto"/>
              <w:rPr>
                <w:rFonts w:cs="Calibri"/>
                <w:sz w:val="20"/>
                <w:szCs w:val="20"/>
                <w:lang w:val="lv-LV"/>
              </w:rPr>
            </w:pPr>
            <w:r w:rsidRPr="00475128">
              <w:rPr>
                <w:rFonts w:cs="Calibri"/>
                <w:sz w:val="20"/>
                <w:szCs w:val="20"/>
                <w:lang w:val="lv-LV"/>
              </w:rPr>
              <w:t>vismaz viens no komersanta dibinātājiem ir zinātnisko institūciju reģistrā reģistrēta zinātniskā institūcija</w:t>
            </w:r>
          </w:p>
          <w:p w:rsidR="000B4ED4" w:rsidRPr="00475128" w:rsidRDefault="000B4ED4" w:rsidP="000B4ED4">
            <w:pPr>
              <w:pStyle w:val="ListParagraph"/>
              <w:numPr>
                <w:ilvl w:val="0"/>
                <w:numId w:val="29"/>
              </w:numPr>
              <w:suppressAutoHyphens w:val="0"/>
              <w:spacing w:after="60" w:line="276" w:lineRule="auto"/>
              <w:rPr>
                <w:rFonts w:cs="Calibri"/>
                <w:sz w:val="20"/>
                <w:szCs w:val="20"/>
                <w:lang w:val="lv-LV"/>
              </w:rPr>
            </w:pPr>
            <w:r w:rsidRPr="00475128">
              <w:rPr>
                <w:rFonts w:cs="Calibri"/>
                <w:sz w:val="20"/>
                <w:szCs w:val="20"/>
                <w:lang w:val="lv-LV"/>
              </w:rPr>
              <w:t>vienai vai vairākām zinātniskajām institūcijām kopā pieder ne mazāk kā 20 % no pamatkapitāla vai balsstiesībām</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1 500 000 LVL</w:t>
            </w:r>
          </w:p>
        </w:tc>
        <w:tc>
          <w:tcPr>
            <w:tcW w:w="1846" w:type="pct"/>
          </w:tcPr>
          <w:p w:rsidR="000B4ED4" w:rsidRPr="00DB426E" w:rsidRDefault="000B4ED4" w:rsidP="000B4ED4">
            <w:pPr>
              <w:spacing w:after="60"/>
              <w:rPr>
                <w:rFonts w:cs="Calibri"/>
                <w:sz w:val="20"/>
                <w:szCs w:val="20"/>
              </w:rPr>
            </w:pPr>
            <w:r w:rsidRPr="00DB426E">
              <w:rPr>
                <w:rFonts w:cs="Calibri"/>
                <w:sz w:val="20"/>
                <w:szCs w:val="20"/>
              </w:rPr>
              <w:t>8 500 000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70% - </w:t>
            </w:r>
            <w:proofErr w:type="spellStart"/>
            <w:r w:rsidRPr="00DB426E">
              <w:rPr>
                <w:rFonts w:cs="Calibri"/>
                <w:sz w:val="20"/>
                <w:szCs w:val="20"/>
              </w:rPr>
              <w:t>mikro</w:t>
            </w:r>
            <w:proofErr w:type="spellEnd"/>
            <w:r w:rsidRPr="00DB426E">
              <w:rPr>
                <w:rFonts w:cs="Calibri"/>
                <w:sz w:val="20"/>
                <w:szCs w:val="20"/>
              </w:rPr>
              <w:t xml:space="preserve"> un mazajiem komersantiem</w:t>
            </w:r>
          </w:p>
          <w:p w:rsidR="000B4ED4" w:rsidRPr="00DB426E" w:rsidRDefault="000B4ED4" w:rsidP="000B4ED4">
            <w:pPr>
              <w:spacing w:after="60"/>
              <w:rPr>
                <w:rFonts w:cs="Calibri"/>
                <w:sz w:val="20"/>
                <w:szCs w:val="20"/>
              </w:rPr>
            </w:pPr>
            <w:r w:rsidRPr="00DB426E">
              <w:rPr>
                <w:rFonts w:cs="Calibri"/>
                <w:sz w:val="20"/>
                <w:szCs w:val="20"/>
              </w:rPr>
              <w:t>60% - vidējiem komersantiem</w:t>
            </w:r>
          </w:p>
          <w:p w:rsidR="000B4ED4" w:rsidRPr="00DB426E" w:rsidRDefault="000B4ED4" w:rsidP="000B4ED4">
            <w:pPr>
              <w:spacing w:after="60"/>
              <w:rPr>
                <w:rFonts w:cs="Calibri"/>
                <w:sz w:val="20"/>
                <w:szCs w:val="20"/>
              </w:rPr>
            </w:pPr>
            <w:r w:rsidRPr="00DB426E">
              <w:rPr>
                <w:rFonts w:cs="Calibri"/>
                <w:sz w:val="20"/>
                <w:szCs w:val="20"/>
              </w:rPr>
              <w:t>50% - lielajiem komersantiem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187 056 834 LVL</w:t>
            </w:r>
          </w:p>
        </w:tc>
      </w:tr>
    </w:tbl>
    <w:p w:rsidR="000B4ED4" w:rsidRPr="00DB426E" w:rsidRDefault="000B4ED4" w:rsidP="000B4ED4">
      <w:pPr>
        <w:rPr>
          <w:b/>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20 (abās kārtās)</w:t>
            </w:r>
          </w:p>
        </w:tc>
        <w:tc>
          <w:tcPr>
            <w:tcW w:w="1846" w:type="pct"/>
          </w:tcPr>
          <w:p w:rsidR="000B4ED4" w:rsidRPr="00DB426E" w:rsidRDefault="000B4ED4" w:rsidP="000B4ED4">
            <w:pPr>
              <w:spacing w:after="60"/>
              <w:rPr>
                <w:rFonts w:cs="Calibri"/>
                <w:sz w:val="20"/>
                <w:szCs w:val="20"/>
              </w:rPr>
            </w:pPr>
            <w:r w:rsidRPr="00DB426E">
              <w:rPr>
                <w:rFonts w:cs="Calibri"/>
                <w:sz w:val="20"/>
                <w:szCs w:val="20"/>
              </w:rPr>
              <w:t>150 338 109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20 (abās kārtās)</w:t>
            </w:r>
          </w:p>
        </w:tc>
        <w:tc>
          <w:tcPr>
            <w:tcW w:w="1846" w:type="pct"/>
          </w:tcPr>
          <w:p w:rsidR="000B4ED4" w:rsidRPr="00DB426E" w:rsidRDefault="000B4ED4" w:rsidP="000B4ED4">
            <w:pPr>
              <w:spacing w:after="60"/>
              <w:rPr>
                <w:rFonts w:cs="Calibri"/>
                <w:sz w:val="20"/>
                <w:szCs w:val="20"/>
              </w:rPr>
            </w:pPr>
            <w:r w:rsidRPr="00DB426E">
              <w:rPr>
                <w:rFonts w:cs="Calibri"/>
                <w:sz w:val="20"/>
                <w:szCs w:val="20"/>
              </w:rPr>
              <w:t>27 272 331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Modernizētu zinātnisko institūciju skaits: 35</w:t>
            </w:r>
          </w:p>
        </w:tc>
        <w:tc>
          <w:tcPr>
            <w:tcW w:w="1846" w:type="pct"/>
          </w:tcPr>
          <w:p w:rsidR="000B4ED4" w:rsidRPr="00DB426E" w:rsidRDefault="000B4ED4" w:rsidP="000B4ED4">
            <w:pPr>
              <w:spacing w:after="60"/>
              <w:rPr>
                <w:rFonts w:cs="Calibri"/>
                <w:sz w:val="20"/>
                <w:szCs w:val="20"/>
              </w:rPr>
            </w:pPr>
            <w:r w:rsidRPr="00DB426E">
              <w:rPr>
                <w:rFonts w:cs="Calibri"/>
                <w:sz w:val="20"/>
                <w:szCs w:val="20"/>
              </w:rPr>
              <w:t>Modernizētu zinātnisko institūciju skaits: 0</w:t>
            </w:r>
          </w:p>
        </w:tc>
      </w:tr>
    </w:tbl>
    <w:p w:rsidR="000B4ED4" w:rsidRPr="00DB426E" w:rsidRDefault="000B4ED4" w:rsidP="000B4ED4">
      <w:pPr>
        <w:spacing w:before="240"/>
      </w:pPr>
      <w:r w:rsidRPr="00DB426E">
        <w:t>Aktivitātei 2.1.1.3.1. „Zinātnes infrastruktūras attīstība” ir tieša ietekme uz privāto investīciju veikšanu R&amp;D. Aktivitātē varēja piedalīties zinātniskās institūcijas, kā arī komersanti, kuru vienam no dibinātājiem un daļu īpašniekiem bija jābūt zinātniskajai institūcijai. Atbalsts tika piešķirts tikai zinātnes infrastruktūras attīstībai. Aktivitātes mērķis sakrīt ar plānotajiem ietekmes rādītājiem. Mērķim un rādītājiem ir tieša ietekme uz R&amp;D, un tie veicina privāto ieguldījumu veikšanu R&amp;D.</w:t>
      </w:r>
    </w:p>
    <w:p w:rsidR="000B4ED4" w:rsidRPr="00DB426E" w:rsidRDefault="000B4ED4" w:rsidP="000B4ED4">
      <w:r w:rsidRPr="00DB426E">
        <w:t>Pieteikšanās procedūra ir vērtējama kā sarežģīta: lai konkursā varētu kvalificēties komersants, vairumā gadījumu tas nozīmēja jauna komersanta dibināšanu. Tāpat kopā ar projekta pieteikumu bija jāiesniedz zvērinātu revidentu atzinums par katra iesaistītā komersanta izdevumiem R&amp;D un ieņēmumiem no R&amp;D aktivitātēm. Iesniedzamo dokumentu sarakstā bija arī biznesa plāns, finanšu un investīciju plāns, plānošanas un arhitektūras uzdevums, u. c. dokumenti.</w:t>
      </w:r>
    </w:p>
    <w:p w:rsidR="000B4ED4" w:rsidRPr="00DB426E" w:rsidRDefault="000B4ED4" w:rsidP="000B4ED4">
      <w:r w:rsidRPr="00DB426E">
        <w:t xml:space="preserve">Izvērtējot atbalsta saņemšanas nosacījumus, nav pamata uzskatīt, ka šāds pasākums varētu ierobežot konkurenci. Atbalsts tika sniegts zinātnes infrastruktūras attīstībai, kas tieši neietekmē komersantu ražošanas izmaksas. Atbalsta intensitāte bija apgriezti proporcionāla komersanta lielumam.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
                <w:bCs/>
                <w:sz w:val="20"/>
                <w:szCs w:val="20"/>
              </w:rPr>
              <w:t>2.1.2.1.1. Kompetences centri</w:t>
            </w:r>
            <w:r w:rsidRPr="00DB426E">
              <w:rPr>
                <w:rStyle w:val="FootnoteReference"/>
                <w:b/>
                <w:bCs/>
                <w:sz w:val="20"/>
                <w:szCs w:val="20"/>
              </w:rPr>
              <w:footnoteReference w:id="24"/>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komersantu konkurētspējas paaugstināšana, veicinot pētniecības un rūpniecības sektoru sadarbību rūpniecisko pētījumu, jaunu produktu un tehnoloģiju attīstības projektu īstenošanā.</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Rūpnieciskie pētījumi</w:t>
            </w:r>
          </w:p>
          <w:p w:rsidR="000B4ED4" w:rsidRPr="00DB426E" w:rsidRDefault="000B4ED4" w:rsidP="000B4ED4">
            <w:pPr>
              <w:spacing w:after="60"/>
              <w:rPr>
                <w:rFonts w:cs="Calibri"/>
                <w:sz w:val="20"/>
                <w:szCs w:val="20"/>
              </w:rPr>
            </w:pPr>
            <w:r w:rsidRPr="00DB426E">
              <w:rPr>
                <w:rFonts w:cs="Calibri"/>
                <w:sz w:val="20"/>
                <w:szCs w:val="20"/>
              </w:rPr>
              <w:t>Eksperimentālās izstrādnes</w:t>
            </w:r>
          </w:p>
          <w:p w:rsidR="000B4ED4" w:rsidRPr="00DB426E" w:rsidRDefault="000B4ED4" w:rsidP="000B4ED4">
            <w:pPr>
              <w:spacing w:after="60"/>
              <w:rPr>
                <w:rFonts w:cs="Calibri"/>
                <w:sz w:val="20"/>
                <w:szCs w:val="20"/>
              </w:rPr>
            </w:pPr>
            <w:r w:rsidRPr="00DB426E">
              <w:rPr>
                <w:rFonts w:cs="Calibri"/>
                <w:sz w:val="20"/>
                <w:szCs w:val="20"/>
              </w:rPr>
              <w:t>Projektu vadības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p w:rsidR="000B4ED4" w:rsidRPr="00DB426E" w:rsidRDefault="000B4ED4" w:rsidP="000B4ED4">
            <w:pPr>
              <w:spacing w:after="60"/>
              <w:rPr>
                <w:rFonts w:cs="Calibri"/>
                <w:sz w:val="20"/>
                <w:szCs w:val="20"/>
              </w:rPr>
            </w:pPr>
            <w:r w:rsidRPr="00DB426E">
              <w:rPr>
                <w:rFonts w:cs="Calibri"/>
                <w:sz w:val="20"/>
                <w:szCs w:val="20"/>
              </w:rPr>
              <w:t>Lielais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Vairumtirdzniecība un mazumtirdzniecība;</w:t>
            </w:r>
          </w:p>
          <w:p w:rsidR="000B4ED4" w:rsidRPr="00DB426E" w:rsidRDefault="000B4ED4" w:rsidP="000B4ED4">
            <w:pPr>
              <w:spacing w:after="60"/>
              <w:rPr>
                <w:rFonts w:cs="Calibri"/>
                <w:sz w:val="20"/>
                <w:szCs w:val="20"/>
              </w:rPr>
            </w:pPr>
            <w:r w:rsidRPr="00DB426E">
              <w:rPr>
                <w:rFonts w:cs="Calibri"/>
                <w:sz w:val="20"/>
                <w:szCs w:val="20"/>
              </w:rPr>
              <w:t>Finanšu starpniecība;</w:t>
            </w:r>
          </w:p>
          <w:p w:rsidR="000B4ED4" w:rsidRPr="00DB426E" w:rsidRDefault="000B4ED4" w:rsidP="000B4ED4">
            <w:pPr>
              <w:spacing w:after="60"/>
              <w:rPr>
                <w:rFonts w:cs="Calibri"/>
                <w:sz w:val="20"/>
                <w:szCs w:val="20"/>
              </w:rPr>
            </w:pPr>
            <w:r w:rsidRPr="00DB426E">
              <w:rPr>
                <w:rFonts w:cs="Calibri"/>
                <w:sz w:val="20"/>
                <w:szCs w:val="20"/>
              </w:rPr>
              <w:t>Komercpakalpojumi;</w:t>
            </w:r>
          </w:p>
          <w:p w:rsidR="000B4ED4" w:rsidRPr="00DB426E" w:rsidRDefault="000B4ED4" w:rsidP="000B4ED4">
            <w:pPr>
              <w:spacing w:after="60"/>
              <w:rPr>
                <w:rFonts w:cs="Calibri"/>
                <w:sz w:val="20"/>
                <w:szCs w:val="20"/>
              </w:rPr>
            </w:pPr>
            <w:r w:rsidRPr="00DB426E">
              <w:rPr>
                <w:rFonts w:cs="Calibri"/>
                <w:sz w:val="20"/>
                <w:szCs w:val="20"/>
              </w:rPr>
              <w:t>Azartspēles un derības;</w:t>
            </w:r>
          </w:p>
          <w:p w:rsidR="000B4ED4" w:rsidRPr="00DB426E" w:rsidRDefault="000B4ED4" w:rsidP="000B4ED4">
            <w:pPr>
              <w:spacing w:after="60"/>
              <w:rPr>
                <w:rFonts w:cs="Calibri"/>
                <w:sz w:val="20"/>
                <w:szCs w:val="20"/>
              </w:rPr>
            </w:pPr>
            <w:r w:rsidRPr="00DB426E">
              <w:rPr>
                <w:rFonts w:cs="Calibri"/>
                <w:sz w:val="20"/>
                <w:szCs w:val="20"/>
              </w:rPr>
              <w:t>Alus un alkoholisko dzērienu ražošana</w:t>
            </w:r>
          </w:p>
          <w:p w:rsidR="000B4ED4" w:rsidRPr="00DB426E" w:rsidRDefault="000B4ED4" w:rsidP="000B4ED4">
            <w:pPr>
              <w:spacing w:after="60"/>
              <w:rPr>
                <w:rFonts w:cs="Calibri"/>
                <w:sz w:val="20"/>
                <w:szCs w:val="20"/>
              </w:rPr>
            </w:pPr>
            <w:r w:rsidRPr="00DB426E">
              <w:rPr>
                <w:rFonts w:cs="Calibri"/>
                <w:sz w:val="20"/>
                <w:szCs w:val="20"/>
              </w:rPr>
              <w:t>Tabakas izstrādājumu ražošana;</w:t>
            </w:r>
          </w:p>
          <w:p w:rsidR="000B4ED4" w:rsidRPr="00DB426E" w:rsidRDefault="000B4ED4" w:rsidP="000B4ED4">
            <w:pPr>
              <w:spacing w:after="60"/>
              <w:rPr>
                <w:rFonts w:cs="Calibri"/>
                <w:sz w:val="20"/>
                <w:szCs w:val="20"/>
              </w:rPr>
            </w:pPr>
            <w:r w:rsidRPr="00DB426E">
              <w:rPr>
                <w:rFonts w:cs="Calibri"/>
                <w:sz w:val="20"/>
                <w:szCs w:val="20"/>
              </w:rPr>
              <w:t>Zivsaimniecība un akvakultūra;</w:t>
            </w:r>
          </w:p>
          <w:p w:rsidR="000B4ED4" w:rsidRPr="00DB426E" w:rsidRDefault="000B4ED4" w:rsidP="000B4ED4">
            <w:pPr>
              <w:spacing w:after="60"/>
              <w:rPr>
                <w:rFonts w:cs="Calibri"/>
                <w:sz w:val="20"/>
                <w:szCs w:val="20"/>
              </w:rPr>
            </w:pPr>
            <w:r w:rsidRPr="00DB426E">
              <w:rPr>
                <w:rFonts w:cs="Calibri"/>
                <w:sz w:val="20"/>
                <w:szCs w:val="20"/>
              </w:rPr>
              <w:t>Kuģu būve;</w:t>
            </w:r>
          </w:p>
          <w:p w:rsidR="000B4ED4" w:rsidRPr="00DB426E" w:rsidRDefault="000B4ED4" w:rsidP="000B4ED4">
            <w:pPr>
              <w:spacing w:after="60"/>
              <w:rPr>
                <w:rFonts w:cs="Calibri"/>
                <w:sz w:val="20"/>
                <w:szCs w:val="20"/>
              </w:rPr>
            </w:pPr>
            <w:r w:rsidRPr="00DB426E">
              <w:rPr>
                <w:rFonts w:cs="Calibri"/>
                <w:sz w:val="20"/>
                <w:szCs w:val="20"/>
              </w:rPr>
              <w:t>Ogļu rūpniecība;</w:t>
            </w:r>
          </w:p>
          <w:p w:rsidR="000B4ED4" w:rsidRPr="00DB426E" w:rsidRDefault="000B4ED4" w:rsidP="000B4ED4">
            <w:pPr>
              <w:spacing w:after="60"/>
              <w:rPr>
                <w:rFonts w:cs="Calibri"/>
                <w:sz w:val="20"/>
                <w:szCs w:val="20"/>
              </w:rPr>
            </w:pPr>
            <w:r w:rsidRPr="00DB426E">
              <w:rPr>
                <w:rFonts w:cs="Calibri"/>
                <w:sz w:val="20"/>
                <w:szCs w:val="20"/>
              </w:rPr>
              <w:t>Tērauda nozare;</w:t>
            </w:r>
          </w:p>
          <w:p w:rsidR="000B4ED4" w:rsidRPr="00DB426E" w:rsidRDefault="000B4ED4" w:rsidP="000B4ED4">
            <w:pPr>
              <w:spacing w:after="60"/>
              <w:rPr>
                <w:rFonts w:cs="Calibri"/>
                <w:sz w:val="20"/>
                <w:szCs w:val="20"/>
              </w:rPr>
            </w:pPr>
            <w:r w:rsidRPr="00DB426E">
              <w:rPr>
                <w:rFonts w:cs="Calibri"/>
                <w:sz w:val="20"/>
                <w:szCs w:val="20"/>
              </w:rPr>
              <w:t>Sintētisko šķiedru ražošanas nozare;</w:t>
            </w:r>
          </w:p>
          <w:p w:rsidR="000B4ED4" w:rsidRPr="00DB426E" w:rsidRDefault="000B4ED4" w:rsidP="000B4ED4">
            <w:pPr>
              <w:spacing w:after="60"/>
              <w:rPr>
                <w:rFonts w:cs="Calibri"/>
                <w:sz w:val="20"/>
                <w:szCs w:val="20"/>
              </w:rPr>
            </w:pPr>
            <w:r w:rsidRPr="00DB426E">
              <w:rPr>
                <w:rFonts w:cs="Calibri"/>
                <w:sz w:val="20"/>
                <w:szCs w:val="20"/>
              </w:rPr>
              <w:t>Lauksaimniecības produktu primārā ražošana;</w:t>
            </w:r>
          </w:p>
          <w:p w:rsidR="000B4ED4" w:rsidRPr="00DB426E" w:rsidRDefault="000B4ED4" w:rsidP="000B4ED4">
            <w:pPr>
              <w:spacing w:after="60"/>
              <w:rPr>
                <w:rFonts w:cs="Calibri"/>
                <w:sz w:val="20"/>
                <w:szCs w:val="20"/>
              </w:rPr>
            </w:pPr>
            <w:r w:rsidRPr="00DB426E">
              <w:rPr>
                <w:rFonts w:cs="Calibri"/>
                <w:sz w:val="20"/>
                <w:szCs w:val="20"/>
              </w:rPr>
              <w:t>Elektroenerģija, gāzes apgāde, siltumapgāde un gaisa kondicionēšana;</w:t>
            </w:r>
          </w:p>
          <w:p w:rsidR="000B4ED4" w:rsidRPr="00DB426E" w:rsidRDefault="000B4ED4" w:rsidP="000B4ED4">
            <w:pPr>
              <w:spacing w:after="60"/>
              <w:rPr>
                <w:rFonts w:cs="Calibri"/>
                <w:sz w:val="20"/>
                <w:szCs w:val="20"/>
              </w:rPr>
            </w:pPr>
            <w:r w:rsidRPr="00DB426E">
              <w:rPr>
                <w:rFonts w:cs="Calibri"/>
                <w:sz w:val="20"/>
                <w:szCs w:val="20"/>
              </w:rPr>
              <w:t>Ieroču un munīcijas ražošana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Projekts īstenojams sadarbībā ar citiem komersantiem un zinātniskajām institūcijām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tieši saistīts ar privāto ieguldījumu veikšanu R&amp;D, un atbalstāmās aktivitātes ir saistītas ar pētniecību un attīstību. Kompetences centros piedalās zinātniskās institūcijas (zinātniskais sadarbības partneris).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Kompetences centrs – juridiska persona, kuras kapitāla daļu turētāji ir vismaz viens zinātniskais sadarbības partneris un vismaz trīs savstarpēji nesaistīti nozares sadarbības partneri</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6 250 000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Rūpnieciskā pētījuma veikšanai:</w:t>
            </w:r>
          </w:p>
          <w:p w:rsidR="000B4ED4" w:rsidRPr="00DB426E" w:rsidRDefault="000B4ED4" w:rsidP="000B4ED4">
            <w:pPr>
              <w:spacing w:after="60"/>
              <w:rPr>
                <w:rFonts w:cs="Calibri"/>
                <w:sz w:val="20"/>
                <w:szCs w:val="20"/>
              </w:rPr>
            </w:pPr>
            <w:r w:rsidRPr="00DB426E">
              <w:rPr>
                <w:rFonts w:cs="Calibri"/>
                <w:sz w:val="20"/>
                <w:szCs w:val="20"/>
              </w:rPr>
              <w:t xml:space="preserve">70% - </w:t>
            </w:r>
            <w:proofErr w:type="spellStart"/>
            <w:r w:rsidRPr="00DB426E">
              <w:rPr>
                <w:rFonts w:cs="Calibri"/>
                <w:sz w:val="20"/>
                <w:szCs w:val="20"/>
              </w:rPr>
              <w:t>mikro</w:t>
            </w:r>
            <w:proofErr w:type="spellEnd"/>
            <w:r w:rsidRPr="00DB426E">
              <w:rPr>
                <w:rFonts w:cs="Calibri"/>
                <w:sz w:val="20"/>
                <w:szCs w:val="20"/>
              </w:rPr>
              <w:t xml:space="preserve"> un mazajam komersantam</w:t>
            </w:r>
          </w:p>
          <w:p w:rsidR="000B4ED4" w:rsidRPr="00DB426E" w:rsidRDefault="000B4ED4" w:rsidP="000B4ED4">
            <w:pPr>
              <w:spacing w:after="60"/>
              <w:rPr>
                <w:rFonts w:cs="Calibri"/>
                <w:sz w:val="20"/>
                <w:szCs w:val="20"/>
              </w:rPr>
            </w:pPr>
            <w:r w:rsidRPr="00DB426E">
              <w:rPr>
                <w:rFonts w:cs="Calibri"/>
                <w:sz w:val="20"/>
                <w:szCs w:val="20"/>
              </w:rPr>
              <w:t>60% - vidējam komersantam</w:t>
            </w:r>
          </w:p>
          <w:p w:rsidR="000B4ED4" w:rsidRPr="00DB426E" w:rsidRDefault="000B4ED4" w:rsidP="000B4ED4">
            <w:pPr>
              <w:spacing w:after="60"/>
              <w:rPr>
                <w:rFonts w:cs="Calibri"/>
                <w:sz w:val="20"/>
                <w:szCs w:val="20"/>
              </w:rPr>
            </w:pPr>
            <w:r w:rsidRPr="00DB426E">
              <w:rPr>
                <w:rFonts w:cs="Calibri"/>
                <w:sz w:val="20"/>
                <w:szCs w:val="20"/>
              </w:rPr>
              <w:t>50% - lielajam komersantam</w:t>
            </w:r>
          </w:p>
          <w:p w:rsidR="000B4ED4" w:rsidRPr="00DB426E" w:rsidRDefault="000B4ED4" w:rsidP="000B4ED4">
            <w:pPr>
              <w:spacing w:after="60"/>
              <w:rPr>
                <w:rFonts w:cs="Calibri"/>
                <w:sz w:val="20"/>
                <w:szCs w:val="20"/>
              </w:rPr>
            </w:pPr>
            <w:r w:rsidRPr="00DB426E">
              <w:rPr>
                <w:rFonts w:cs="Calibri"/>
                <w:sz w:val="20"/>
                <w:szCs w:val="20"/>
              </w:rPr>
              <w:t>Eksperimentālajai izstrādnei:</w:t>
            </w:r>
          </w:p>
          <w:p w:rsidR="000B4ED4" w:rsidRPr="00DB426E" w:rsidRDefault="000B4ED4" w:rsidP="000B4ED4">
            <w:pPr>
              <w:spacing w:after="60"/>
              <w:rPr>
                <w:rFonts w:cs="Calibri"/>
                <w:sz w:val="20"/>
                <w:szCs w:val="20"/>
              </w:rPr>
            </w:pPr>
            <w:r w:rsidRPr="00DB426E">
              <w:rPr>
                <w:rFonts w:cs="Calibri"/>
                <w:sz w:val="20"/>
                <w:szCs w:val="20"/>
              </w:rPr>
              <w:t xml:space="preserve">45% - </w:t>
            </w:r>
            <w:proofErr w:type="spellStart"/>
            <w:r w:rsidRPr="00DB426E">
              <w:rPr>
                <w:rFonts w:cs="Calibri"/>
                <w:sz w:val="20"/>
                <w:szCs w:val="20"/>
              </w:rPr>
              <w:t>mikro</w:t>
            </w:r>
            <w:proofErr w:type="spellEnd"/>
            <w:r w:rsidRPr="00DB426E">
              <w:rPr>
                <w:rFonts w:cs="Calibri"/>
                <w:sz w:val="20"/>
                <w:szCs w:val="20"/>
              </w:rPr>
              <w:t xml:space="preserve"> un mazajam komersantam</w:t>
            </w:r>
          </w:p>
          <w:p w:rsidR="000B4ED4" w:rsidRPr="00DB426E" w:rsidRDefault="000B4ED4" w:rsidP="000B4ED4">
            <w:pPr>
              <w:spacing w:after="60"/>
              <w:rPr>
                <w:rFonts w:cs="Calibri"/>
                <w:sz w:val="20"/>
                <w:szCs w:val="20"/>
              </w:rPr>
            </w:pPr>
            <w:r w:rsidRPr="00DB426E">
              <w:rPr>
                <w:rFonts w:cs="Calibri"/>
                <w:sz w:val="20"/>
                <w:szCs w:val="20"/>
              </w:rPr>
              <w:t>35% - vidējam komersantam</w:t>
            </w:r>
          </w:p>
          <w:p w:rsidR="000B4ED4" w:rsidRPr="00DB426E" w:rsidRDefault="000B4ED4" w:rsidP="000B4ED4">
            <w:pPr>
              <w:spacing w:after="60"/>
              <w:rPr>
                <w:rFonts w:cs="Calibri"/>
                <w:sz w:val="20"/>
                <w:szCs w:val="20"/>
              </w:rPr>
            </w:pPr>
            <w:r w:rsidRPr="00DB426E">
              <w:rPr>
                <w:rFonts w:cs="Calibri"/>
                <w:sz w:val="20"/>
                <w:szCs w:val="20"/>
              </w:rPr>
              <w:t>25% - lielajam komersantam</w:t>
            </w:r>
          </w:p>
          <w:p w:rsidR="000B4ED4" w:rsidRPr="00DB426E" w:rsidRDefault="000B4ED4" w:rsidP="000B4ED4">
            <w:pPr>
              <w:spacing w:after="60"/>
              <w:rPr>
                <w:rFonts w:cs="Calibri"/>
                <w:sz w:val="20"/>
                <w:szCs w:val="20"/>
              </w:rPr>
            </w:pPr>
            <w:r w:rsidRPr="00DB426E">
              <w:rPr>
                <w:rFonts w:cs="Calibri"/>
                <w:sz w:val="20"/>
                <w:szCs w:val="20"/>
              </w:rPr>
              <w:t>Projekta vadības izmaksām – 50% (visiem komersantiem)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37 373 845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6</w:t>
            </w:r>
          </w:p>
        </w:tc>
        <w:tc>
          <w:tcPr>
            <w:tcW w:w="1846" w:type="pct"/>
          </w:tcPr>
          <w:p w:rsidR="000B4ED4" w:rsidRPr="00DB426E" w:rsidRDefault="000B4ED4" w:rsidP="000B4ED4">
            <w:pPr>
              <w:spacing w:after="60"/>
              <w:rPr>
                <w:rFonts w:cs="Calibri"/>
                <w:sz w:val="20"/>
                <w:szCs w:val="20"/>
              </w:rPr>
            </w:pPr>
            <w:r w:rsidRPr="00DB426E">
              <w:rPr>
                <w:rFonts w:cs="Calibri"/>
                <w:sz w:val="20"/>
                <w:szCs w:val="20"/>
              </w:rPr>
              <w:t>37 373 553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6</w:t>
            </w:r>
          </w:p>
        </w:tc>
        <w:tc>
          <w:tcPr>
            <w:tcW w:w="1846" w:type="pct"/>
          </w:tcPr>
          <w:p w:rsidR="000B4ED4" w:rsidRPr="00DB426E" w:rsidRDefault="000B4ED4" w:rsidP="000B4ED4">
            <w:pPr>
              <w:spacing w:after="60"/>
              <w:rPr>
                <w:rFonts w:cs="Calibri"/>
                <w:sz w:val="20"/>
                <w:szCs w:val="20"/>
              </w:rPr>
            </w:pPr>
            <w:r w:rsidRPr="00DB426E">
              <w:rPr>
                <w:rFonts w:cs="Calibri"/>
                <w:sz w:val="20"/>
                <w:szCs w:val="20"/>
              </w:rPr>
              <w:t>11 559 893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Borders>
              <w:bottom w:val="single" w:sz="4" w:space="0" w:color="auto"/>
            </w:tcBorders>
          </w:tcPr>
          <w:p w:rsidR="000B4ED4" w:rsidRPr="00DB426E" w:rsidRDefault="000B4ED4" w:rsidP="000B4ED4">
            <w:pPr>
              <w:spacing w:after="60"/>
              <w:rPr>
                <w:rFonts w:cs="Calibri"/>
                <w:b/>
                <w:sz w:val="20"/>
                <w:szCs w:val="20"/>
              </w:rPr>
            </w:pPr>
          </w:p>
        </w:tc>
        <w:tc>
          <w:tcPr>
            <w:tcW w:w="1845" w:type="pct"/>
            <w:tcBorders>
              <w:bottom w:val="single" w:sz="4" w:space="0" w:color="auto"/>
            </w:tcBorders>
          </w:tcPr>
          <w:p w:rsidR="000B4ED4" w:rsidRPr="00475128" w:rsidRDefault="000B4ED4" w:rsidP="000B4ED4">
            <w:pPr>
              <w:pStyle w:val="ListParagraph"/>
              <w:numPr>
                <w:ilvl w:val="0"/>
                <w:numId w:val="91"/>
              </w:numPr>
              <w:suppressAutoHyphens w:val="0"/>
              <w:spacing w:after="60" w:line="276" w:lineRule="auto"/>
              <w:rPr>
                <w:rFonts w:cs="Calibri"/>
                <w:sz w:val="20"/>
                <w:szCs w:val="20"/>
                <w:lang w:val="lv-LV"/>
              </w:rPr>
            </w:pPr>
            <w:r w:rsidRPr="00475128">
              <w:rPr>
                <w:rFonts w:cs="Calibri"/>
                <w:sz w:val="20"/>
                <w:szCs w:val="20"/>
                <w:lang w:val="lv-LV"/>
              </w:rPr>
              <w:t>Piesaistītais privātā sektora finansējums R&amp;D: 23 408 000 EUR</w:t>
            </w:r>
          </w:p>
          <w:p w:rsidR="000B4ED4" w:rsidRPr="00475128" w:rsidRDefault="000B4ED4" w:rsidP="000B4ED4">
            <w:pPr>
              <w:pStyle w:val="ListParagraph"/>
              <w:numPr>
                <w:ilvl w:val="0"/>
                <w:numId w:val="91"/>
              </w:numPr>
              <w:suppressAutoHyphens w:val="0"/>
              <w:spacing w:after="60" w:line="276" w:lineRule="auto"/>
              <w:rPr>
                <w:rFonts w:cs="Calibri"/>
                <w:sz w:val="20"/>
                <w:szCs w:val="20"/>
                <w:lang w:val="lv-LV"/>
              </w:rPr>
            </w:pPr>
            <w:r w:rsidRPr="00475128">
              <w:rPr>
                <w:rFonts w:cs="Calibri"/>
                <w:sz w:val="20"/>
                <w:szCs w:val="20"/>
                <w:lang w:val="lv-LV"/>
              </w:rPr>
              <w:t>Finansēto kompetences centru skaits: 7</w:t>
            </w:r>
          </w:p>
          <w:p w:rsidR="000B4ED4" w:rsidRPr="00475128" w:rsidRDefault="000B4ED4" w:rsidP="000B4ED4">
            <w:pPr>
              <w:pStyle w:val="ListParagraph"/>
              <w:numPr>
                <w:ilvl w:val="0"/>
                <w:numId w:val="91"/>
              </w:numPr>
              <w:suppressAutoHyphens w:val="0"/>
              <w:spacing w:after="60" w:line="276" w:lineRule="auto"/>
              <w:rPr>
                <w:rFonts w:cs="Calibri"/>
                <w:sz w:val="20"/>
                <w:szCs w:val="20"/>
                <w:lang w:val="lv-LV"/>
              </w:rPr>
            </w:pPr>
            <w:r w:rsidRPr="00475128">
              <w:rPr>
                <w:rFonts w:cs="Calibri"/>
                <w:sz w:val="20"/>
                <w:szCs w:val="20"/>
                <w:lang w:val="lv-LV"/>
              </w:rPr>
              <w:t>Pētījumu skaits, kas ietver sadarbību starp komersantiem un zinātniskajām institūcijām: 50</w:t>
            </w:r>
          </w:p>
          <w:p w:rsidR="000B4ED4" w:rsidRPr="00475128" w:rsidRDefault="000B4ED4" w:rsidP="000B4ED4">
            <w:pPr>
              <w:pStyle w:val="ListParagraph"/>
              <w:numPr>
                <w:ilvl w:val="0"/>
                <w:numId w:val="91"/>
              </w:numPr>
              <w:suppressAutoHyphens w:val="0"/>
              <w:spacing w:after="60" w:line="276" w:lineRule="auto"/>
              <w:rPr>
                <w:rFonts w:cs="Calibri"/>
                <w:sz w:val="20"/>
                <w:szCs w:val="20"/>
                <w:lang w:val="lv-LV"/>
              </w:rPr>
            </w:pPr>
            <w:r w:rsidRPr="00475128">
              <w:rPr>
                <w:rFonts w:cs="Calibri"/>
                <w:sz w:val="20"/>
                <w:szCs w:val="20"/>
                <w:lang w:val="lv-LV"/>
              </w:rPr>
              <w:t>Radīto pētniecības un attīstības darba vietu skaits kompetences centros: 50</w:t>
            </w:r>
          </w:p>
        </w:tc>
        <w:tc>
          <w:tcPr>
            <w:tcW w:w="1846" w:type="pct"/>
            <w:tcBorders>
              <w:bottom w:val="single" w:sz="4" w:space="0" w:color="auto"/>
            </w:tcBorders>
          </w:tcPr>
          <w:p w:rsidR="000B4ED4" w:rsidRPr="00DB426E" w:rsidRDefault="000B4ED4" w:rsidP="000B4ED4">
            <w:pPr>
              <w:spacing w:after="60"/>
              <w:rPr>
                <w:rFonts w:cs="Calibri"/>
                <w:sz w:val="20"/>
                <w:szCs w:val="20"/>
              </w:rPr>
            </w:pPr>
            <w:r w:rsidRPr="00DB426E">
              <w:rPr>
                <w:rFonts w:cs="Calibri"/>
                <w:sz w:val="20"/>
                <w:szCs w:val="20"/>
              </w:rPr>
              <w:t>Piesaistītais privātā sektora finansējums R&amp;D: 20 111 090 EUR</w:t>
            </w:r>
          </w:p>
          <w:p w:rsidR="000B4ED4" w:rsidRPr="00475128" w:rsidRDefault="000B4ED4" w:rsidP="000B4ED4">
            <w:pPr>
              <w:pStyle w:val="ListParagraph"/>
              <w:numPr>
                <w:ilvl w:val="0"/>
                <w:numId w:val="32"/>
              </w:numPr>
              <w:suppressAutoHyphens w:val="0"/>
              <w:spacing w:after="60" w:line="276" w:lineRule="auto"/>
              <w:ind w:left="321"/>
              <w:rPr>
                <w:rFonts w:cs="Calibri"/>
                <w:sz w:val="20"/>
                <w:szCs w:val="20"/>
                <w:lang w:val="lv-LV"/>
              </w:rPr>
            </w:pPr>
            <w:r w:rsidRPr="00475128">
              <w:rPr>
                <w:rFonts w:cs="Calibri"/>
                <w:sz w:val="20"/>
                <w:szCs w:val="20"/>
                <w:lang w:val="lv-LV"/>
              </w:rPr>
              <w:t>Finansēto kompetences centru skaits: 6</w:t>
            </w:r>
          </w:p>
          <w:p w:rsidR="000B4ED4" w:rsidRPr="00475128" w:rsidRDefault="000B4ED4" w:rsidP="000B4ED4">
            <w:pPr>
              <w:pStyle w:val="ListParagraph"/>
              <w:numPr>
                <w:ilvl w:val="0"/>
                <w:numId w:val="0"/>
              </w:numPr>
              <w:spacing w:after="60" w:line="276" w:lineRule="auto"/>
              <w:ind w:left="1080" w:hanging="360"/>
              <w:rPr>
                <w:rFonts w:cs="Calibri"/>
                <w:sz w:val="20"/>
                <w:szCs w:val="20"/>
                <w:lang w:val="lv-LV"/>
              </w:rPr>
            </w:pPr>
          </w:p>
        </w:tc>
      </w:tr>
    </w:tbl>
    <w:p w:rsidR="000B4ED4" w:rsidRPr="00DB426E" w:rsidRDefault="000B4ED4" w:rsidP="000B4ED4">
      <w:pPr>
        <w:spacing w:before="240"/>
      </w:pPr>
      <w:r w:rsidRPr="00DB426E">
        <w:t>Pieteikšanās procedūra atbalsta saņemšanai ir vērtējama kā sarežģīta. Iesniedzamo dokumentu sarakstā ir izziņas par ieņēmumiem no R&amp;D aktivitātēm, par reģistrētajiem intelektuālā īpašuma objektiem, zvērināta revidenta atzinums par izmaksām R&amp;D, personāla CV, u. c. dokumenti.</w:t>
      </w:r>
    </w:p>
    <w:p w:rsidR="000B4ED4" w:rsidRPr="00DB426E" w:rsidRDefault="000B4ED4" w:rsidP="000B4ED4">
      <w:r w:rsidRPr="00DB426E">
        <w:t>Šī aktivitāte nekropļo tirgu. Lai gan projekta iesniedzējs ir juridiska persona, kas sastāv arī no komersantiem, atbalsts tiek sniegts tikai ar pētniecību saistītām aktivitātēm, un aktivitātes ietvaros iegūtie rezultāti nav uzreiz komercializējami. Atbalsta intensitāte ir apgriezti proporcionāla komersantu lielumam, kā arī saistīta a projekta aktivitātēm, kas samazina konkurences ierobežošanas riskus.</w:t>
      </w:r>
    </w:p>
    <w:p w:rsidR="000B4ED4" w:rsidRDefault="000B4ED4" w:rsidP="000B4ED4">
      <w:r w:rsidRPr="00DB426E">
        <w:t>Šai aktivitātei ir tieša ietekme uz privāto ieguldījumu veikšanu R&amp;D. turklāt tāds ir arī aktivitātes mērķis. Aktivitātes mērķis sakrīt ar sasniegtajiem rezultatīvajiem rādītājiem. Mērķim un rādītājiem ir ietekme uz R&amp;D</w:t>
      </w:r>
      <w:r>
        <w:t>,</w:t>
      </w:r>
      <w:r w:rsidRPr="00DB426E">
        <w:t xml:space="preserve"> un tie veicina privāto ieguldījumu veikšanu R&amp;D. Pastāv augsta iespējamība pārsniegt plānotos rezultatīvos rādītājus. Ir apstiprināti 6 no 7 kompetences centriem un izmaksāts 31% no apstiprinātā finansējuma, piesaistot privātos ieguldījumus R&amp;D 86% apmērā no plānotajiem.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Cs/>
                <w:sz w:val="20"/>
                <w:szCs w:val="20"/>
              </w:rPr>
              <w:t>2.1.2.1.2. Tehnoloģiju pārneses kontaktpunkti</w:t>
            </w:r>
            <w:r w:rsidRPr="00DB426E">
              <w:rPr>
                <w:rStyle w:val="FootnoteReference"/>
                <w:bCs/>
                <w:sz w:val="20"/>
                <w:szCs w:val="20"/>
              </w:rPr>
              <w:footnoteReference w:id="25"/>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sistemātiski apzināt esošo un nepieciešamo pētniecības kompetenci augstskolās un institūtos un mērķtiecīgi to attīstīt.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Datu bāzu veidošana un uzturēšana</w:t>
            </w:r>
          </w:p>
          <w:p w:rsidR="000B4ED4" w:rsidRPr="00DB426E" w:rsidRDefault="000B4ED4" w:rsidP="000B4ED4">
            <w:pPr>
              <w:spacing w:after="60"/>
              <w:rPr>
                <w:rFonts w:cs="Calibri"/>
                <w:sz w:val="20"/>
                <w:szCs w:val="20"/>
              </w:rPr>
            </w:pPr>
            <w:r w:rsidRPr="00DB426E">
              <w:rPr>
                <w:rFonts w:cs="Calibri"/>
                <w:sz w:val="20"/>
                <w:szCs w:val="20"/>
              </w:rPr>
              <w:t>Pētījumu komercializācija</w:t>
            </w:r>
          </w:p>
          <w:p w:rsidR="000B4ED4" w:rsidRPr="00DB426E" w:rsidRDefault="000B4ED4" w:rsidP="000B4ED4">
            <w:pPr>
              <w:spacing w:after="60"/>
              <w:rPr>
                <w:rFonts w:cs="Calibri"/>
                <w:sz w:val="20"/>
                <w:szCs w:val="20"/>
              </w:rPr>
            </w:pPr>
            <w:r w:rsidRPr="00DB426E">
              <w:rPr>
                <w:rFonts w:cs="Calibri"/>
                <w:sz w:val="20"/>
                <w:szCs w:val="20"/>
              </w:rPr>
              <w:t>Patentu un licenču izmaksas</w:t>
            </w:r>
          </w:p>
          <w:p w:rsidR="000B4ED4" w:rsidRPr="00DB426E" w:rsidRDefault="000B4ED4" w:rsidP="000B4ED4">
            <w:pPr>
              <w:spacing w:after="60"/>
              <w:rPr>
                <w:rFonts w:cs="Calibri"/>
                <w:sz w:val="20"/>
                <w:szCs w:val="20"/>
              </w:rPr>
            </w:pPr>
            <w:r w:rsidRPr="00DB426E">
              <w:rPr>
                <w:rFonts w:cs="Calibri"/>
                <w:sz w:val="20"/>
                <w:szCs w:val="20"/>
              </w:rPr>
              <w:t>Pasākumu organizēšana</w:t>
            </w:r>
          </w:p>
          <w:p w:rsidR="000B4ED4" w:rsidRPr="00DB426E" w:rsidRDefault="000B4ED4" w:rsidP="000B4ED4">
            <w:pPr>
              <w:spacing w:after="60"/>
              <w:rPr>
                <w:rFonts w:cs="Calibri"/>
                <w:sz w:val="20"/>
                <w:szCs w:val="20"/>
              </w:rPr>
            </w:pPr>
            <w:r w:rsidRPr="00DB426E">
              <w:rPr>
                <w:rFonts w:cs="Calibri"/>
                <w:sz w:val="20"/>
                <w:szCs w:val="20"/>
              </w:rPr>
              <w:t>Komandējumu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sz w:val="20"/>
                <w:szCs w:val="20"/>
              </w:rPr>
            </w:pPr>
            <w:r w:rsidRPr="00DB426E">
              <w:rPr>
                <w:sz w:val="20"/>
                <w:szCs w:val="20"/>
              </w:rPr>
              <w:t>Augstskola</w:t>
            </w:r>
          </w:p>
          <w:p w:rsidR="000B4ED4" w:rsidRPr="00DB426E" w:rsidRDefault="000B4ED4" w:rsidP="000B4ED4">
            <w:pPr>
              <w:spacing w:after="60"/>
              <w:rPr>
                <w:sz w:val="20"/>
                <w:szCs w:val="20"/>
              </w:rPr>
            </w:pPr>
            <w:r w:rsidRPr="00DB426E">
              <w:rPr>
                <w:sz w:val="20"/>
                <w:szCs w:val="20"/>
              </w:rPr>
              <w:t>Zinātniskā institūcija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sz w:val="20"/>
                <w:szCs w:val="20"/>
              </w:rPr>
            </w:pPr>
            <w:r w:rsidRPr="00DB426E">
              <w:rPr>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sz w:val="20"/>
                <w:szCs w:val="20"/>
              </w:rPr>
            </w:pPr>
            <w:r w:rsidRPr="00DB426E">
              <w:rPr>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sz w:val="20"/>
                <w:szCs w:val="20"/>
              </w:rPr>
            </w:pPr>
            <w:r w:rsidRPr="00DB426E">
              <w:rPr>
                <w:sz w:val="20"/>
                <w:szCs w:val="20"/>
              </w:rPr>
              <w:t>Visas nozares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sz w:val="20"/>
                <w:szCs w:val="20"/>
              </w:rPr>
            </w:pPr>
            <w:r w:rsidRPr="00DB426E">
              <w:rPr>
                <w:sz w:val="20"/>
                <w:szCs w:val="20"/>
              </w:rPr>
              <w:t>Projekta pieteikumu iespējams iesniegt sadarbībā ar augstskolu vai zinātnisko institūciju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sz w:val="20"/>
                <w:szCs w:val="20"/>
              </w:rPr>
            </w:pPr>
            <w:r w:rsidRPr="00DB426E">
              <w:rPr>
                <w:sz w:val="20"/>
                <w:szCs w:val="20"/>
              </w:rPr>
              <w:t>Atbalstu var saņemt tikai ar pētniecību saistītu aktivitāšu veikšanai.</w:t>
            </w:r>
          </w:p>
          <w:p w:rsidR="000B4ED4" w:rsidRPr="00DB426E" w:rsidRDefault="000B4ED4" w:rsidP="000B4ED4">
            <w:pPr>
              <w:spacing w:after="60"/>
              <w:rPr>
                <w:sz w:val="20"/>
                <w:szCs w:val="20"/>
              </w:rPr>
            </w:pPr>
            <w:r w:rsidRPr="00DB426E">
              <w:rPr>
                <w:sz w:val="20"/>
                <w:szCs w:val="20"/>
              </w:rPr>
              <w:t>Atbalsta saņēmēji ir zinātniskās institūcijas un augstskolas, tomēr labuma guvēji ir komersanti, kuri iegādājas pētniecības rezultātā radušos aktīvus.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sz w:val="20"/>
                <w:szCs w:val="20"/>
              </w:rPr>
            </w:pPr>
            <w:r w:rsidRPr="00DB426E">
              <w:rPr>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300 000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2008. gadā - 80 %;</w:t>
            </w:r>
          </w:p>
          <w:p w:rsidR="000B4ED4" w:rsidRPr="00DB426E" w:rsidRDefault="000B4ED4" w:rsidP="000B4ED4">
            <w:pPr>
              <w:spacing w:after="60"/>
              <w:rPr>
                <w:rFonts w:cs="Calibri"/>
                <w:sz w:val="20"/>
                <w:szCs w:val="20"/>
              </w:rPr>
            </w:pPr>
            <w:r w:rsidRPr="00DB426E">
              <w:rPr>
                <w:rFonts w:cs="Calibri"/>
                <w:sz w:val="20"/>
                <w:szCs w:val="20"/>
              </w:rPr>
              <w:t>2009. gadā - 80 %;</w:t>
            </w:r>
          </w:p>
          <w:p w:rsidR="000B4ED4" w:rsidRPr="00DB426E" w:rsidRDefault="000B4ED4" w:rsidP="000B4ED4">
            <w:pPr>
              <w:spacing w:after="60"/>
              <w:rPr>
                <w:rFonts w:cs="Calibri"/>
                <w:sz w:val="20"/>
                <w:szCs w:val="20"/>
              </w:rPr>
            </w:pPr>
            <w:r w:rsidRPr="00DB426E">
              <w:rPr>
                <w:rFonts w:cs="Calibri"/>
                <w:sz w:val="20"/>
                <w:szCs w:val="20"/>
              </w:rPr>
              <w:t>2010. gadā - 70 %;</w:t>
            </w:r>
          </w:p>
          <w:p w:rsidR="000B4ED4" w:rsidRPr="00DB426E" w:rsidRDefault="000B4ED4" w:rsidP="000B4ED4">
            <w:pPr>
              <w:spacing w:after="60"/>
              <w:rPr>
                <w:rFonts w:cs="Calibri"/>
                <w:sz w:val="20"/>
                <w:szCs w:val="20"/>
              </w:rPr>
            </w:pPr>
            <w:r w:rsidRPr="00DB426E">
              <w:rPr>
                <w:rFonts w:cs="Calibri"/>
                <w:sz w:val="20"/>
                <w:szCs w:val="20"/>
              </w:rPr>
              <w:t>2011. gadā - 70 %;</w:t>
            </w:r>
          </w:p>
          <w:p w:rsidR="000B4ED4" w:rsidRPr="00DB426E" w:rsidRDefault="000B4ED4" w:rsidP="000B4ED4">
            <w:pPr>
              <w:spacing w:after="60"/>
              <w:rPr>
                <w:rFonts w:cs="Calibri"/>
                <w:sz w:val="20"/>
                <w:szCs w:val="20"/>
              </w:rPr>
            </w:pPr>
            <w:r w:rsidRPr="00DB426E">
              <w:rPr>
                <w:rFonts w:cs="Calibri"/>
                <w:sz w:val="20"/>
                <w:szCs w:val="20"/>
              </w:rPr>
              <w:t>2012. gadā - 60 %;</w:t>
            </w:r>
          </w:p>
          <w:p w:rsidR="000B4ED4" w:rsidRPr="00DB426E" w:rsidRDefault="000B4ED4" w:rsidP="000B4ED4">
            <w:pPr>
              <w:spacing w:after="60"/>
              <w:rPr>
                <w:rFonts w:cs="Calibri"/>
                <w:sz w:val="20"/>
                <w:szCs w:val="20"/>
              </w:rPr>
            </w:pPr>
            <w:r w:rsidRPr="00DB426E">
              <w:rPr>
                <w:rFonts w:cs="Calibri"/>
                <w:sz w:val="20"/>
                <w:szCs w:val="20"/>
              </w:rPr>
              <w:t>2013. gadā - 60 %.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1 906 323 LVL</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8</w:t>
            </w:r>
          </w:p>
        </w:tc>
        <w:tc>
          <w:tcPr>
            <w:tcW w:w="1846" w:type="pct"/>
          </w:tcPr>
          <w:p w:rsidR="000B4ED4" w:rsidRPr="00DB426E" w:rsidRDefault="000B4ED4" w:rsidP="000B4ED4">
            <w:pPr>
              <w:spacing w:after="60"/>
              <w:rPr>
                <w:rFonts w:cs="Calibri"/>
                <w:sz w:val="20"/>
                <w:szCs w:val="20"/>
              </w:rPr>
            </w:pPr>
            <w:r w:rsidRPr="00DB426E">
              <w:rPr>
                <w:rFonts w:cs="Calibri"/>
                <w:sz w:val="20"/>
                <w:szCs w:val="20"/>
              </w:rPr>
              <w:t>1 886 270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8</w:t>
            </w:r>
          </w:p>
        </w:tc>
        <w:tc>
          <w:tcPr>
            <w:tcW w:w="1846" w:type="pct"/>
          </w:tcPr>
          <w:p w:rsidR="000B4ED4" w:rsidRPr="00DB426E" w:rsidRDefault="000B4ED4" w:rsidP="000B4ED4">
            <w:pPr>
              <w:spacing w:after="60"/>
              <w:rPr>
                <w:rFonts w:cs="Calibri"/>
                <w:sz w:val="20"/>
                <w:szCs w:val="20"/>
              </w:rPr>
            </w:pPr>
            <w:r w:rsidRPr="00DB426E">
              <w:rPr>
                <w:rFonts w:cs="Calibri"/>
                <w:sz w:val="20"/>
                <w:szCs w:val="20"/>
              </w:rPr>
              <w:t>980 572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rPr>
                <w:rFonts w:cs="Calibri"/>
                <w:b/>
                <w:sz w:val="20"/>
                <w:szCs w:val="20"/>
              </w:rPr>
            </w:pPr>
          </w:p>
        </w:tc>
        <w:tc>
          <w:tcPr>
            <w:tcW w:w="1845" w:type="pct"/>
          </w:tcPr>
          <w:p w:rsidR="000B4ED4" w:rsidRPr="00DB426E" w:rsidRDefault="000B4ED4" w:rsidP="000B4ED4">
            <w:pPr>
              <w:rPr>
                <w:rFonts w:cs="Calibri"/>
                <w:sz w:val="20"/>
                <w:szCs w:val="20"/>
              </w:rPr>
            </w:pPr>
            <w:r w:rsidRPr="00DB426E">
              <w:rPr>
                <w:rFonts w:cs="Calibri"/>
                <w:sz w:val="20"/>
                <w:szCs w:val="20"/>
              </w:rPr>
              <w:t>Piesaistītais privātā sektora finansējums R&amp;D: 970 000 EUR</w:t>
            </w:r>
          </w:p>
        </w:tc>
        <w:tc>
          <w:tcPr>
            <w:tcW w:w="1846" w:type="pct"/>
          </w:tcPr>
          <w:p w:rsidR="000B4ED4" w:rsidRPr="00DB426E" w:rsidRDefault="000B4ED4" w:rsidP="000B4ED4">
            <w:pPr>
              <w:rPr>
                <w:rFonts w:cs="Calibri"/>
                <w:sz w:val="20"/>
                <w:szCs w:val="20"/>
              </w:rPr>
            </w:pPr>
            <w:r w:rsidRPr="00DB426E">
              <w:rPr>
                <w:rFonts w:cs="Calibri"/>
                <w:sz w:val="20"/>
                <w:szCs w:val="20"/>
              </w:rPr>
              <w:t>Piesaistītais privātā sektora finansējums R&amp;D: 539 034 EUR</w:t>
            </w:r>
          </w:p>
        </w:tc>
      </w:tr>
    </w:tbl>
    <w:p w:rsidR="000B4ED4" w:rsidRPr="00DB426E" w:rsidRDefault="000B4ED4" w:rsidP="000B4ED4">
      <w:pPr>
        <w:spacing w:before="240"/>
      </w:pPr>
      <w:r w:rsidRPr="00DB426E">
        <w:t>Šī aktivitāte neierobežo brīvo konkurenci. Projekta pieteicējs ir zinātniskā institūcija vai augstskola, un atbalstu var saņemt tikai ar R&amp;D aktivitātēm saistītām izmaksām. Lai gan aktivitātes mērķis ir veicinot tehnoloģiju pārnesi, tādējādi uzlabojot arī komersantu konkurētspēju, šīs aktivitātes ietvaros konkurētspēja netiek tieši ietekmēta, un tiešs atbalsts zinātnisko aktivitāšu rezultātu komercializācijai netiek sniegts.</w:t>
      </w:r>
    </w:p>
    <w:p w:rsidR="000B4ED4" w:rsidRPr="00DB426E" w:rsidRDefault="000B4ED4" w:rsidP="000B4ED4">
      <w:r w:rsidRPr="00DB426E">
        <w:t>Pieteikšanās projektu konkursā ir diezgan vienkārša, iesniedzamo dokumentu vidū ir pieteikuma veidlapa, projekta iesniedzēja izziņas un personāla CV, taču dokumenti, kuru sagatavošana varētu prasīt lielu laika apjomu vai finanšu resursus, nav jāiesniedz.</w:t>
      </w:r>
    </w:p>
    <w:p w:rsidR="000B4ED4" w:rsidRPr="00DB426E" w:rsidRDefault="000B4ED4" w:rsidP="000B4ED4">
      <w:r w:rsidRPr="00DB426E">
        <w:t>Aktivitātes ietekme uz privāto ieguldījumu veikšanu ir tieša. Aktivitātes mērķis daļēji sakrīt ar sasniegtajiem rezultatīvajiem rādītājiem. Mērķim ir netieša ietekme uz privāto ieguldījumu veikšanu R&amp;D, savukārt plānotajiem un sasniegtajiem rezultatīvajiem rādītājiem uz privāto ieguldījumu veikšanu R&amp;D ir tieša ietekme. Aktivitātes ieviešanas gaita liecina par augstu iespējamību sasniegt plānotos rādītājus, izmaksājot 52%</w:t>
      </w:r>
      <w:r w:rsidRPr="00DB426E">
        <w:tab/>
        <w:t xml:space="preserve"> no piešķirtā finansējuma privātā sektora finansējums R&amp;D piesaistīts 56% apmērā no plānotā.</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Cs/>
                <w:sz w:val="20"/>
                <w:szCs w:val="20"/>
              </w:rPr>
              <w:t>2.1.2.2.1. Jaunu produktu un tehnoloģiju izstrāde</w:t>
            </w:r>
            <w:r w:rsidRPr="00DB426E">
              <w:rPr>
                <w:rStyle w:val="FootnoteReference"/>
                <w:bCs/>
                <w:sz w:val="20"/>
                <w:szCs w:val="20"/>
              </w:rPr>
              <w:footnoteReference w:id="26"/>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Atbalstīt jaunu vai nozīmīgi uzlabotu produktu (tajā skaitā preču vai pakalpojumu) vai tehnoloģiju (tajā skaitā tehnoloģisko procesu) izstrādi.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Rūpniecisko pētījumu izmaksas</w:t>
            </w:r>
          </w:p>
          <w:p w:rsidR="000B4ED4" w:rsidRPr="00DB426E" w:rsidRDefault="000B4ED4" w:rsidP="000B4ED4">
            <w:pPr>
              <w:spacing w:after="60"/>
              <w:rPr>
                <w:rFonts w:cs="Calibri"/>
                <w:sz w:val="20"/>
                <w:szCs w:val="20"/>
              </w:rPr>
            </w:pPr>
            <w:r w:rsidRPr="00DB426E">
              <w:rPr>
                <w:rFonts w:cs="Calibri"/>
                <w:sz w:val="20"/>
                <w:szCs w:val="20"/>
              </w:rPr>
              <w:t>Eksperimentālo izstrādņu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r w:rsidRPr="00DB426E">
              <w:rPr>
                <w:rFonts w:cs="Calibri"/>
                <w:i/>
                <w:sz w:val="20"/>
                <w:szCs w:val="20"/>
              </w:rPr>
              <w:t xml:space="preserve">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vairumtirdzniecība un mazumtirdzniecība;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finanšu starpniecība;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komercpakalpojumi (operācijas ar nekustamo īpašumu; transportlīdzekļu, mašīnu un iekārtu, individuālās lietošanas priekšmetu, sadzīves aparatūras un iekārtu iznomāšana);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azartspēles un derības;</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alus un alkoholisko dzērienu ražošana;</w:t>
            </w:r>
          </w:p>
          <w:p w:rsidR="000B4ED4" w:rsidRPr="00DB426E" w:rsidRDefault="000B4ED4" w:rsidP="000B4ED4">
            <w:pPr>
              <w:pStyle w:val="tv213"/>
              <w:shd w:val="clear" w:color="auto" w:fill="FFFFFF"/>
              <w:spacing w:before="0" w:beforeAutospacing="0" w:after="60" w:afterAutospacing="0" w:line="276" w:lineRule="auto"/>
              <w:rPr>
                <w:rFonts w:ascii="Calibri" w:hAnsi="Calibri" w:cs="Calibri"/>
                <w:sz w:val="20"/>
                <w:szCs w:val="20"/>
              </w:rPr>
            </w:pPr>
            <w:r w:rsidRPr="00DB426E">
              <w:rPr>
                <w:rFonts w:ascii="Calibri" w:eastAsia="Calibri" w:hAnsi="Calibri" w:cs="Calibri"/>
                <w:sz w:val="20"/>
                <w:szCs w:val="20"/>
              </w:rPr>
              <w:t>tabakas izstrādājumu ražošana.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Ir iespējama sadarbība starp komersantiem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ietvaros atbalsts tiek sniegts tikai ar R&amp;D saistītām izmaksām.</w:t>
            </w:r>
          </w:p>
          <w:p w:rsidR="000B4ED4" w:rsidRPr="00DB426E" w:rsidRDefault="000B4ED4" w:rsidP="000B4ED4">
            <w:pPr>
              <w:spacing w:after="60"/>
              <w:rPr>
                <w:rFonts w:cs="Calibri"/>
                <w:sz w:val="20"/>
                <w:szCs w:val="20"/>
              </w:rPr>
            </w:pPr>
            <w:r w:rsidRPr="00DB426E">
              <w:rPr>
                <w:rFonts w:cs="Calibri"/>
                <w:sz w:val="20"/>
                <w:szCs w:val="20"/>
              </w:rPr>
              <w:t xml:space="preserve">Īpašas prasības komersantiem (projekta pieteicējam un sadarbības partnerim) netiek izvirzītas.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350 000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rūpnieciskiem pētījumiem:</w:t>
            </w:r>
          </w:p>
          <w:p w:rsidR="000B4ED4" w:rsidRPr="00DB426E" w:rsidRDefault="000B4ED4" w:rsidP="000B4ED4">
            <w:pPr>
              <w:spacing w:after="60"/>
              <w:rPr>
                <w:rFonts w:cs="Calibri"/>
                <w:sz w:val="20"/>
                <w:szCs w:val="20"/>
              </w:rPr>
            </w:pPr>
            <w:r w:rsidRPr="00DB426E">
              <w:rPr>
                <w:rFonts w:cs="Calibri"/>
                <w:sz w:val="20"/>
                <w:szCs w:val="20"/>
              </w:rPr>
              <w:t>70 % – sīkiem un maziem komersantiem;</w:t>
            </w:r>
          </w:p>
          <w:p w:rsidR="000B4ED4" w:rsidRPr="00DB426E" w:rsidRDefault="000B4ED4" w:rsidP="000B4ED4">
            <w:pPr>
              <w:spacing w:after="60"/>
              <w:rPr>
                <w:rFonts w:cs="Calibri"/>
                <w:sz w:val="20"/>
                <w:szCs w:val="20"/>
              </w:rPr>
            </w:pPr>
            <w:r w:rsidRPr="00DB426E">
              <w:rPr>
                <w:rFonts w:cs="Calibri"/>
                <w:sz w:val="20"/>
                <w:szCs w:val="20"/>
              </w:rPr>
              <w:t>60 % – vidējiem komersantiem;</w:t>
            </w:r>
          </w:p>
          <w:p w:rsidR="000B4ED4" w:rsidRPr="00DB426E" w:rsidRDefault="000B4ED4" w:rsidP="000B4ED4">
            <w:pPr>
              <w:spacing w:after="60"/>
              <w:rPr>
                <w:rFonts w:cs="Calibri"/>
                <w:sz w:val="20"/>
                <w:szCs w:val="20"/>
              </w:rPr>
            </w:pPr>
            <w:r w:rsidRPr="00DB426E">
              <w:rPr>
                <w:rFonts w:cs="Calibri"/>
                <w:sz w:val="20"/>
                <w:szCs w:val="20"/>
              </w:rPr>
              <w:t>50 % – lieliem komersantiem;</w:t>
            </w:r>
          </w:p>
          <w:p w:rsidR="000B4ED4" w:rsidRPr="00DB426E" w:rsidRDefault="000B4ED4" w:rsidP="000B4ED4">
            <w:pPr>
              <w:spacing w:after="60"/>
              <w:rPr>
                <w:rFonts w:cs="Calibri"/>
                <w:sz w:val="20"/>
                <w:szCs w:val="20"/>
              </w:rPr>
            </w:pPr>
            <w:r w:rsidRPr="00DB426E">
              <w:rPr>
                <w:rFonts w:cs="Calibri"/>
                <w:sz w:val="20"/>
                <w:szCs w:val="20"/>
              </w:rPr>
              <w:t>eksperimentālām izstrādnēm:</w:t>
            </w:r>
          </w:p>
          <w:p w:rsidR="000B4ED4" w:rsidRPr="00DB426E" w:rsidRDefault="000B4ED4" w:rsidP="000B4ED4">
            <w:pPr>
              <w:spacing w:after="60"/>
              <w:rPr>
                <w:rFonts w:cs="Calibri"/>
                <w:sz w:val="20"/>
                <w:szCs w:val="20"/>
              </w:rPr>
            </w:pPr>
            <w:r w:rsidRPr="00DB426E">
              <w:rPr>
                <w:rFonts w:cs="Calibri"/>
                <w:sz w:val="20"/>
                <w:szCs w:val="20"/>
              </w:rPr>
              <w:t>45 % – sīkiem un maziem komersantiem;</w:t>
            </w:r>
          </w:p>
          <w:p w:rsidR="000B4ED4" w:rsidRPr="00DB426E" w:rsidRDefault="000B4ED4" w:rsidP="000B4ED4">
            <w:pPr>
              <w:spacing w:after="60"/>
              <w:rPr>
                <w:rFonts w:cs="Calibri"/>
                <w:sz w:val="20"/>
                <w:szCs w:val="20"/>
              </w:rPr>
            </w:pPr>
            <w:r w:rsidRPr="00DB426E">
              <w:rPr>
                <w:rFonts w:cs="Calibri"/>
                <w:sz w:val="20"/>
                <w:szCs w:val="20"/>
              </w:rPr>
              <w:t>35 % – vidējiem komersantiem;</w:t>
            </w:r>
          </w:p>
          <w:p w:rsidR="000B4ED4" w:rsidRPr="00DB426E" w:rsidRDefault="000B4ED4" w:rsidP="000B4ED4">
            <w:pPr>
              <w:spacing w:after="60"/>
              <w:rPr>
                <w:rFonts w:cs="Calibri"/>
                <w:sz w:val="20"/>
                <w:szCs w:val="20"/>
              </w:rPr>
            </w:pPr>
            <w:r w:rsidRPr="00DB426E">
              <w:rPr>
                <w:rFonts w:cs="Calibri"/>
                <w:sz w:val="20"/>
                <w:szCs w:val="20"/>
              </w:rPr>
              <w:t>25 % – lieliem komersantiem.</w:t>
            </w:r>
          </w:p>
          <w:p w:rsidR="000B4ED4" w:rsidRPr="00DB426E" w:rsidRDefault="000B4ED4" w:rsidP="000B4ED4">
            <w:pPr>
              <w:spacing w:after="60"/>
              <w:rPr>
                <w:rFonts w:cs="Calibri"/>
                <w:sz w:val="20"/>
                <w:szCs w:val="20"/>
              </w:rPr>
            </w:pPr>
            <w:r w:rsidRPr="00DB426E">
              <w:rPr>
                <w:rFonts w:cs="Calibri"/>
                <w:sz w:val="20"/>
                <w:szCs w:val="20"/>
              </w:rPr>
              <w:t>Atbalsta intensitāti iespējams palielināt par 15 procentpunktiem (nepārsniedzot 80%), ja projekts tiek īstenots partnerībā.</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7 295 504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81</w:t>
            </w:r>
          </w:p>
        </w:tc>
        <w:tc>
          <w:tcPr>
            <w:tcW w:w="1846" w:type="pct"/>
          </w:tcPr>
          <w:p w:rsidR="000B4ED4" w:rsidRPr="00DB426E" w:rsidRDefault="000B4ED4" w:rsidP="000B4ED4">
            <w:pPr>
              <w:spacing w:after="60"/>
              <w:rPr>
                <w:rFonts w:cs="Calibri"/>
                <w:sz w:val="20"/>
                <w:szCs w:val="20"/>
              </w:rPr>
            </w:pPr>
            <w:r w:rsidRPr="00DB426E">
              <w:rPr>
                <w:rFonts w:cs="Calibri"/>
                <w:sz w:val="20"/>
                <w:szCs w:val="20"/>
              </w:rPr>
              <w:t>5 892 309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81</w:t>
            </w:r>
          </w:p>
        </w:tc>
        <w:tc>
          <w:tcPr>
            <w:tcW w:w="1846" w:type="pct"/>
          </w:tcPr>
          <w:p w:rsidR="000B4ED4" w:rsidRPr="00DB426E" w:rsidRDefault="000B4ED4" w:rsidP="000B4ED4">
            <w:pPr>
              <w:spacing w:after="60"/>
              <w:rPr>
                <w:rFonts w:cs="Calibri"/>
                <w:sz w:val="20"/>
                <w:szCs w:val="20"/>
              </w:rPr>
            </w:pPr>
            <w:r w:rsidRPr="00DB426E">
              <w:rPr>
                <w:rFonts w:cs="Calibri"/>
                <w:sz w:val="20"/>
                <w:szCs w:val="20"/>
              </w:rPr>
              <w:t>4 989 333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Piesaistītais privātā sektora finansējums R&amp;D: 8 000 000 EUR</w:t>
            </w:r>
          </w:p>
        </w:tc>
        <w:tc>
          <w:tcPr>
            <w:tcW w:w="1846" w:type="pct"/>
          </w:tcPr>
          <w:p w:rsidR="000B4ED4" w:rsidRPr="00DB426E" w:rsidRDefault="000B4ED4" w:rsidP="000B4ED4">
            <w:pPr>
              <w:spacing w:after="60"/>
              <w:rPr>
                <w:rFonts w:cs="Calibri"/>
                <w:sz w:val="20"/>
                <w:szCs w:val="20"/>
              </w:rPr>
            </w:pPr>
            <w:r w:rsidRPr="00DB426E">
              <w:rPr>
                <w:rFonts w:cs="Calibri"/>
                <w:sz w:val="20"/>
                <w:szCs w:val="20"/>
              </w:rPr>
              <w:t>Piesaistītais privātā sektora finansējums R&amp;D: 7 297 327 EUR</w:t>
            </w:r>
          </w:p>
        </w:tc>
      </w:tr>
    </w:tbl>
    <w:p w:rsidR="000B4ED4" w:rsidRPr="00DB426E" w:rsidRDefault="000B4ED4" w:rsidP="000B4ED4">
      <w:pPr>
        <w:spacing w:before="240"/>
      </w:pPr>
      <w:r w:rsidRPr="00DB426E">
        <w:t>Šajā aktivitātē atbalstu varēja saņemt rūpniecisko pētījumu un eksperimentālo izstrādņu izmaksu segšanai, t.i., R&amp;D aktivitātēm, kuras projekta īstenošanas laikā netiek komercializētas. Aktivitāte nebija paredzēta lielajiem uzņēmumiem, un atbalsta intensitāte bija apgriezti proporcionāla komersanta lielumam. Tāpat aktivitātē tika atbalstīti gandrīz visu nozaru uzņēmumi. Atbalsta saņemšanas kritēriju analīze parāda, ka aktivitāte neierobežo brīvo konkurenci.</w:t>
      </w:r>
    </w:p>
    <w:p w:rsidR="000B4ED4" w:rsidRPr="00DB426E" w:rsidRDefault="000B4ED4" w:rsidP="000B4ED4">
      <w:r w:rsidRPr="00DB426E">
        <w:t>Pieteikšanās sarežģītības pakāpe konkursā vērtējama kā vidēja; lai gan projektam nebija nepieciešams pievienot iepirkuma dokumentāciju, biznesa un finanšu plānu u.tml. dokumentus, tomēr bija nepieciešami darbinieku CV un sadarbības līgumi.</w:t>
      </w:r>
    </w:p>
    <w:p w:rsidR="000B4ED4" w:rsidRPr="00DB426E" w:rsidRDefault="000B4ED4" w:rsidP="000B4ED4">
      <w:r w:rsidRPr="00DB426E">
        <w:t xml:space="preserve">Aktivitātes ietekme uz privāto ieguldījumu veikšanu ir tieša. Aktivitātes mērķis sakrīt ar sasniegtajiem rezultatīvajiem rādītājiem. Gan mērķim, gan rezultatīvajiem rādītājiem ir tieša ietekme uz privāto ieguldījumu veikšanu R&amp;D. Sasniegtie aktivitātes rezultāti liecina par augstu prognozēto rezultatīvo rādītāju izpildi. Izmaksāti 85% no kopējā apstiprinātā finansējuma, piesaistot </w:t>
      </w:r>
      <w:r w:rsidRPr="00DB426E">
        <w:tab/>
        <w:t>91% no kopējām plānotajām privātajām investīcijām R&amp;D.</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7D723E" w:rsidRDefault="000B4ED4" w:rsidP="000B4ED4">
            <w:pPr>
              <w:spacing w:after="60"/>
              <w:jc w:val="center"/>
              <w:rPr>
                <w:rFonts w:cs="Calibri"/>
                <w:b/>
                <w:color w:val="FFFFFF"/>
                <w:sz w:val="20"/>
                <w:szCs w:val="20"/>
              </w:rPr>
            </w:pPr>
            <w:r w:rsidRPr="007D723E">
              <w:rPr>
                <w:b/>
                <w:bCs/>
                <w:sz w:val="20"/>
                <w:szCs w:val="20"/>
              </w:rPr>
              <w:t>2.1.2.2.2. Jaunu produktu un tehnoloģiju izstrāde – atbalsts jaunu produktu un tehnoloģiju ieviešanai ražošanā</w:t>
            </w:r>
            <w:r w:rsidRPr="007D723E">
              <w:rPr>
                <w:rStyle w:val="FootnoteReference"/>
                <w:b/>
                <w:bCs/>
                <w:sz w:val="20"/>
                <w:szCs w:val="20"/>
              </w:rPr>
              <w:footnoteReference w:id="27"/>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Atbalstīt veiksmīgi izstrādāto jauno produktu (tajā skaitā preču vai pakalpojumu) vai tehnoloģiju (tajā skaitā tehnoloģisko procesu) ieviešanu ražošanā.</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Iekārtu iegāde</w:t>
            </w:r>
          </w:p>
          <w:p w:rsidR="000B4ED4" w:rsidRPr="00DB426E" w:rsidRDefault="000B4ED4" w:rsidP="000B4ED4">
            <w:pPr>
              <w:spacing w:after="60"/>
              <w:rPr>
                <w:rFonts w:cs="Calibri"/>
                <w:sz w:val="20"/>
                <w:szCs w:val="20"/>
              </w:rPr>
            </w:pPr>
            <w:r w:rsidRPr="00DB426E">
              <w:rPr>
                <w:rFonts w:cs="Calibri"/>
                <w:sz w:val="20"/>
                <w:szCs w:val="20"/>
              </w:rPr>
              <w:t>Patentu un licenču iegāde</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p w:rsidR="000B4ED4" w:rsidRPr="00DB426E" w:rsidRDefault="000B4ED4" w:rsidP="000B4ED4">
            <w:pPr>
              <w:spacing w:after="60"/>
              <w:rPr>
                <w:rFonts w:cs="Calibri"/>
                <w:sz w:val="20"/>
                <w:szCs w:val="20"/>
              </w:rPr>
            </w:pPr>
            <w:r w:rsidRPr="00DB426E">
              <w:rPr>
                <w:rFonts w:cs="Calibri"/>
                <w:sz w:val="20"/>
                <w:szCs w:val="20"/>
              </w:rPr>
              <w:t>Lielais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Vairumtirdzniecība un mazumtirdzniecība;</w:t>
            </w:r>
          </w:p>
          <w:p w:rsidR="000B4ED4" w:rsidRPr="00DB426E" w:rsidRDefault="000B4ED4" w:rsidP="000B4ED4">
            <w:pPr>
              <w:spacing w:after="60"/>
              <w:rPr>
                <w:rFonts w:cs="Calibri"/>
                <w:sz w:val="20"/>
                <w:szCs w:val="20"/>
              </w:rPr>
            </w:pPr>
            <w:r w:rsidRPr="00DB426E">
              <w:rPr>
                <w:rFonts w:cs="Calibri"/>
                <w:sz w:val="20"/>
                <w:szCs w:val="20"/>
              </w:rPr>
              <w:t>Finanšu starpniecība;</w:t>
            </w:r>
          </w:p>
          <w:p w:rsidR="000B4ED4" w:rsidRPr="00DB426E" w:rsidRDefault="000B4ED4" w:rsidP="000B4ED4">
            <w:pPr>
              <w:spacing w:after="60"/>
              <w:rPr>
                <w:rFonts w:cs="Calibri"/>
                <w:sz w:val="20"/>
                <w:szCs w:val="20"/>
              </w:rPr>
            </w:pPr>
            <w:r w:rsidRPr="00DB426E">
              <w:rPr>
                <w:rFonts w:cs="Calibri"/>
                <w:sz w:val="20"/>
                <w:szCs w:val="20"/>
              </w:rPr>
              <w:t>Komercpakalpojumi;</w:t>
            </w:r>
          </w:p>
          <w:p w:rsidR="000B4ED4" w:rsidRPr="00DB426E" w:rsidRDefault="000B4ED4" w:rsidP="000B4ED4">
            <w:pPr>
              <w:spacing w:after="60"/>
              <w:rPr>
                <w:rFonts w:cs="Calibri"/>
                <w:sz w:val="20"/>
                <w:szCs w:val="20"/>
              </w:rPr>
            </w:pPr>
            <w:r w:rsidRPr="00DB426E">
              <w:rPr>
                <w:rFonts w:cs="Calibri"/>
                <w:sz w:val="20"/>
                <w:szCs w:val="20"/>
              </w:rPr>
              <w:t>Azartspēles un derības;</w:t>
            </w:r>
          </w:p>
          <w:p w:rsidR="000B4ED4" w:rsidRPr="00DB426E" w:rsidRDefault="000B4ED4" w:rsidP="000B4ED4">
            <w:pPr>
              <w:spacing w:after="60"/>
              <w:rPr>
                <w:rFonts w:cs="Calibri"/>
                <w:sz w:val="20"/>
                <w:szCs w:val="20"/>
              </w:rPr>
            </w:pPr>
            <w:r w:rsidRPr="00DB426E">
              <w:rPr>
                <w:rFonts w:cs="Calibri"/>
                <w:sz w:val="20"/>
                <w:szCs w:val="20"/>
              </w:rPr>
              <w:t>Alus un alkoholisko dzērienu ražošana</w:t>
            </w:r>
          </w:p>
          <w:p w:rsidR="000B4ED4" w:rsidRPr="00DB426E" w:rsidRDefault="000B4ED4" w:rsidP="000B4ED4">
            <w:pPr>
              <w:spacing w:after="60"/>
              <w:rPr>
                <w:rFonts w:cs="Calibri"/>
                <w:sz w:val="20"/>
                <w:szCs w:val="20"/>
              </w:rPr>
            </w:pPr>
            <w:r w:rsidRPr="00DB426E">
              <w:rPr>
                <w:rFonts w:cs="Calibri"/>
                <w:sz w:val="20"/>
                <w:szCs w:val="20"/>
              </w:rPr>
              <w:t>Tabakas izstrādājumu ražošana;</w:t>
            </w:r>
          </w:p>
          <w:p w:rsidR="000B4ED4" w:rsidRPr="00DB426E" w:rsidRDefault="000B4ED4" w:rsidP="000B4ED4">
            <w:pPr>
              <w:spacing w:after="60"/>
              <w:rPr>
                <w:rFonts w:cs="Calibri"/>
                <w:sz w:val="20"/>
                <w:szCs w:val="20"/>
              </w:rPr>
            </w:pPr>
            <w:r w:rsidRPr="00DB426E">
              <w:rPr>
                <w:rFonts w:cs="Calibri"/>
                <w:sz w:val="20"/>
                <w:szCs w:val="20"/>
              </w:rPr>
              <w:t>Zivsaimniecība un akvakultūra;</w:t>
            </w:r>
          </w:p>
          <w:p w:rsidR="000B4ED4" w:rsidRPr="00DB426E" w:rsidRDefault="000B4ED4" w:rsidP="000B4ED4">
            <w:pPr>
              <w:spacing w:after="60"/>
              <w:rPr>
                <w:rFonts w:cs="Calibri"/>
                <w:sz w:val="20"/>
                <w:szCs w:val="20"/>
              </w:rPr>
            </w:pPr>
            <w:r w:rsidRPr="00DB426E">
              <w:rPr>
                <w:rFonts w:cs="Calibri"/>
                <w:sz w:val="20"/>
                <w:szCs w:val="20"/>
              </w:rPr>
              <w:t>Kuģu būve;</w:t>
            </w:r>
          </w:p>
          <w:p w:rsidR="000B4ED4" w:rsidRPr="00DB426E" w:rsidRDefault="000B4ED4" w:rsidP="000B4ED4">
            <w:pPr>
              <w:spacing w:after="60"/>
              <w:rPr>
                <w:rFonts w:cs="Calibri"/>
                <w:sz w:val="20"/>
                <w:szCs w:val="20"/>
              </w:rPr>
            </w:pPr>
            <w:r w:rsidRPr="00DB426E">
              <w:rPr>
                <w:rFonts w:cs="Calibri"/>
                <w:sz w:val="20"/>
                <w:szCs w:val="20"/>
              </w:rPr>
              <w:t>Ogļu rūpniecība;</w:t>
            </w:r>
          </w:p>
          <w:p w:rsidR="000B4ED4" w:rsidRPr="00DB426E" w:rsidRDefault="000B4ED4" w:rsidP="000B4ED4">
            <w:pPr>
              <w:spacing w:after="60"/>
              <w:rPr>
                <w:rFonts w:cs="Calibri"/>
                <w:sz w:val="20"/>
                <w:szCs w:val="20"/>
              </w:rPr>
            </w:pPr>
            <w:r w:rsidRPr="00DB426E">
              <w:rPr>
                <w:rFonts w:cs="Calibri"/>
                <w:sz w:val="20"/>
                <w:szCs w:val="20"/>
              </w:rPr>
              <w:t>Tērauda nozare;</w:t>
            </w:r>
          </w:p>
          <w:p w:rsidR="000B4ED4" w:rsidRPr="00DB426E" w:rsidRDefault="000B4ED4" w:rsidP="000B4ED4">
            <w:pPr>
              <w:spacing w:after="60"/>
              <w:rPr>
                <w:rFonts w:cs="Calibri"/>
                <w:sz w:val="20"/>
                <w:szCs w:val="20"/>
              </w:rPr>
            </w:pPr>
            <w:r w:rsidRPr="00DB426E">
              <w:rPr>
                <w:rFonts w:cs="Calibri"/>
                <w:sz w:val="20"/>
                <w:szCs w:val="20"/>
              </w:rPr>
              <w:t>Sintētisko šķiedru ražošanas nozare;</w:t>
            </w:r>
          </w:p>
          <w:p w:rsidR="000B4ED4" w:rsidRPr="00DB426E" w:rsidRDefault="000B4ED4" w:rsidP="000B4ED4">
            <w:pPr>
              <w:spacing w:after="60"/>
              <w:rPr>
                <w:rFonts w:cs="Calibri"/>
                <w:sz w:val="20"/>
                <w:szCs w:val="20"/>
              </w:rPr>
            </w:pPr>
            <w:r w:rsidRPr="00DB426E">
              <w:rPr>
                <w:rFonts w:cs="Calibri"/>
                <w:sz w:val="20"/>
                <w:szCs w:val="20"/>
              </w:rPr>
              <w:t>Lauksaimniecības produktu primārā ražošana;</w:t>
            </w:r>
          </w:p>
          <w:p w:rsidR="000B4ED4" w:rsidRPr="00DB426E" w:rsidRDefault="000B4ED4" w:rsidP="000B4ED4">
            <w:pPr>
              <w:spacing w:after="60"/>
              <w:rPr>
                <w:rFonts w:cs="Calibri"/>
                <w:sz w:val="20"/>
                <w:szCs w:val="20"/>
              </w:rPr>
            </w:pPr>
            <w:r w:rsidRPr="00DB426E">
              <w:rPr>
                <w:rFonts w:cs="Calibri"/>
                <w:sz w:val="20"/>
                <w:szCs w:val="20"/>
              </w:rPr>
              <w:t>Elektroenerģija, gāzes apgāde, siltumapgāde un gaisa kondicionēšana;</w:t>
            </w:r>
          </w:p>
          <w:p w:rsidR="000B4ED4" w:rsidRPr="00DB426E" w:rsidRDefault="000B4ED4" w:rsidP="000B4ED4">
            <w:pPr>
              <w:spacing w:after="60"/>
              <w:rPr>
                <w:rFonts w:cs="Calibri"/>
                <w:sz w:val="20"/>
                <w:szCs w:val="20"/>
              </w:rPr>
            </w:pPr>
            <w:r w:rsidRPr="00DB426E">
              <w:rPr>
                <w:rFonts w:cs="Calibri"/>
                <w:sz w:val="20"/>
                <w:szCs w:val="20"/>
              </w:rPr>
              <w:t>Ieroču un munīcijas ražošana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ietvaros atbalsts tiek sniegts tikai ar R&amp;D rezultātu komercializēšanu saistītām izmaksām.</w:t>
            </w:r>
          </w:p>
          <w:p w:rsidR="000B4ED4" w:rsidRPr="00DB426E" w:rsidRDefault="000B4ED4" w:rsidP="000B4ED4">
            <w:pPr>
              <w:spacing w:after="60"/>
              <w:rPr>
                <w:rFonts w:cs="Calibri"/>
                <w:sz w:val="20"/>
                <w:szCs w:val="20"/>
              </w:rPr>
            </w:pPr>
            <w:r w:rsidRPr="00DB426E">
              <w:rPr>
                <w:rFonts w:cs="Calibri"/>
                <w:sz w:val="20"/>
                <w:szCs w:val="20"/>
              </w:rPr>
              <w:t xml:space="preserve">Īpašas prasības projekta pieteicējam netiek izvirzītas.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35%</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39 299 304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124</w:t>
            </w:r>
          </w:p>
        </w:tc>
        <w:tc>
          <w:tcPr>
            <w:tcW w:w="1846" w:type="pct"/>
          </w:tcPr>
          <w:p w:rsidR="000B4ED4" w:rsidRPr="00DB426E" w:rsidRDefault="000B4ED4" w:rsidP="000B4ED4">
            <w:pPr>
              <w:spacing w:after="60"/>
              <w:rPr>
                <w:rFonts w:cs="Calibri"/>
                <w:sz w:val="20"/>
                <w:szCs w:val="20"/>
              </w:rPr>
            </w:pPr>
            <w:r w:rsidRPr="00DB426E">
              <w:rPr>
                <w:rFonts w:cs="Calibri"/>
                <w:sz w:val="20"/>
                <w:szCs w:val="20"/>
              </w:rPr>
              <w:t>30 808 227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highlight w:val="green"/>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p>
        </w:tc>
        <w:tc>
          <w:tcPr>
            <w:tcW w:w="1846" w:type="pct"/>
          </w:tcPr>
          <w:p w:rsidR="000B4ED4" w:rsidRPr="00DB426E" w:rsidRDefault="000B4ED4" w:rsidP="000B4ED4">
            <w:pPr>
              <w:spacing w:after="60"/>
              <w:rPr>
                <w:rFonts w:cs="Calibri"/>
                <w:sz w:val="20"/>
                <w:szCs w:val="20"/>
              </w:rPr>
            </w:pPr>
            <w:r w:rsidRPr="00DB426E">
              <w:rPr>
                <w:rFonts w:cs="Calibri"/>
                <w:sz w:val="20"/>
                <w:szCs w:val="20"/>
              </w:rPr>
              <w:t>16 617 552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Piesaistītais privātā sektora finansējums R&amp;D: 66 000 000 EUR</w:t>
            </w:r>
          </w:p>
        </w:tc>
        <w:tc>
          <w:tcPr>
            <w:tcW w:w="1846" w:type="pct"/>
          </w:tcPr>
          <w:p w:rsidR="000B4ED4" w:rsidRPr="00DB426E" w:rsidRDefault="000B4ED4" w:rsidP="000B4ED4">
            <w:pPr>
              <w:spacing w:after="60"/>
              <w:rPr>
                <w:rFonts w:cs="Calibri"/>
                <w:sz w:val="20"/>
                <w:szCs w:val="20"/>
              </w:rPr>
            </w:pPr>
            <w:r w:rsidRPr="00DB426E">
              <w:rPr>
                <w:rFonts w:cs="Calibri"/>
                <w:sz w:val="20"/>
                <w:szCs w:val="20"/>
              </w:rPr>
              <w:t>Piesaistītais privātā sektora finansējums R&amp;D: 42 230 980 EUR</w:t>
            </w:r>
          </w:p>
        </w:tc>
      </w:tr>
    </w:tbl>
    <w:p w:rsidR="000B4ED4" w:rsidRPr="00DB426E" w:rsidRDefault="000B4ED4" w:rsidP="000B4ED4">
      <w:pPr>
        <w:spacing w:before="240"/>
      </w:pPr>
      <w:r w:rsidRPr="00DB426E">
        <w:t>Pieteikšanās finansējumam ir vērtējama kā vienkārša: iesniedzamo dokumentu vidū ir pieteikuma veidlapa un izziņas.</w:t>
      </w:r>
    </w:p>
    <w:p w:rsidR="000B4ED4" w:rsidRPr="00DB426E" w:rsidRDefault="000B4ED4" w:rsidP="000B4ED4">
      <w:r w:rsidRPr="00DB426E">
        <w:t xml:space="preserve">Aktivitātei ir vērojama tikai netieša ietekme uz brīvās konkurences ierobežošanu. Ņemot vērā to, ka gan </w:t>
      </w:r>
      <w:proofErr w:type="spellStart"/>
      <w:r w:rsidRPr="00DB426E">
        <w:t>mikro</w:t>
      </w:r>
      <w:proofErr w:type="spellEnd"/>
      <w:r w:rsidRPr="00DB426E">
        <w:t xml:space="preserve"> un mazajiem, gan vidējiem, gan lielajiem komersantiem ir vienotas prasības dalībai projektā, kā arī atbalsta apjoms ir vienāds, tas var netieši ietekmēt mazo un </w:t>
      </w:r>
      <w:proofErr w:type="spellStart"/>
      <w:r w:rsidRPr="00DB426E">
        <w:t>mikro</w:t>
      </w:r>
      <w:proofErr w:type="spellEnd"/>
      <w:r w:rsidRPr="00DB426E">
        <w:t xml:space="preserve"> komersantu konkurētspēju un jaunu tirgu apgūšanu. Aktivitātē pastāv arī neliels nozaru ierobežojums, kas ierobežo vairāku Latvijas tautsaimniecībā svarīgu nozaru konkurētspēju, tādu kā sintētisko šķiedru ražošana, kuģu būve, u. c. </w:t>
      </w:r>
    </w:p>
    <w:p w:rsidR="000B4ED4" w:rsidRPr="00DB426E" w:rsidRDefault="000B4ED4" w:rsidP="000B4ED4">
      <w:r w:rsidRPr="00DB426E">
        <w:t>Aktivitātes rezultatīvie rādītāji sakrīt ar tās mērķi. Gan mērķis, gan sasniegtie rādītāji sekmē privātās investīcijas R&amp;D, kā arī pētniecību un attīstību kopumā. Sasniegtie aktivitātes rezultāti liecina par augstu varbūtību sasniegt prognozēto rezultatīvo rādītāju izpildi. Izmaksāti 54% no kopējā apstiprinātā finansējuma, piesaistot 64% no kopējām plānotajām privātajām investīcijām R&amp;D. Vienlaikus jāpiezīmē, ka sagaidāmais privātā sektora līdzfinansējums R&amp;D pēc apstiprināto projektu datiem par 11% pārsniedz sākotnēji plānoto.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7D723E" w:rsidRDefault="000B4ED4" w:rsidP="000B4ED4">
            <w:pPr>
              <w:spacing w:after="60"/>
              <w:jc w:val="center"/>
              <w:rPr>
                <w:rFonts w:cs="Calibri"/>
                <w:b/>
                <w:color w:val="FFFFFF"/>
                <w:sz w:val="20"/>
                <w:szCs w:val="20"/>
              </w:rPr>
            </w:pPr>
            <w:r w:rsidRPr="007D723E">
              <w:rPr>
                <w:b/>
                <w:bCs/>
                <w:sz w:val="20"/>
                <w:szCs w:val="20"/>
              </w:rPr>
              <w:t>2.1.2.2.3. Jaunu produktu un tehnoloģiju izstrāde - atbalsts rūpnieciskā īpašuma tiesību nostiprināšanai</w:t>
            </w:r>
            <w:r w:rsidRPr="007D723E">
              <w:rPr>
                <w:rStyle w:val="FootnoteReference"/>
                <w:b/>
                <w:bCs/>
                <w:sz w:val="20"/>
                <w:szCs w:val="20"/>
              </w:rPr>
              <w:footnoteReference w:id="28"/>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Apakšaktivitātes mērķis ir atbalstīt veiksmīgi izstrādāto jauno produktu (tajā skaitā preču vai pakalpojumu) vai tehnoloģiju (tajā skaitā tehnoloģisko procesu) rūpnieciskā īpašuma tiesību nostiprināšanu.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Pieteikuma sagatavošanas izmaksas</w:t>
            </w:r>
          </w:p>
          <w:p w:rsidR="000B4ED4" w:rsidRPr="00DB426E" w:rsidRDefault="000B4ED4" w:rsidP="000B4ED4">
            <w:pPr>
              <w:spacing w:after="60"/>
              <w:rPr>
                <w:rFonts w:cs="Calibri"/>
                <w:sz w:val="20"/>
                <w:szCs w:val="20"/>
              </w:rPr>
            </w:pPr>
            <w:r w:rsidRPr="00DB426E">
              <w:rPr>
                <w:rFonts w:cs="Calibri"/>
                <w:sz w:val="20"/>
                <w:szCs w:val="20"/>
              </w:rPr>
              <w:t>Tulkošanas izmaksas</w:t>
            </w:r>
          </w:p>
          <w:p w:rsidR="000B4ED4" w:rsidRPr="00DB426E" w:rsidRDefault="000B4ED4" w:rsidP="000B4ED4">
            <w:pPr>
              <w:spacing w:after="60"/>
              <w:rPr>
                <w:rFonts w:cs="Calibri"/>
                <w:sz w:val="20"/>
                <w:szCs w:val="20"/>
              </w:rPr>
            </w:pPr>
            <w:r w:rsidRPr="00DB426E">
              <w:rPr>
                <w:rFonts w:cs="Calibri"/>
                <w:sz w:val="20"/>
                <w:szCs w:val="20"/>
              </w:rPr>
              <w:t>Pieteikuma tiesību izskatīšanas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r w:rsidRPr="00DB426E">
              <w:rPr>
                <w:rFonts w:cs="Calibri"/>
                <w:i/>
                <w:sz w:val="20"/>
                <w:szCs w:val="20"/>
              </w:rPr>
              <w:t xml:space="preserve">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vairumtirdzniecība un mazumtirdzniecība;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finanšu starpniecība;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komercpakalpojumi (operācijas ar nekustamo īpašumu; transportlīdzekļu, mašīnu un iekārtu, individuālās lietošanas priekšmetu, sadzīves aparatūras un iekārtu iznomāšana);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azartspēles un derības;</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rPr>
            </w:pPr>
            <w:r w:rsidRPr="00DB426E">
              <w:rPr>
                <w:rFonts w:ascii="Calibri" w:eastAsia="Calibri" w:hAnsi="Calibri" w:cs="Calibri"/>
                <w:sz w:val="20"/>
                <w:szCs w:val="20"/>
              </w:rPr>
              <w:t>alus un alkoholisko dzērienu ražošana;</w:t>
            </w:r>
          </w:p>
          <w:p w:rsidR="000B4ED4" w:rsidRPr="00DB426E" w:rsidRDefault="000B4ED4" w:rsidP="000B4ED4">
            <w:pPr>
              <w:pStyle w:val="tv213"/>
              <w:shd w:val="clear" w:color="auto" w:fill="FFFFFF"/>
              <w:spacing w:before="0" w:beforeAutospacing="0" w:after="60" w:afterAutospacing="0" w:line="276" w:lineRule="auto"/>
              <w:rPr>
                <w:rFonts w:ascii="Calibri" w:hAnsi="Calibri" w:cs="Calibri"/>
                <w:sz w:val="20"/>
                <w:szCs w:val="20"/>
              </w:rPr>
            </w:pPr>
            <w:r w:rsidRPr="00DB426E">
              <w:rPr>
                <w:rFonts w:ascii="Calibri" w:eastAsia="Calibri" w:hAnsi="Calibri" w:cs="Calibri"/>
                <w:sz w:val="20"/>
                <w:szCs w:val="20"/>
              </w:rPr>
              <w:t>tabakas izstrādājumu ražošana.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ietvaros atbalsts tiek sniegts tikai ar R&amp;D saistītām izmaksām.</w:t>
            </w:r>
          </w:p>
          <w:p w:rsidR="000B4ED4" w:rsidRPr="00DB426E" w:rsidRDefault="000B4ED4" w:rsidP="000B4ED4">
            <w:pPr>
              <w:spacing w:after="60"/>
              <w:rPr>
                <w:rFonts w:cs="Calibri"/>
                <w:sz w:val="20"/>
                <w:szCs w:val="20"/>
              </w:rPr>
            </w:pPr>
            <w:r w:rsidRPr="00DB426E">
              <w:rPr>
                <w:rFonts w:cs="Calibri"/>
                <w:sz w:val="20"/>
                <w:szCs w:val="20"/>
              </w:rPr>
              <w:t>Īpašas prasības komersantiem (projekta pieteicējam un sadarbības partnerim) netiek izvirzītas.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Projekta īstenošanas laiks ir 3 gadi</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44 444,44 LVL (</w:t>
            </w:r>
            <w:proofErr w:type="spellStart"/>
            <w:r w:rsidRPr="00DB426E">
              <w:rPr>
                <w:rFonts w:cs="Calibri"/>
                <w:sz w:val="20"/>
                <w:szCs w:val="20"/>
              </w:rPr>
              <w:t>mikro</w:t>
            </w:r>
            <w:proofErr w:type="spellEnd"/>
            <w:r w:rsidRPr="00DB426E">
              <w:rPr>
                <w:rFonts w:cs="Calibri"/>
                <w:sz w:val="20"/>
                <w:szCs w:val="20"/>
              </w:rPr>
              <w:t xml:space="preserve"> un mazajiem komersantiem)</w:t>
            </w:r>
          </w:p>
          <w:p w:rsidR="000B4ED4" w:rsidRPr="00DB426E" w:rsidRDefault="000B4ED4" w:rsidP="000B4ED4">
            <w:pPr>
              <w:spacing w:after="60"/>
              <w:rPr>
                <w:rFonts w:cs="Calibri"/>
                <w:sz w:val="20"/>
                <w:szCs w:val="20"/>
              </w:rPr>
            </w:pPr>
            <w:r w:rsidRPr="00DB426E">
              <w:rPr>
                <w:rFonts w:cs="Calibri"/>
                <w:sz w:val="20"/>
                <w:szCs w:val="20"/>
              </w:rPr>
              <w:t>57 142,86 LVL (vidējiem komersantiem)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35% – </w:t>
            </w:r>
            <w:proofErr w:type="spellStart"/>
            <w:r w:rsidRPr="00DB426E">
              <w:rPr>
                <w:rFonts w:cs="Calibri"/>
                <w:sz w:val="20"/>
                <w:szCs w:val="20"/>
              </w:rPr>
              <w:t>mikro</w:t>
            </w:r>
            <w:proofErr w:type="spellEnd"/>
            <w:r w:rsidRPr="00DB426E">
              <w:rPr>
                <w:rFonts w:cs="Calibri"/>
                <w:sz w:val="20"/>
                <w:szCs w:val="20"/>
              </w:rPr>
              <w:t xml:space="preserve"> un mazajiem komersantiem</w:t>
            </w:r>
          </w:p>
          <w:p w:rsidR="000B4ED4" w:rsidRPr="00DB426E" w:rsidRDefault="000B4ED4" w:rsidP="000B4ED4">
            <w:pPr>
              <w:spacing w:after="60"/>
              <w:rPr>
                <w:rFonts w:cs="Calibri"/>
                <w:sz w:val="20"/>
                <w:szCs w:val="20"/>
              </w:rPr>
            </w:pPr>
            <w:r w:rsidRPr="00DB426E">
              <w:rPr>
                <w:rFonts w:cs="Calibri"/>
                <w:sz w:val="20"/>
                <w:szCs w:val="20"/>
              </w:rPr>
              <w:t xml:space="preserve">45% - vidējiem komersantiem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174 764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5</w:t>
            </w:r>
          </w:p>
        </w:tc>
        <w:tc>
          <w:tcPr>
            <w:tcW w:w="1846" w:type="pct"/>
          </w:tcPr>
          <w:p w:rsidR="000B4ED4" w:rsidRPr="00DB426E" w:rsidRDefault="000B4ED4" w:rsidP="000B4ED4">
            <w:pPr>
              <w:spacing w:after="60"/>
              <w:rPr>
                <w:rFonts w:cs="Calibri"/>
                <w:sz w:val="20"/>
                <w:szCs w:val="20"/>
              </w:rPr>
            </w:pPr>
            <w:r w:rsidRPr="00DB426E">
              <w:rPr>
                <w:rFonts w:cs="Calibri"/>
                <w:sz w:val="20"/>
                <w:szCs w:val="20"/>
              </w:rPr>
              <w:t>71 838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5</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10 638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Piesaistītais privātā sektora finansējums R&amp;D: 90 000 EUR</w:t>
            </w:r>
          </w:p>
        </w:tc>
        <w:tc>
          <w:tcPr>
            <w:tcW w:w="1846" w:type="pct"/>
          </w:tcPr>
          <w:p w:rsidR="000B4ED4" w:rsidRPr="00DB426E" w:rsidRDefault="000B4ED4" w:rsidP="000B4ED4">
            <w:pPr>
              <w:spacing w:after="60"/>
              <w:rPr>
                <w:rFonts w:cs="Calibri"/>
                <w:sz w:val="20"/>
                <w:szCs w:val="20"/>
              </w:rPr>
            </w:pPr>
            <w:r w:rsidRPr="00DB426E">
              <w:rPr>
                <w:rFonts w:cs="Calibri"/>
                <w:sz w:val="20"/>
                <w:szCs w:val="20"/>
              </w:rPr>
              <w:t>Piesaistītais privātā sektora finansējums R&amp;D: 20 846 EUR</w:t>
            </w:r>
          </w:p>
        </w:tc>
      </w:tr>
    </w:tbl>
    <w:p w:rsidR="000B4ED4" w:rsidRPr="00DB426E" w:rsidRDefault="000B4ED4" w:rsidP="000B4ED4">
      <w:pPr>
        <w:spacing w:before="240"/>
      </w:pPr>
      <w:r w:rsidRPr="00DB426E">
        <w:t>Pieteikšanās sarežģītības pakāpe ir zema; iesniedzamo dokumentu sarakstā ir tikai pieteikuma veidlapa, gada pārskats un izziņas.</w:t>
      </w:r>
    </w:p>
    <w:p w:rsidR="000B4ED4" w:rsidRPr="00DB426E" w:rsidRDefault="000B4ED4" w:rsidP="000B4ED4">
      <w:r w:rsidRPr="00DB426E">
        <w:t xml:space="preserve">Aktivitātei nav ietekmes uz brīvās konkurences ierobežošanu. Atbalsta intensitāte ir atbilstoša komersantu lielumam, lielie komersanti (kuriem potenciāli varētu būt augstāka konkurētspēja) atbalstīti netiek. Atbalsts tiek sniegts R&amp;D aktivitāšu izmaksu segšanai – rūpnieciskā īpašuma tiesību nostiprināšanai, kas komersanta konkurētspēju ietekmē tikai netieši. </w:t>
      </w:r>
    </w:p>
    <w:p w:rsidR="000B4ED4" w:rsidRPr="00DB426E" w:rsidRDefault="000B4ED4" w:rsidP="000B4ED4">
      <w:r w:rsidRPr="00DB426E">
        <w:t xml:space="preserve">Aktivitātes mērķis atbilst sasniegtajiem rezultatīvajiem rādītājiem. Gan mērķis, gan sasniegtie rādītāji sekmē privāto investīciju veikšanu R&amp;D. Sasniegtie aktivitātes rezultāti liecina par augstu varbūtību sasniegt prognozēto rezultatīvo rādītāju izpildi. Izmaksāti 15% no kopējā apstiprinātā finansējuma, piesaistot 23% no kopējām plānotajām privātajām investīcijām R&amp;D. Vienlaikus jāpiezīmē, ka sagaidāmais privātā sektora līdzfinansējums R&amp;D pēc apstiprināto projektu datiem par 27% pārsniedz sākotnēji plānoto.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7D723E" w:rsidRDefault="000B4ED4" w:rsidP="000B4ED4">
            <w:pPr>
              <w:spacing w:after="60"/>
              <w:jc w:val="center"/>
              <w:rPr>
                <w:rFonts w:cs="Calibri"/>
                <w:b/>
                <w:color w:val="FFFFFF"/>
                <w:sz w:val="20"/>
                <w:szCs w:val="20"/>
              </w:rPr>
            </w:pPr>
            <w:r w:rsidRPr="007D723E">
              <w:rPr>
                <w:b/>
                <w:bCs/>
                <w:sz w:val="20"/>
                <w:szCs w:val="20"/>
              </w:rPr>
              <w:t>2.1.2.2.4. MVK jaunu produktu un tehnoloģiju attīstības programma</w:t>
            </w:r>
            <w:r w:rsidRPr="007D723E">
              <w:rPr>
                <w:rStyle w:val="FootnoteReference"/>
                <w:b/>
                <w:bCs/>
                <w:sz w:val="20"/>
                <w:szCs w:val="20"/>
              </w:rPr>
              <w:footnoteReference w:id="29"/>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Veicināt </w:t>
            </w:r>
            <w:proofErr w:type="spellStart"/>
            <w:r w:rsidRPr="00DB426E">
              <w:rPr>
                <w:rFonts w:cs="Calibri"/>
                <w:sz w:val="20"/>
                <w:szCs w:val="20"/>
              </w:rPr>
              <w:t>mikro</w:t>
            </w:r>
            <w:proofErr w:type="spellEnd"/>
            <w:r w:rsidRPr="00DB426E">
              <w:rPr>
                <w:rFonts w:cs="Calibri"/>
                <w:sz w:val="20"/>
                <w:szCs w:val="20"/>
              </w:rPr>
              <w:t xml:space="preserve"> (sīko), mazo un vidējo komersantu inovāciju, jaunu produktu vai tehnoloģiju attīstību, tehnoloģiju pārnesi un konkurētspējas stiprināšanu.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Rūpniecisko pētījumu izmaksas</w:t>
            </w:r>
          </w:p>
          <w:p w:rsidR="000B4ED4" w:rsidRPr="00DB426E" w:rsidRDefault="000B4ED4" w:rsidP="000B4ED4">
            <w:pPr>
              <w:spacing w:after="60"/>
              <w:rPr>
                <w:rFonts w:cs="Calibri"/>
                <w:sz w:val="20"/>
                <w:szCs w:val="20"/>
              </w:rPr>
            </w:pPr>
            <w:r w:rsidRPr="00DB426E">
              <w:rPr>
                <w:rFonts w:cs="Calibri"/>
                <w:sz w:val="20"/>
                <w:szCs w:val="20"/>
              </w:rPr>
              <w:t>Eksperimentālo izstrādņu izmaksas</w:t>
            </w:r>
          </w:p>
          <w:p w:rsidR="000B4ED4" w:rsidRPr="00DB426E" w:rsidRDefault="000B4ED4" w:rsidP="000B4ED4">
            <w:pPr>
              <w:spacing w:after="60"/>
              <w:rPr>
                <w:rFonts w:cs="Calibri"/>
                <w:sz w:val="20"/>
                <w:szCs w:val="20"/>
              </w:rPr>
            </w:pPr>
            <w:r w:rsidRPr="00DB426E">
              <w:rPr>
                <w:rFonts w:cs="Calibri"/>
                <w:sz w:val="20"/>
                <w:szCs w:val="20"/>
              </w:rPr>
              <w:t>Īpašuma tiesību nostiprināšanas izmaksas</w:t>
            </w:r>
          </w:p>
          <w:p w:rsidR="000B4ED4" w:rsidRPr="00DB426E" w:rsidRDefault="000B4ED4" w:rsidP="000B4ED4">
            <w:pPr>
              <w:spacing w:after="60"/>
              <w:rPr>
                <w:rFonts w:cs="Calibri"/>
                <w:sz w:val="20"/>
                <w:szCs w:val="20"/>
              </w:rPr>
            </w:pPr>
            <w:r w:rsidRPr="00DB426E">
              <w:rPr>
                <w:rFonts w:cs="Calibri"/>
                <w:sz w:val="20"/>
                <w:szCs w:val="20"/>
              </w:rPr>
              <w:t>Sertificēšanas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r w:rsidRPr="00DB426E">
              <w:rPr>
                <w:rFonts w:cs="Calibri"/>
                <w:i/>
                <w:sz w:val="20"/>
                <w:szCs w:val="20"/>
              </w:rPr>
              <w:t xml:space="preserve">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Lauksaimniecības produktu ražošanas nozare;</w:t>
            </w:r>
          </w:p>
          <w:p w:rsidR="000B4ED4" w:rsidRPr="00DB426E" w:rsidRDefault="000B4ED4" w:rsidP="000B4ED4">
            <w:pPr>
              <w:spacing w:after="60"/>
              <w:rPr>
                <w:rFonts w:cs="Calibri"/>
                <w:sz w:val="20"/>
                <w:szCs w:val="20"/>
              </w:rPr>
            </w:pPr>
            <w:r w:rsidRPr="00DB426E">
              <w:rPr>
                <w:rFonts w:cs="Calibri"/>
                <w:sz w:val="20"/>
                <w:szCs w:val="20"/>
              </w:rPr>
              <w:t>Zivsaimniecības un akvakultūras nozare;</w:t>
            </w:r>
          </w:p>
          <w:p w:rsidR="000B4ED4" w:rsidRPr="00DB426E" w:rsidRDefault="000B4ED4" w:rsidP="000B4ED4">
            <w:pPr>
              <w:spacing w:after="60"/>
              <w:rPr>
                <w:rFonts w:cs="Calibri"/>
                <w:sz w:val="20"/>
                <w:szCs w:val="20"/>
              </w:rPr>
            </w:pPr>
            <w:r w:rsidRPr="00DB426E">
              <w:rPr>
                <w:rFonts w:cs="Calibri"/>
                <w:sz w:val="20"/>
                <w:szCs w:val="20"/>
              </w:rPr>
              <w:t>Ogļu rūpniecības nozare;</w:t>
            </w:r>
          </w:p>
          <w:p w:rsidR="000B4ED4" w:rsidRPr="00DB426E" w:rsidRDefault="000B4ED4" w:rsidP="000B4ED4">
            <w:pPr>
              <w:spacing w:after="60"/>
              <w:rPr>
                <w:rFonts w:cs="Calibri"/>
                <w:sz w:val="20"/>
                <w:szCs w:val="20"/>
              </w:rPr>
            </w:pPr>
            <w:r w:rsidRPr="00DB426E">
              <w:rPr>
                <w:rFonts w:cs="Calibri"/>
                <w:sz w:val="20"/>
                <w:szCs w:val="20"/>
              </w:rPr>
              <w:t>Alkoholisko dzērienu ražošanas nozare;</w:t>
            </w:r>
          </w:p>
          <w:p w:rsidR="000B4ED4" w:rsidRPr="00DB426E" w:rsidRDefault="000B4ED4" w:rsidP="000B4ED4">
            <w:pPr>
              <w:spacing w:after="60"/>
              <w:rPr>
                <w:rFonts w:cs="Calibri"/>
                <w:sz w:val="20"/>
                <w:szCs w:val="20"/>
              </w:rPr>
            </w:pPr>
            <w:r w:rsidRPr="00DB426E">
              <w:rPr>
                <w:rFonts w:cs="Calibri"/>
                <w:sz w:val="20"/>
                <w:szCs w:val="20"/>
              </w:rPr>
              <w:t>Tabakas izstrādājumu ražošanas nozare;</w:t>
            </w:r>
          </w:p>
          <w:p w:rsidR="000B4ED4" w:rsidRPr="00DB426E" w:rsidRDefault="000B4ED4" w:rsidP="000B4ED4">
            <w:pPr>
              <w:spacing w:after="60"/>
              <w:rPr>
                <w:rFonts w:cs="Calibri"/>
                <w:sz w:val="20"/>
                <w:szCs w:val="20"/>
              </w:rPr>
            </w:pPr>
            <w:r w:rsidRPr="00DB426E">
              <w:rPr>
                <w:rFonts w:cs="Calibri"/>
                <w:sz w:val="20"/>
                <w:szCs w:val="20"/>
              </w:rPr>
              <w:t>Tirdzniecības nozare;</w:t>
            </w:r>
          </w:p>
          <w:p w:rsidR="000B4ED4" w:rsidRPr="00DB426E" w:rsidRDefault="000B4ED4" w:rsidP="000B4ED4">
            <w:pPr>
              <w:spacing w:after="60"/>
              <w:rPr>
                <w:rFonts w:cs="Calibri"/>
                <w:sz w:val="20"/>
                <w:szCs w:val="20"/>
              </w:rPr>
            </w:pPr>
            <w:r w:rsidRPr="00DB426E">
              <w:rPr>
                <w:rFonts w:cs="Calibri"/>
                <w:sz w:val="20"/>
                <w:szCs w:val="20"/>
              </w:rPr>
              <w:t>Finanšu starpniecības nozare;</w:t>
            </w:r>
          </w:p>
          <w:p w:rsidR="000B4ED4" w:rsidRPr="00DB426E" w:rsidRDefault="000B4ED4" w:rsidP="000B4ED4">
            <w:pPr>
              <w:spacing w:after="60"/>
              <w:rPr>
                <w:rFonts w:cs="Calibri"/>
                <w:sz w:val="20"/>
                <w:szCs w:val="20"/>
              </w:rPr>
            </w:pPr>
            <w:r w:rsidRPr="00DB426E">
              <w:rPr>
                <w:rFonts w:cs="Calibri"/>
                <w:sz w:val="20"/>
                <w:szCs w:val="20"/>
              </w:rPr>
              <w:t>Komercpakalpojumu nozare;</w:t>
            </w:r>
          </w:p>
          <w:p w:rsidR="000B4ED4" w:rsidRPr="00DB426E" w:rsidRDefault="000B4ED4" w:rsidP="000B4ED4">
            <w:pPr>
              <w:spacing w:after="60"/>
              <w:rPr>
                <w:rFonts w:cs="Calibri"/>
                <w:sz w:val="20"/>
                <w:szCs w:val="20"/>
              </w:rPr>
            </w:pPr>
            <w:r w:rsidRPr="00DB426E">
              <w:rPr>
                <w:rFonts w:cs="Calibri"/>
                <w:sz w:val="20"/>
                <w:szCs w:val="20"/>
              </w:rPr>
              <w:t>Azartspēļu nozare;</w:t>
            </w:r>
          </w:p>
          <w:p w:rsidR="000B4ED4" w:rsidRPr="00DB426E" w:rsidRDefault="000B4ED4" w:rsidP="000B4ED4">
            <w:pPr>
              <w:spacing w:after="60"/>
              <w:rPr>
                <w:rFonts w:cs="Calibri"/>
                <w:sz w:val="20"/>
                <w:szCs w:val="20"/>
              </w:rPr>
            </w:pPr>
            <w:r w:rsidRPr="00DB426E">
              <w:rPr>
                <w:rFonts w:cs="Calibri"/>
                <w:sz w:val="20"/>
                <w:szCs w:val="20"/>
              </w:rPr>
              <w:t>Autotransporta nozare</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Uz atbalstu var pretendēt tāds komersants, kurš plāno izstrādāt jaunu produktu vai tehnoloģiju. </w:t>
            </w:r>
          </w:p>
          <w:p w:rsidR="000B4ED4" w:rsidRPr="00DB426E" w:rsidRDefault="000B4ED4" w:rsidP="000B4ED4">
            <w:pPr>
              <w:spacing w:after="60"/>
              <w:rPr>
                <w:rFonts w:cs="Calibri"/>
                <w:sz w:val="20"/>
                <w:szCs w:val="20"/>
              </w:rPr>
            </w:pPr>
            <w:r w:rsidRPr="00DB426E">
              <w:rPr>
                <w:rFonts w:cs="Calibri"/>
                <w:sz w:val="20"/>
                <w:szCs w:val="20"/>
              </w:rPr>
              <w:t>Papildus punktus vērtēšanā iegūst tie komersanti, kuri jau ir izstrādājuši jaunus produktus vai tehnoloģijas.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60%</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2 000 000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highlight w:val="green"/>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highlight w:val="green"/>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Komersantu skaits, kas ievieš jaunus produktus vai tehnoloģijas: 200</w:t>
            </w:r>
          </w:p>
        </w:tc>
        <w:tc>
          <w:tcPr>
            <w:tcW w:w="1846" w:type="pct"/>
          </w:tcPr>
          <w:p w:rsidR="000B4ED4" w:rsidRPr="00DB426E" w:rsidRDefault="000B4ED4" w:rsidP="000B4ED4">
            <w:pPr>
              <w:spacing w:after="60"/>
              <w:rPr>
                <w:rFonts w:cs="Calibri"/>
                <w:color w:val="FF0000"/>
                <w:sz w:val="20"/>
                <w:szCs w:val="20"/>
                <w:highlight w:val="green"/>
              </w:rPr>
            </w:pPr>
          </w:p>
        </w:tc>
      </w:tr>
    </w:tbl>
    <w:p w:rsidR="000B4ED4" w:rsidRPr="00DB426E" w:rsidRDefault="000B4ED4" w:rsidP="000B4ED4">
      <w:pPr>
        <w:spacing w:before="240"/>
      </w:pPr>
      <w:r w:rsidRPr="00DB426E">
        <w:t>Pieteikšanās procedūra ir vidēji sarežģīta. Neskatoties uz salīdzinoši mazo atbalsta apjomu (maks. 10 000 LVL), iesniedzamo dokumentu vidū ir biznesa un attīstības plāns, kura sagatavošana var aizņemt papildus laiku un radīt papildus izmaksas.</w:t>
      </w:r>
    </w:p>
    <w:p w:rsidR="000B4ED4" w:rsidRPr="00DB426E" w:rsidRDefault="000B4ED4" w:rsidP="000B4ED4">
      <w:r w:rsidRPr="00DB426E">
        <w:t xml:space="preserve">Lai gan aktivitātes ietvaros pastāv dažādi nozaru ierobežojumi, nav pamata uzskatīt, ka šī aktivitāte būtiski ierobežo brīvo konkurenci. Atbalsts tiek sniegt MVU tādu izmaksu segšanai, kas radušās R&amp;D aktivitāšu veikšanas ietvaros. Tas tieši neietekmē šo rezultātu komercializāciju un nerada komersantiem nepamatoti labvēlīgus apstākļus tirgū. </w:t>
      </w:r>
    </w:p>
    <w:p w:rsidR="000B4ED4" w:rsidRPr="00DB426E" w:rsidRDefault="000B4ED4" w:rsidP="000B4ED4">
      <w:pPr>
        <w:rPr>
          <w:color w:val="FF0000"/>
        </w:rPr>
      </w:pPr>
      <w:r w:rsidRPr="00DB426E">
        <w:t>Aktivitātes mērķis atbilst sasniegtajiem rezultatīvajiem rādītājiem. Gan mērķis, gan sasniegtie rādītāji sekmē privāto investīciju veikšanu R&amp;D. Aktivitātes ieviešana nesen uzsākta, līdz ar to nav datu par apstiprinātajiem projektiem un sasniegtajiem rādītājiem.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097DBA" w:rsidRDefault="000B4ED4" w:rsidP="000B4ED4">
            <w:pPr>
              <w:spacing w:after="60"/>
              <w:jc w:val="center"/>
              <w:rPr>
                <w:rFonts w:cs="Calibri"/>
                <w:b/>
                <w:color w:val="FFFFFF"/>
                <w:sz w:val="20"/>
                <w:szCs w:val="20"/>
              </w:rPr>
            </w:pPr>
            <w:r w:rsidRPr="00097DBA">
              <w:rPr>
                <w:b/>
                <w:bCs/>
                <w:sz w:val="20"/>
                <w:szCs w:val="20"/>
              </w:rPr>
              <w:t xml:space="preserve">2.1.2.4. </w:t>
            </w:r>
            <w:r w:rsidRPr="00475128">
              <w:rPr>
                <w:b/>
                <w:bCs/>
                <w:sz w:val="20"/>
                <w:szCs w:val="20"/>
                <w:shd w:val="clear" w:color="auto" w:fill="BFBFBF"/>
              </w:rPr>
              <w:t>Augstas pievienotās vērtības investīcijas</w:t>
            </w:r>
            <w:r w:rsidRPr="00475128">
              <w:rPr>
                <w:rStyle w:val="FootnoteReference"/>
                <w:b/>
                <w:bCs/>
                <w:sz w:val="20"/>
                <w:szCs w:val="20"/>
                <w:shd w:val="clear" w:color="auto" w:fill="BFBFBF"/>
              </w:rPr>
              <w:footnoteReference w:id="30"/>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Stimulēt vietējos komersantus veikt ieguldījumus zināšanu vai tehnoloģiju intensīvajos projektos, kā arī piesaistīt ārvalstu investīcijas jomās ar augstu pievienoto vērtību, tādējādi veicinot jaunāko tehnoloģiju pārnesi no ārvalstīm.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iekārtu un aprīkojuma iegāde</w:t>
            </w:r>
          </w:p>
          <w:p w:rsidR="000B4ED4" w:rsidRPr="00DB426E" w:rsidRDefault="000B4ED4" w:rsidP="000B4ED4">
            <w:pPr>
              <w:spacing w:after="60"/>
              <w:rPr>
                <w:rFonts w:cs="Calibri"/>
                <w:sz w:val="20"/>
                <w:szCs w:val="20"/>
              </w:rPr>
            </w:pPr>
            <w:r w:rsidRPr="00DB426E">
              <w:rPr>
                <w:rFonts w:cs="Calibri"/>
                <w:sz w:val="20"/>
                <w:szCs w:val="20"/>
              </w:rPr>
              <w:t>būvniecības izmaksas</w:t>
            </w:r>
          </w:p>
          <w:p w:rsidR="000B4ED4" w:rsidRPr="00DB426E" w:rsidRDefault="000B4ED4" w:rsidP="000B4ED4">
            <w:pPr>
              <w:spacing w:after="60"/>
              <w:rPr>
                <w:rFonts w:cs="Calibri"/>
                <w:sz w:val="20"/>
                <w:szCs w:val="20"/>
              </w:rPr>
            </w:pPr>
            <w:r w:rsidRPr="00DB426E">
              <w:rPr>
                <w:rFonts w:cs="Calibri"/>
                <w:sz w:val="20"/>
                <w:szCs w:val="20"/>
              </w:rPr>
              <w:t>licenču un patentu iegāde</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Komercsabiedrība</w:t>
            </w:r>
          </w:p>
          <w:p w:rsidR="000B4ED4" w:rsidRPr="00DB426E" w:rsidRDefault="000B4ED4" w:rsidP="000B4ED4">
            <w:pPr>
              <w:spacing w:after="60"/>
              <w:rPr>
                <w:rFonts w:cs="Calibri"/>
                <w:i/>
                <w:sz w:val="20"/>
                <w:szCs w:val="20"/>
              </w:rPr>
            </w:pPr>
            <w:r w:rsidRPr="00DB426E">
              <w:rPr>
                <w:rFonts w:cs="Calibri"/>
                <w:sz w:val="20"/>
                <w:szCs w:val="20"/>
              </w:rPr>
              <w:t>Individuālais 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p w:rsidR="000B4ED4" w:rsidRPr="00DB426E" w:rsidRDefault="000B4ED4" w:rsidP="000B4ED4">
            <w:pPr>
              <w:spacing w:after="60"/>
              <w:rPr>
                <w:rFonts w:cs="Calibri"/>
                <w:sz w:val="20"/>
                <w:szCs w:val="20"/>
              </w:rPr>
            </w:pPr>
            <w:r w:rsidRPr="00DB426E">
              <w:rPr>
                <w:rFonts w:cs="Calibri"/>
                <w:sz w:val="20"/>
                <w:szCs w:val="20"/>
              </w:rPr>
              <w:t>Lielais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Vairumtirdzniecība un mazumtirdzniecība;</w:t>
            </w:r>
          </w:p>
          <w:p w:rsidR="000B4ED4" w:rsidRPr="00DB426E" w:rsidRDefault="000B4ED4" w:rsidP="000B4ED4">
            <w:pPr>
              <w:spacing w:after="60"/>
              <w:rPr>
                <w:rFonts w:cs="Calibri"/>
                <w:sz w:val="20"/>
                <w:szCs w:val="20"/>
              </w:rPr>
            </w:pPr>
            <w:r w:rsidRPr="00DB426E">
              <w:rPr>
                <w:rFonts w:cs="Calibri"/>
                <w:sz w:val="20"/>
                <w:szCs w:val="20"/>
              </w:rPr>
              <w:t>Finanšu starpniecība;</w:t>
            </w:r>
          </w:p>
          <w:p w:rsidR="000B4ED4" w:rsidRPr="00DB426E" w:rsidRDefault="000B4ED4" w:rsidP="000B4ED4">
            <w:pPr>
              <w:spacing w:after="60"/>
              <w:rPr>
                <w:rFonts w:cs="Calibri"/>
                <w:sz w:val="20"/>
                <w:szCs w:val="20"/>
              </w:rPr>
            </w:pPr>
            <w:r w:rsidRPr="00DB426E">
              <w:rPr>
                <w:rFonts w:cs="Calibri"/>
                <w:sz w:val="20"/>
                <w:szCs w:val="20"/>
              </w:rPr>
              <w:t>Komercpakalpojumi;</w:t>
            </w:r>
          </w:p>
          <w:p w:rsidR="000B4ED4" w:rsidRPr="00DB426E" w:rsidRDefault="000B4ED4" w:rsidP="000B4ED4">
            <w:pPr>
              <w:spacing w:after="60"/>
              <w:rPr>
                <w:rFonts w:cs="Calibri"/>
                <w:sz w:val="20"/>
                <w:szCs w:val="20"/>
              </w:rPr>
            </w:pPr>
            <w:r w:rsidRPr="00DB426E">
              <w:rPr>
                <w:rFonts w:cs="Calibri"/>
                <w:sz w:val="20"/>
                <w:szCs w:val="20"/>
              </w:rPr>
              <w:t>Azartspēles un derības;</w:t>
            </w:r>
          </w:p>
          <w:p w:rsidR="000B4ED4" w:rsidRPr="00DB426E" w:rsidRDefault="000B4ED4" w:rsidP="000B4ED4">
            <w:pPr>
              <w:spacing w:after="60"/>
              <w:rPr>
                <w:rFonts w:cs="Calibri"/>
                <w:sz w:val="20"/>
                <w:szCs w:val="20"/>
              </w:rPr>
            </w:pPr>
            <w:r w:rsidRPr="00DB426E">
              <w:rPr>
                <w:rFonts w:cs="Calibri"/>
                <w:sz w:val="20"/>
                <w:szCs w:val="20"/>
              </w:rPr>
              <w:t>Alus un alkoholisko dzērienu ražošana</w:t>
            </w:r>
          </w:p>
          <w:p w:rsidR="000B4ED4" w:rsidRPr="00DB426E" w:rsidRDefault="000B4ED4" w:rsidP="000B4ED4">
            <w:pPr>
              <w:spacing w:after="60"/>
              <w:rPr>
                <w:rFonts w:cs="Calibri"/>
                <w:sz w:val="20"/>
                <w:szCs w:val="20"/>
              </w:rPr>
            </w:pPr>
            <w:r w:rsidRPr="00DB426E">
              <w:rPr>
                <w:rFonts w:cs="Calibri"/>
                <w:sz w:val="20"/>
                <w:szCs w:val="20"/>
              </w:rPr>
              <w:t>Tabakas izstrādājumu ražošana;</w:t>
            </w:r>
          </w:p>
          <w:p w:rsidR="000B4ED4" w:rsidRPr="00DB426E" w:rsidRDefault="000B4ED4" w:rsidP="000B4ED4">
            <w:pPr>
              <w:spacing w:after="60"/>
              <w:rPr>
                <w:rFonts w:cs="Calibri"/>
                <w:sz w:val="20"/>
                <w:szCs w:val="20"/>
              </w:rPr>
            </w:pPr>
            <w:r w:rsidRPr="00DB426E">
              <w:rPr>
                <w:rFonts w:cs="Calibri"/>
                <w:sz w:val="20"/>
                <w:szCs w:val="20"/>
              </w:rPr>
              <w:t>Zivsaimniecība un akvakultūra;</w:t>
            </w:r>
          </w:p>
          <w:p w:rsidR="000B4ED4" w:rsidRPr="00DB426E" w:rsidRDefault="000B4ED4" w:rsidP="000B4ED4">
            <w:pPr>
              <w:spacing w:after="60"/>
              <w:rPr>
                <w:rFonts w:cs="Calibri"/>
                <w:sz w:val="20"/>
                <w:szCs w:val="20"/>
              </w:rPr>
            </w:pPr>
            <w:r w:rsidRPr="00DB426E">
              <w:rPr>
                <w:rFonts w:cs="Calibri"/>
                <w:sz w:val="20"/>
                <w:szCs w:val="20"/>
              </w:rPr>
              <w:t>Kuģu būve;</w:t>
            </w:r>
          </w:p>
          <w:p w:rsidR="000B4ED4" w:rsidRPr="00DB426E" w:rsidRDefault="000B4ED4" w:rsidP="000B4ED4">
            <w:pPr>
              <w:spacing w:after="60"/>
              <w:rPr>
                <w:rFonts w:cs="Calibri"/>
                <w:sz w:val="20"/>
                <w:szCs w:val="20"/>
              </w:rPr>
            </w:pPr>
            <w:r w:rsidRPr="00DB426E">
              <w:rPr>
                <w:rFonts w:cs="Calibri"/>
                <w:sz w:val="20"/>
                <w:szCs w:val="20"/>
              </w:rPr>
              <w:t>Ogļu rūpniecība;</w:t>
            </w:r>
          </w:p>
          <w:p w:rsidR="000B4ED4" w:rsidRPr="00DB426E" w:rsidRDefault="000B4ED4" w:rsidP="000B4ED4">
            <w:pPr>
              <w:spacing w:after="60"/>
              <w:rPr>
                <w:rFonts w:cs="Calibri"/>
                <w:sz w:val="20"/>
                <w:szCs w:val="20"/>
              </w:rPr>
            </w:pPr>
            <w:r w:rsidRPr="00DB426E">
              <w:rPr>
                <w:rFonts w:cs="Calibri"/>
                <w:sz w:val="20"/>
                <w:szCs w:val="20"/>
              </w:rPr>
              <w:t>Tērauda nozare;</w:t>
            </w:r>
          </w:p>
          <w:p w:rsidR="000B4ED4" w:rsidRPr="00DB426E" w:rsidRDefault="000B4ED4" w:rsidP="000B4ED4">
            <w:pPr>
              <w:spacing w:after="60"/>
              <w:rPr>
                <w:rFonts w:cs="Calibri"/>
                <w:sz w:val="20"/>
                <w:szCs w:val="20"/>
              </w:rPr>
            </w:pPr>
            <w:r w:rsidRPr="00DB426E">
              <w:rPr>
                <w:rFonts w:cs="Calibri"/>
                <w:sz w:val="20"/>
                <w:szCs w:val="20"/>
              </w:rPr>
              <w:t>Sintētisko šķiedru ražošanas nozare;</w:t>
            </w:r>
          </w:p>
          <w:p w:rsidR="000B4ED4" w:rsidRPr="00DB426E" w:rsidRDefault="000B4ED4" w:rsidP="000B4ED4">
            <w:pPr>
              <w:spacing w:after="60"/>
              <w:rPr>
                <w:rFonts w:cs="Calibri"/>
                <w:sz w:val="20"/>
                <w:szCs w:val="20"/>
              </w:rPr>
            </w:pPr>
            <w:r w:rsidRPr="00DB426E">
              <w:rPr>
                <w:rFonts w:cs="Calibri"/>
                <w:sz w:val="20"/>
                <w:szCs w:val="20"/>
              </w:rPr>
              <w:t>Lauksaimniecības produktu primārā ražošana;</w:t>
            </w:r>
          </w:p>
          <w:p w:rsidR="000B4ED4" w:rsidRPr="00DB426E" w:rsidRDefault="000B4ED4" w:rsidP="000B4ED4">
            <w:pPr>
              <w:spacing w:after="60"/>
              <w:rPr>
                <w:rFonts w:cs="Calibri"/>
                <w:sz w:val="20"/>
                <w:szCs w:val="20"/>
              </w:rPr>
            </w:pPr>
            <w:r w:rsidRPr="00DB426E">
              <w:rPr>
                <w:rFonts w:cs="Calibri"/>
                <w:sz w:val="20"/>
                <w:szCs w:val="20"/>
              </w:rPr>
              <w:t>Elektroenerģija, gāzes apgāde, siltumapgāde un gaisa kondicionēšana;</w:t>
            </w:r>
          </w:p>
          <w:p w:rsidR="000B4ED4" w:rsidRPr="00DB426E" w:rsidRDefault="000B4ED4" w:rsidP="000B4ED4">
            <w:pPr>
              <w:spacing w:after="60"/>
              <w:rPr>
                <w:rFonts w:cs="Calibri"/>
                <w:sz w:val="20"/>
                <w:szCs w:val="20"/>
              </w:rPr>
            </w:pPr>
            <w:r w:rsidRPr="00DB426E">
              <w:rPr>
                <w:rFonts w:cs="Calibri"/>
                <w:sz w:val="20"/>
                <w:szCs w:val="20"/>
              </w:rPr>
              <w:t>Ieroču un munīcijas ražošana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Projekta pieteicēja (un saistīto uzņēmumu) ieguldījums R&amp;D aktivitātēs pēdējo 3 gadu laikā ir vismaz 2% no neto apgrozījuma.</w:t>
            </w:r>
          </w:p>
          <w:p w:rsidR="000B4ED4" w:rsidRPr="00DB426E" w:rsidRDefault="000B4ED4" w:rsidP="000B4ED4">
            <w:pPr>
              <w:spacing w:after="60"/>
              <w:rPr>
                <w:rFonts w:cs="Calibri"/>
                <w:sz w:val="20"/>
                <w:szCs w:val="20"/>
              </w:rPr>
            </w:pPr>
            <w:r w:rsidRPr="00DB426E">
              <w:rPr>
                <w:rFonts w:cs="Calibri"/>
                <w:sz w:val="20"/>
                <w:szCs w:val="20"/>
              </w:rPr>
              <w:t>Atbalstu piešķir jaunu produktu un tehnoloģiju izstrādei.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3 000 000 LVL</w:t>
            </w:r>
          </w:p>
        </w:tc>
        <w:tc>
          <w:tcPr>
            <w:tcW w:w="1846" w:type="pct"/>
          </w:tcPr>
          <w:p w:rsidR="000B4ED4" w:rsidRPr="00DB426E" w:rsidRDefault="000B4ED4" w:rsidP="000B4ED4">
            <w:pPr>
              <w:spacing w:after="60"/>
              <w:rPr>
                <w:rFonts w:cs="Calibri"/>
                <w:sz w:val="20"/>
                <w:szCs w:val="20"/>
              </w:rPr>
            </w:pPr>
            <w:r w:rsidRPr="00DB426E">
              <w:rPr>
                <w:rFonts w:cs="Calibri"/>
                <w:sz w:val="20"/>
                <w:szCs w:val="20"/>
              </w:rPr>
              <w:t>8 571 429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35%</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216 836 566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rPr>
                <w:rFonts w:cs="Calibri"/>
                <w:b/>
                <w:sz w:val="20"/>
                <w:szCs w:val="20"/>
              </w:rPr>
            </w:pPr>
          </w:p>
        </w:tc>
        <w:tc>
          <w:tcPr>
            <w:tcW w:w="1845" w:type="pct"/>
          </w:tcPr>
          <w:p w:rsidR="000B4ED4" w:rsidRPr="00DB426E" w:rsidRDefault="000B4ED4" w:rsidP="000B4ED4">
            <w:pPr>
              <w:rPr>
                <w:rFonts w:cs="Calibri"/>
                <w:sz w:val="20"/>
                <w:szCs w:val="20"/>
              </w:rPr>
            </w:pPr>
            <w:r w:rsidRPr="00DB426E">
              <w:rPr>
                <w:rFonts w:cs="Calibri"/>
                <w:sz w:val="20"/>
                <w:szCs w:val="20"/>
              </w:rPr>
              <w:t>37</w:t>
            </w:r>
          </w:p>
        </w:tc>
        <w:tc>
          <w:tcPr>
            <w:tcW w:w="1846" w:type="pct"/>
          </w:tcPr>
          <w:p w:rsidR="000B4ED4" w:rsidRPr="00DB426E" w:rsidRDefault="000B4ED4" w:rsidP="000B4ED4">
            <w:pPr>
              <w:rPr>
                <w:rFonts w:cs="Calibri"/>
                <w:sz w:val="20"/>
                <w:szCs w:val="20"/>
              </w:rPr>
            </w:pPr>
            <w:r w:rsidRPr="00DB426E">
              <w:rPr>
                <w:rFonts w:cs="Calibri"/>
                <w:sz w:val="20"/>
                <w:szCs w:val="20"/>
              </w:rPr>
              <w:t>78 338 742 LVL</w:t>
            </w:r>
          </w:p>
        </w:tc>
      </w:tr>
      <w:tr w:rsidR="000B4ED4" w:rsidRPr="00DB426E" w:rsidTr="000B4ED4">
        <w:trPr>
          <w:trHeight w:val="248"/>
          <w:jc w:val="center"/>
        </w:trPr>
        <w:tc>
          <w:tcPr>
            <w:tcW w:w="1309" w:type="pct"/>
            <w:vMerge w:val="restart"/>
          </w:tcPr>
          <w:p w:rsidR="000B4ED4" w:rsidRPr="00DB426E" w:rsidRDefault="000B4ED4" w:rsidP="000B4ED4">
            <w:pPr>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rPr>
                <w:rFonts w:cs="Calibri"/>
                <w:sz w:val="20"/>
                <w:szCs w:val="20"/>
              </w:rPr>
            </w:pPr>
            <w:r w:rsidRPr="00DB426E">
              <w:rPr>
                <w:rFonts w:cs="Calibri"/>
                <w:sz w:val="20"/>
                <w:szCs w:val="20"/>
              </w:rPr>
              <w:t>Projektu skaits</w:t>
            </w:r>
          </w:p>
        </w:tc>
        <w:tc>
          <w:tcPr>
            <w:tcW w:w="1846" w:type="pct"/>
          </w:tcPr>
          <w:p w:rsidR="000B4ED4" w:rsidRPr="00DB426E" w:rsidRDefault="000B4ED4" w:rsidP="000B4ED4">
            <w:pPr>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rPr>
                <w:rFonts w:cs="Calibri"/>
                <w:b/>
                <w:sz w:val="20"/>
                <w:szCs w:val="20"/>
              </w:rPr>
            </w:pPr>
          </w:p>
        </w:tc>
        <w:tc>
          <w:tcPr>
            <w:tcW w:w="1845" w:type="pct"/>
          </w:tcPr>
          <w:p w:rsidR="000B4ED4" w:rsidRPr="00DB426E" w:rsidRDefault="000B4ED4" w:rsidP="000B4ED4">
            <w:pPr>
              <w:rPr>
                <w:rFonts w:cs="Calibri"/>
                <w:sz w:val="20"/>
                <w:szCs w:val="20"/>
              </w:rPr>
            </w:pPr>
            <w:r w:rsidRPr="00DB426E">
              <w:rPr>
                <w:rFonts w:cs="Calibri"/>
                <w:sz w:val="20"/>
                <w:szCs w:val="20"/>
              </w:rPr>
              <w:t>37</w:t>
            </w:r>
          </w:p>
        </w:tc>
        <w:tc>
          <w:tcPr>
            <w:tcW w:w="1846" w:type="pct"/>
          </w:tcPr>
          <w:p w:rsidR="000B4ED4" w:rsidRPr="00DB426E" w:rsidRDefault="000B4ED4" w:rsidP="000B4ED4">
            <w:pPr>
              <w:rPr>
                <w:rFonts w:cs="Calibri"/>
                <w:sz w:val="20"/>
                <w:szCs w:val="20"/>
              </w:rPr>
            </w:pPr>
            <w:r w:rsidRPr="00DB426E">
              <w:rPr>
                <w:rFonts w:cs="Calibri"/>
                <w:sz w:val="20"/>
                <w:szCs w:val="20"/>
              </w:rPr>
              <w:t>39 685 605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rPr>
                <w:rFonts w:cs="Calibri"/>
                <w:b/>
                <w:sz w:val="20"/>
                <w:szCs w:val="20"/>
              </w:rPr>
            </w:pPr>
          </w:p>
        </w:tc>
        <w:tc>
          <w:tcPr>
            <w:tcW w:w="1845" w:type="pct"/>
          </w:tcPr>
          <w:p w:rsidR="000B4ED4" w:rsidRPr="00475128" w:rsidRDefault="000B4ED4" w:rsidP="000B4ED4">
            <w:pPr>
              <w:pStyle w:val="ListParagraph"/>
              <w:numPr>
                <w:ilvl w:val="0"/>
                <w:numId w:val="30"/>
              </w:numPr>
              <w:suppressAutoHyphens w:val="0"/>
              <w:ind w:left="321"/>
              <w:rPr>
                <w:rFonts w:cs="Calibri"/>
                <w:sz w:val="20"/>
                <w:szCs w:val="20"/>
                <w:lang w:val="lv-LV"/>
              </w:rPr>
            </w:pPr>
            <w:r w:rsidRPr="00475128">
              <w:rPr>
                <w:rFonts w:cs="Calibri"/>
                <w:sz w:val="20"/>
                <w:szCs w:val="20"/>
                <w:lang w:val="lv-LV"/>
              </w:rPr>
              <w:t>Apgrozījuma pieaugums atbalstītajos uzņēmumos divus gadus pēc investīcijas saņemšanas: 20%</w:t>
            </w:r>
          </w:p>
          <w:p w:rsidR="000B4ED4" w:rsidRPr="00475128" w:rsidRDefault="000B4ED4" w:rsidP="000B4ED4">
            <w:pPr>
              <w:pStyle w:val="ListParagraph"/>
              <w:numPr>
                <w:ilvl w:val="0"/>
                <w:numId w:val="30"/>
              </w:numPr>
              <w:suppressAutoHyphens w:val="0"/>
              <w:ind w:left="321"/>
              <w:rPr>
                <w:rFonts w:cs="Calibri"/>
                <w:sz w:val="20"/>
                <w:szCs w:val="20"/>
                <w:lang w:val="lv-LV"/>
              </w:rPr>
            </w:pPr>
            <w:r w:rsidRPr="00475128">
              <w:rPr>
                <w:rFonts w:cs="Calibri"/>
                <w:sz w:val="20"/>
                <w:szCs w:val="20"/>
                <w:lang w:val="lv-LV"/>
              </w:rPr>
              <w:t>Piesaistītā privātā finansējuma apjoms komercdarbības attīstībai: 50 000 000 EUR</w:t>
            </w:r>
          </w:p>
        </w:tc>
        <w:tc>
          <w:tcPr>
            <w:tcW w:w="1846" w:type="pct"/>
          </w:tcPr>
          <w:p w:rsidR="000B4ED4" w:rsidRPr="00475128" w:rsidRDefault="000B4ED4" w:rsidP="000B4ED4">
            <w:pPr>
              <w:pStyle w:val="ListParagraph"/>
              <w:numPr>
                <w:ilvl w:val="0"/>
                <w:numId w:val="30"/>
              </w:numPr>
              <w:suppressAutoHyphens w:val="0"/>
              <w:ind w:left="321"/>
              <w:rPr>
                <w:rFonts w:cs="Calibri"/>
                <w:sz w:val="20"/>
                <w:szCs w:val="20"/>
                <w:lang w:val="lv-LV"/>
              </w:rPr>
            </w:pPr>
            <w:r w:rsidRPr="00475128">
              <w:rPr>
                <w:rFonts w:cs="Calibri"/>
                <w:sz w:val="20"/>
                <w:szCs w:val="20"/>
                <w:lang w:val="lv-LV"/>
              </w:rPr>
              <w:t>Apgrozījuma pieaugums atbalstītajos uzņēmumos divus gadus pēc investīcijas saņemšanas: n/a</w:t>
            </w:r>
          </w:p>
          <w:p w:rsidR="000B4ED4" w:rsidRPr="00475128" w:rsidRDefault="000B4ED4" w:rsidP="000B4ED4">
            <w:pPr>
              <w:pStyle w:val="ListParagraph"/>
              <w:numPr>
                <w:ilvl w:val="0"/>
                <w:numId w:val="30"/>
              </w:numPr>
              <w:suppressAutoHyphens w:val="0"/>
              <w:ind w:left="321"/>
              <w:rPr>
                <w:rFonts w:cs="Calibri"/>
                <w:sz w:val="20"/>
                <w:szCs w:val="20"/>
                <w:lang w:val="lv-LV"/>
              </w:rPr>
            </w:pPr>
            <w:r w:rsidRPr="00475128">
              <w:rPr>
                <w:rFonts w:cs="Calibri"/>
                <w:sz w:val="20"/>
                <w:szCs w:val="20"/>
                <w:lang w:val="lv-LV"/>
              </w:rPr>
              <w:t>Piesaistītā privātā finansējuma apjoms komercdarbības attīstībai: 81 293 405  EUR</w:t>
            </w:r>
          </w:p>
        </w:tc>
      </w:tr>
      <w:tr w:rsidR="000B4ED4" w:rsidRPr="00DB426E" w:rsidTr="000B4ED4">
        <w:trPr>
          <w:trHeight w:val="248"/>
          <w:jc w:val="center"/>
        </w:trPr>
        <w:tc>
          <w:tcPr>
            <w:tcW w:w="1309" w:type="pct"/>
            <w:vMerge w:val="restart"/>
          </w:tcPr>
          <w:p w:rsidR="000B4ED4" w:rsidRPr="00DB426E" w:rsidRDefault="000B4ED4" w:rsidP="000B4ED4">
            <w:pPr>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rPr>
                <w:rFonts w:cs="Calibri"/>
                <w:sz w:val="20"/>
                <w:szCs w:val="20"/>
              </w:rPr>
            </w:pPr>
            <w:r w:rsidRPr="00DB426E">
              <w:rPr>
                <w:rFonts w:cs="Calibri"/>
                <w:sz w:val="20"/>
                <w:szCs w:val="20"/>
              </w:rPr>
              <w:t>Plānotais</w:t>
            </w:r>
          </w:p>
        </w:tc>
        <w:tc>
          <w:tcPr>
            <w:tcW w:w="1846" w:type="pct"/>
          </w:tcPr>
          <w:p w:rsidR="000B4ED4" w:rsidRPr="00DB426E" w:rsidRDefault="000B4ED4" w:rsidP="000B4ED4">
            <w:pPr>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rPr>
                <w:rFonts w:cs="Calibri"/>
                <w:b/>
                <w:sz w:val="20"/>
                <w:szCs w:val="20"/>
              </w:rPr>
            </w:pPr>
          </w:p>
        </w:tc>
        <w:tc>
          <w:tcPr>
            <w:tcW w:w="1845" w:type="pct"/>
          </w:tcPr>
          <w:p w:rsidR="000B4ED4" w:rsidRPr="00DB426E" w:rsidRDefault="000B4ED4" w:rsidP="000B4ED4">
            <w:pPr>
              <w:rPr>
                <w:rFonts w:cs="Calibri"/>
                <w:sz w:val="20"/>
                <w:szCs w:val="20"/>
              </w:rPr>
            </w:pPr>
            <w:r w:rsidRPr="00DB426E">
              <w:rPr>
                <w:rFonts w:cs="Calibri"/>
                <w:sz w:val="20"/>
                <w:szCs w:val="20"/>
              </w:rPr>
              <w:t>Atbalstīto augstas pievienotās vērtības projektu skaits: 10</w:t>
            </w:r>
          </w:p>
        </w:tc>
        <w:tc>
          <w:tcPr>
            <w:tcW w:w="1846" w:type="pct"/>
          </w:tcPr>
          <w:p w:rsidR="000B4ED4" w:rsidRPr="00DB426E" w:rsidRDefault="000B4ED4" w:rsidP="000B4ED4">
            <w:pPr>
              <w:rPr>
                <w:rFonts w:cs="Calibri"/>
                <w:sz w:val="20"/>
                <w:szCs w:val="20"/>
              </w:rPr>
            </w:pPr>
            <w:r w:rsidRPr="00DB426E">
              <w:rPr>
                <w:rFonts w:cs="Calibri"/>
                <w:sz w:val="20"/>
                <w:szCs w:val="20"/>
              </w:rPr>
              <w:t>Atbalstīto augstas pievienotās vērtības projektu skaits: 7</w:t>
            </w:r>
          </w:p>
        </w:tc>
      </w:tr>
    </w:tbl>
    <w:p w:rsidR="000B4ED4" w:rsidRPr="00DB426E" w:rsidRDefault="000B4ED4" w:rsidP="000B4ED4">
      <w:pPr>
        <w:spacing w:before="240"/>
      </w:pPr>
      <w:r w:rsidRPr="00DB426E">
        <w:t>Pieteikšanās procedūra ir vērtējama kā sarežģīta. Lai pieteiktos atbalstam, jāsniedz, piemēram, tādi dokumenti kā biznesa plāns, finanšu plāns ar naudas plūsmas aprēķinu pa mēnešiem, ar būvvaldi saskaņotu būvprojektu vismaz skiču projekta stadijā, iepirkumu procedūras dokumentāciju, iekārtu tehniskās specifikācijas, u. c. dokumenti. Ja iesniedzējs atbilst lielā komersanta statusam, ir jāsniedz papildus dokumenti.</w:t>
      </w:r>
    </w:p>
    <w:p w:rsidR="000B4ED4" w:rsidRPr="00DB426E" w:rsidRDefault="000B4ED4" w:rsidP="000B4ED4">
      <w:r w:rsidRPr="00DB426E">
        <w:t xml:space="preserve">Aktivitāte būtiski ietekmē brīvo konkurenci. Pirmkārt, aktivitātē pastāv pieteicēja nozari būtiski ierobežojošs nosacījums, kura dēļ netiek sniegts atbalsts vairākām Latvijas tautsaimniecībā nozīmīgām nozarēm, piemēram, sintētisko šķiedru ražošana, kuģu būve, u. c. Neatkarīgi no komersantu lieluma, atbalsta intensitāte ir konstanta, bet minimālais finansējums vienam projektam – liels (3 000 000 LVL), kas būtiski ierobežo </w:t>
      </w:r>
      <w:proofErr w:type="spellStart"/>
      <w:r w:rsidRPr="00DB426E">
        <w:t>mikro</w:t>
      </w:r>
      <w:proofErr w:type="spellEnd"/>
      <w:r w:rsidRPr="00DB426E">
        <w:t xml:space="preserve">, mazo un vidējo komersantu konkurētspēju. </w:t>
      </w:r>
    </w:p>
    <w:p w:rsidR="000B4ED4" w:rsidRPr="00DB426E" w:rsidRDefault="000B4ED4" w:rsidP="000B4ED4">
      <w:r w:rsidRPr="00DB426E">
        <w:t>Aktivitātes mērķis atbilst sasniegtajiem rezultatīvajiem rādītājiem. Gan mērķis, gan sasniegtie rezultatīvie un ietekmes rādītāji sekmē privāto investīciju veikšanu R&amp;D. Aktivitātei raksturīgs augsts sasniegto rādītāju līmenis, lai arī apstiprināti 7 no 10 plānotajiem projektiem un izmaksāts 51% no piešķirtā finansējuma, piesaistītais privātā finansējuma apjoms komercdarbības attīstībai par 63% pārsniedz plānotos 50 000 000EUR. Arī pēc apstiprināto projektu datiem prognozētais privātā finansējuma apjoms vairāk nekā 3 reizes pārsniedz rezultatīvajos rādītājos plānoto.</w:t>
      </w:r>
    </w:p>
    <w:p w:rsidR="000B4ED4" w:rsidRPr="00DB426E" w:rsidRDefault="000B4ED4" w:rsidP="000B4ED4">
      <w:pPr>
        <w:pStyle w:val="Heading4"/>
        <w:numPr>
          <w:ilvl w:val="3"/>
          <w:numId w:val="4"/>
        </w:numPr>
        <w:ind w:firstLine="270"/>
      </w:pPr>
      <w:bookmarkStart w:id="375" w:name="_Toc356566552"/>
      <w:bookmarkStart w:id="376" w:name="_Toc358978772"/>
      <w:r w:rsidRPr="00DB426E">
        <w:t>2.3. prioritāte „Uzņēmējdarbības veicināšana”</w:t>
      </w:r>
      <w:bookmarkEnd w:id="375"/>
      <w:bookmarkEnd w:id="376"/>
    </w:p>
    <w:p w:rsidR="000B4ED4" w:rsidRPr="00DB426E" w:rsidRDefault="000B4ED4" w:rsidP="000B4ED4">
      <w:r w:rsidRPr="00DB426E">
        <w:t>Prioritāte „Uzņēmējdarbības veicināšana” paredz divu rezultatīvo rādītāju sasniegšanu:</w:t>
      </w:r>
    </w:p>
    <w:p w:rsidR="000B4ED4" w:rsidRPr="00DB426E" w:rsidRDefault="000B4ED4" w:rsidP="000B4ED4">
      <w:pPr>
        <w:pStyle w:val="ListParagraph"/>
        <w:numPr>
          <w:ilvl w:val="0"/>
          <w:numId w:val="33"/>
        </w:numPr>
        <w:suppressAutoHyphens w:val="0"/>
        <w:rPr>
          <w:lang w:val="lv-LV"/>
        </w:rPr>
      </w:pPr>
      <w:r w:rsidRPr="00DB426E">
        <w:rPr>
          <w:lang w:val="lv-LV"/>
        </w:rPr>
        <w:t>Piesaistītā privātā finansējuma apjoms komercdarbības attīstībai – 50 000 000 EUR;</w:t>
      </w:r>
    </w:p>
    <w:p w:rsidR="000B4ED4" w:rsidRPr="00DB426E" w:rsidRDefault="000B4ED4" w:rsidP="000B4ED4">
      <w:pPr>
        <w:pStyle w:val="ListParagraph"/>
        <w:numPr>
          <w:ilvl w:val="0"/>
          <w:numId w:val="33"/>
        </w:numPr>
        <w:suppressAutoHyphens w:val="0"/>
        <w:rPr>
          <w:lang w:val="lv-LV"/>
        </w:rPr>
      </w:pPr>
      <w:r w:rsidRPr="00DB426E">
        <w:rPr>
          <w:lang w:val="lv-LV"/>
        </w:rPr>
        <w:t xml:space="preserve">Ekonomiski aktīvo komersantu skaits uz 1000 iedzīvotājiem – 32. </w:t>
      </w:r>
    </w:p>
    <w:p w:rsidR="000B4ED4" w:rsidRPr="00DB426E" w:rsidRDefault="000B4ED4" w:rsidP="000B4ED4">
      <w:r w:rsidRPr="00DB426E">
        <w:t>Rezultatīvais rādītājs „Piesaistītā privātā finansējuma apjoms komercdarbības attīstībai” tieši ietekmē ieguldījumu R&amp;D veikšanu, līdz ar to arī šīs prioritātes aktivitātes tiek aplūkotas privāto investīciju R&amp;D kontekstā. Pārskatā nav iekļautas aktivitātes, kuru mērķi un rādītāji neparedz tiešu ietekmi uz komercdarbības attīstībai piesaistītā privātā finansējuma apjomu un ieguldījumiem R&amp;D.</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DB426E" w:rsidRDefault="000B4ED4" w:rsidP="000B4ED4">
            <w:pPr>
              <w:spacing w:after="60"/>
              <w:jc w:val="center"/>
              <w:rPr>
                <w:rFonts w:cs="Calibri"/>
                <w:b/>
                <w:color w:val="FFFFFF"/>
                <w:sz w:val="20"/>
                <w:szCs w:val="20"/>
              </w:rPr>
            </w:pPr>
            <w:r w:rsidRPr="00DB426E">
              <w:rPr>
                <w:bCs/>
                <w:sz w:val="20"/>
                <w:szCs w:val="20"/>
              </w:rPr>
              <w:t>2.3.2.1. Biznesa inkubatori</w:t>
            </w:r>
            <w:r w:rsidRPr="00DB426E">
              <w:rPr>
                <w:rStyle w:val="FootnoteReference"/>
                <w:bCs/>
                <w:sz w:val="20"/>
                <w:szCs w:val="20"/>
              </w:rPr>
              <w:footnoteReference w:id="31"/>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Veicināt jaunu, dzīvotspējīgu un konkurētspējīgu komersantu veidošanos un attīstību Latvijas reģionos, nodrošinot tos ar komercdarbībai nepieciešamo vidi un konsultatīvajiem pakalpojumiem. Biznesa inkubācija ir unikāls un elastīgs komercdarbības attīstības process - infrastruktūras un personāla apvienojums, kas veidots, lai palīdzētu attīstīties jauniem un nelieliem komersantiem, atbalstot tos agrīnās attīstības stadijā ar ikdienas konsultācijām par pamata komercdarbības attīstības jautājumiem.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Telpu noma</w:t>
            </w:r>
          </w:p>
          <w:p w:rsidR="000B4ED4" w:rsidRPr="00DB426E" w:rsidRDefault="000B4ED4" w:rsidP="000B4ED4">
            <w:pPr>
              <w:spacing w:after="60"/>
              <w:rPr>
                <w:rFonts w:cs="Calibri"/>
                <w:sz w:val="20"/>
                <w:szCs w:val="20"/>
              </w:rPr>
            </w:pPr>
            <w:r w:rsidRPr="00DB426E">
              <w:rPr>
                <w:rFonts w:cs="Calibri"/>
                <w:sz w:val="20"/>
                <w:szCs w:val="20"/>
              </w:rPr>
              <w:t>Komunālie pakalpojumi</w:t>
            </w:r>
          </w:p>
          <w:p w:rsidR="000B4ED4" w:rsidRPr="00DB426E" w:rsidRDefault="000B4ED4" w:rsidP="000B4ED4">
            <w:pPr>
              <w:spacing w:after="60"/>
              <w:rPr>
                <w:rFonts w:cs="Calibri"/>
                <w:sz w:val="20"/>
                <w:szCs w:val="20"/>
              </w:rPr>
            </w:pPr>
            <w:r w:rsidRPr="00DB426E">
              <w:rPr>
                <w:rFonts w:cs="Calibri"/>
                <w:sz w:val="20"/>
                <w:szCs w:val="20"/>
              </w:rPr>
              <w:t>Sekretariāts</w:t>
            </w:r>
          </w:p>
          <w:p w:rsidR="000B4ED4" w:rsidRPr="00DB426E" w:rsidRDefault="000B4ED4" w:rsidP="000B4ED4">
            <w:pPr>
              <w:spacing w:after="60"/>
              <w:rPr>
                <w:rFonts w:cs="Calibri"/>
                <w:sz w:val="20"/>
                <w:szCs w:val="20"/>
              </w:rPr>
            </w:pPr>
            <w:r w:rsidRPr="00DB426E">
              <w:rPr>
                <w:rFonts w:cs="Calibri"/>
                <w:sz w:val="20"/>
                <w:szCs w:val="20"/>
              </w:rPr>
              <w:t>Biznesa konsultāciju izmaksas</w:t>
            </w:r>
          </w:p>
          <w:p w:rsidR="000B4ED4" w:rsidRPr="00DB426E" w:rsidRDefault="000B4ED4" w:rsidP="000B4ED4">
            <w:pPr>
              <w:spacing w:after="60"/>
              <w:rPr>
                <w:rFonts w:cs="Calibri"/>
                <w:sz w:val="20"/>
                <w:szCs w:val="20"/>
              </w:rPr>
            </w:pPr>
            <w:r w:rsidRPr="00DB426E">
              <w:rPr>
                <w:rFonts w:cs="Calibri"/>
                <w:sz w:val="20"/>
                <w:szCs w:val="20"/>
              </w:rPr>
              <w:t>Grāmatvedības pakalpojumi</w:t>
            </w:r>
          </w:p>
          <w:p w:rsidR="000B4ED4" w:rsidRPr="00DB426E" w:rsidRDefault="000B4ED4" w:rsidP="000B4ED4">
            <w:pPr>
              <w:spacing w:after="60"/>
              <w:rPr>
                <w:rFonts w:cs="Calibri"/>
                <w:sz w:val="20"/>
                <w:szCs w:val="20"/>
              </w:rPr>
            </w:pPr>
            <w:r w:rsidRPr="00DB426E">
              <w:rPr>
                <w:rFonts w:cs="Calibri"/>
                <w:sz w:val="20"/>
                <w:szCs w:val="20"/>
              </w:rPr>
              <w:t>Juridiskie pakalpojumi</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lauksaimniecības produktu ražošanas nozare;</w:t>
            </w:r>
          </w:p>
          <w:p w:rsidR="000B4ED4" w:rsidRPr="00DB426E" w:rsidRDefault="000B4ED4" w:rsidP="000B4ED4">
            <w:pPr>
              <w:spacing w:after="60"/>
              <w:rPr>
                <w:rFonts w:cs="Calibri"/>
                <w:sz w:val="20"/>
                <w:szCs w:val="20"/>
              </w:rPr>
            </w:pPr>
            <w:r w:rsidRPr="00DB426E">
              <w:rPr>
                <w:rFonts w:cs="Calibri"/>
                <w:sz w:val="20"/>
                <w:szCs w:val="20"/>
              </w:rPr>
              <w:t>zivsaimniecības un akvakultūras nozare;</w:t>
            </w:r>
          </w:p>
          <w:p w:rsidR="000B4ED4" w:rsidRPr="00DB426E" w:rsidRDefault="000B4ED4" w:rsidP="000B4ED4">
            <w:pPr>
              <w:spacing w:after="60"/>
              <w:rPr>
                <w:rFonts w:cs="Calibri"/>
                <w:sz w:val="20"/>
                <w:szCs w:val="20"/>
              </w:rPr>
            </w:pPr>
            <w:r w:rsidRPr="00DB426E">
              <w:rPr>
                <w:rFonts w:cs="Calibri"/>
                <w:sz w:val="20"/>
                <w:szCs w:val="20"/>
              </w:rPr>
              <w:t>ogļrūpniecības nozare;</w:t>
            </w:r>
          </w:p>
          <w:p w:rsidR="000B4ED4" w:rsidRPr="00DB426E" w:rsidRDefault="000B4ED4" w:rsidP="000B4ED4">
            <w:pPr>
              <w:spacing w:after="60"/>
              <w:rPr>
                <w:rFonts w:cs="Calibri"/>
                <w:sz w:val="20"/>
                <w:szCs w:val="20"/>
              </w:rPr>
            </w:pPr>
            <w:r w:rsidRPr="00DB426E">
              <w:rPr>
                <w:rFonts w:cs="Calibri"/>
                <w:sz w:val="20"/>
                <w:szCs w:val="20"/>
              </w:rPr>
              <w:t>kuģu būvju nozare;</w:t>
            </w:r>
          </w:p>
          <w:p w:rsidR="000B4ED4" w:rsidRPr="00DB426E" w:rsidRDefault="000B4ED4" w:rsidP="000B4ED4">
            <w:pPr>
              <w:spacing w:after="60"/>
              <w:rPr>
                <w:rFonts w:cs="Calibri"/>
                <w:sz w:val="20"/>
                <w:szCs w:val="20"/>
              </w:rPr>
            </w:pPr>
            <w:r w:rsidRPr="00DB426E">
              <w:rPr>
                <w:rFonts w:cs="Calibri"/>
                <w:sz w:val="20"/>
                <w:szCs w:val="20"/>
              </w:rPr>
              <w:t>finanšu starpniecības nozare;</w:t>
            </w:r>
          </w:p>
          <w:p w:rsidR="000B4ED4" w:rsidRPr="00DB426E" w:rsidRDefault="000B4ED4" w:rsidP="000B4ED4">
            <w:pPr>
              <w:spacing w:after="60"/>
              <w:rPr>
                <w:rFonts w:cs="Calibri"/>
                <w:sz w:val="20"/>
                <w:szCs w:val="20"/>
              </w:rPr>
            </w:pPr>
            <w:r w:rsidRPr="00DB426E">
              <w:rPr>
                <w:rFonts w:cs="Calibri"/>
                <w:sz w:val="20"/>
                <w:szCs w:val="20"/>
              </w:rPr>
              <w:t>tirdzniecības nozare;</w:t>
            </w:r>
          </w:p>
          <w:p w:rsidR="000B4ED4" w:rsidRPr="00DB426E" w:rsidRDefault="000B4ED4" w:rsidP="000B4ED4">
            <w:pPr>
              <w:spacing w:after="60"/>
              <w:rPr>
                <w:rFonts w:cs="Calibri"/>
                <w:sz w:val="20"/>
                <w:szCs w:val="20"/>
              </w:rPr>
            </w:pPr>
            <w:r w:rsidRPr="00DB426E">
              <w:rPr>
                <w:rFonts w:cs="Calibri"/>
                <w:sz w:val="20"/>
                <w:szCs w:val="20"/>
              </w:rPr>
              <w:t>komercpakalpojumu nozare;</w:t>
            </w:r>
          </w:p>
          <w:p w:rsidR="000B4ED4" w:rsidRPr="00DB426E" w:rsidRDefault="000B4ED4" w:rsidP="000B4ED4">
            <w:pPr>
              <w:spacing w:after="60"/>
              <w:rPr>
                <w:rFonts w:cs="Calibri"/>
                <w:sz w:val="20"/>
                <w:szCs w:val="20"/>
              </w:rPr>
            </w:pPr>
            <w:r w:rsidRPr="00DB426E">
              <w:rPr>
                <w:rFonts w:cs="Calibri"/>
                <w:sz w:val="20"/>
                <w:szCs w:val="20"/>
              </w:rPr>
              <w:t>transporta nozare;</w:t>
            </w:r>
          </w:p>
          <w:p w:rsidR="000B4ED4" w:rsidRPr="00DB426E" w:rsidRDefault="000B4ED4" w:rsidP="000B4ED4">
            <w:pPr>
              <w:spacing w:after="60"/>
              <w:rPr>
                <w:rFonts w:cs="Calibri"/>
                <w:sz w:val="20"/>
                <w:szCs w:val="20"/>
              </w:rPr>
            </w:pPr>
            <w:r w:rsidRPr="00DB426E">
              <w:rPr>
                <w:rFonts w:cs="Calibri"/>
                <w:sz w:val="20"/>
                <w:szCs w:val="20"/>
              </w:rPr>
              <w:t>alkoholisko dzērienu ražošanas nozare;</w:t>
            </w:r>
          </w:p>
          <w:p w:rsidR="000B4ED4" w:rsidRPr="00DB426E" w:rsidRDefault="000B4ED4" w:rsidP="000B4ED4">
            <w:pPr>
              <w:spacing w:after="60"/>
              <w:rPr>
                <w:rFonts w:cs="Calibri"/>
                <w:sz w:val="20"/>
                <w:szCs w:val="20"/>
              </w:rPr>
            </w:pPr>
            <w:r w:rsidRPr="00DB426E">
              <w:rPr>
                <w:rFonts w:cs="Calibri"/>
                <w:sz w:val="20"/>
                <w:szCs w:val="20"/>
              </w:rPr>
              <w:t>tabakas izstrādājumu nozare;</w:t>
            </w:r>
          </w:p>
          <w:p w:rsidR="000B4ED4" w:rsidRPr="00DB426E" w:rsidRDefault="000B4ED4" w:rsidP="000B4ED4">
            <w:pPr>
              <w:spacing w:after="60"/>
              <w:rPr>
                <w:rFonts w:cs="Calibri"/>
                <w:sz w:val="20"/>
                <w:szCs w:val="20"/>
              </w:rPr>
            </w:pPr>
            <w:r w:rsidRPr="00DB426E">
              <w:rPr>
                <w:rFonts w:cs="Calibri"/>
                <w:sz w:val="20"/>
                <w:szCs w:val="20"/>
              </w:rPr>
              <w:t>azartspēļu nozare;</w:t>
            </w:r>
          </w:p>
          <w:p w:rsidR="000B4ED4" w:rsidRPr="00DB426E" w:rsidRDefault="000B4ED4" w:rsidP="000B4ED4">
            <w:pPr>
              <w:spacing w:after="60"/>
              <w:rPr>
                <w:rFonts w:cs="Calibri"/>
                <w:sz w:val="20"/>
                <w:szCs w:val="20"/>
              </w:rPr>
            </w:pPr>
            <w:r w:rsidRPr="00DB426E">
              <w:rPr>
                <w:rFonts w:cs="Calibri"/>
                <w:sz w:val="20"/>
                <w:szCs w:val="20"/>
              </w:rPr>
              <w:t>tērauda rūpniecība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Īpašas prasības projektu iesniedzējiem netiek izvirzītas.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17 179 419 LVL (visā aktivitātē projekta īstenotājam)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ja komersants iestājas biznesa inkubatorā pirmajā gadā pēc komersanta reģistrācijas komercreģistrā:</w:t>
            </w:r>
          </w:p>
          <w:p w:rsidR="000B4ED4" w:rsidRPr="00DB426E" w:rsidRDefault="000B4ED4" w:rsidP="000B4ED4">
            <w:pPr>
              <w:spacing w:after="60"/>
              <w:rPr>
                <w:rFonts w:cs="Calibri"/>
                <w:sz w:val="20"/>
                <w:szCs w:val="20"/>
              </w:rPr>
            </w:pPr>
            <w:r w:rsidRPr="00DB426E">
              <w:rPr>
                <w:rFonts w:cs="Calibri"/>
                <w:sz w:val="20"/>
                <w:szCs w:val="20"/>
              </w:rPr>
              <w:t>līdz 85 % pirmajā gadā;</w:t>
            </w:r>
          </w:p>
          <w:p w:rsidR="000B4ED4" w:rsidRPr="00DB426E" w:rsidRDefault="000B4ED4" w:rsidP="000B4ED4">
            <w:pPr>
              <w:spacing w:after="60"/>
              <w:rPr>
                <w:rFonts w:cs="Calibri"/>
                <w:sz w:val="20"/>
                <w:szCs w:val="20"/>
              </w:rPr>
            </w:pPr>
            <w:r w:rsidRPr="00DB426E">
              <w:rPr>
                <w:rFonts w:cs="Calibri"/>
                <w:sz w:val="20"/>
                <w:szCs w:val="20"/>
              </w:rPr>
              <w:t>līdz 60 % otrajā gadā;</w:t>
            </w:r>
          </w:p>
          <w:p w:rsidR="000B4ED4" w:rsidRPr="00DB426E" w:rsidRDefault="000B4ED4" w:rsidP="000B4ED4">
            <w:pPr>
              <w:spacing w:after="60"/>
              <w:rPr>
                <w:rFonts w:cs="Calibri"/>
                <w:sz w:val="20"/>
                <w:szCs w:val="20"/>
              </w:rPr>
            </w:pPr>
            <w:r w:rsidRPr="00DB426E">
              <w:rPr>
                <w:rFonts w:cs="Calibri"/>
                <w:sz w:val="20"/>
                <w:szCs w:val="20"/>
              </w:rPr>
              <w:t>līdz 40 % trešajā gadā;</w:t>
            </w:r>
          </w:p>
          <w:p w:rsidR="000B4ED4" w:rsidRPr="00DB426E" w:rsidRDefault="000B4ED4" w:rsidP="000B4ED4">
            <w:pPr>
              <w:spacing w:after="60"/>
              <w:rPr>
                <w:rFonts w:cs="Calibri"/>
                <w:sz w:val="20"/>
                <w:szCs w:val="20"/>
              </w:rPr>
            </w:pPr>
            <w:r w:rsidRPr="00DB426E">
              <w:rPr>
                <w:rFonts w:cs="Calibri"/>
                <w:sz w:val="20"/>
                <w:szCs w:val="20"/>
              </w:rPr>
              <w:t>līdz 10 % ceturtajā gadā;</w:t>
            </w:r>
          </w:p>
          <w:p w:rsidR="000B4ED4" w:rsidRPr="00DB426E" w:rsidRDefault="000B4ED4" w:rsidP="000B4ED4">
            <w:pPr>
              <w:spacing w:after="60"/>
              <w:rPr>
                <w:rFonts w:cs="Calibri"/>
                <w:sz w:val="20"/>
                <w:szCs w:val="20"/>
              </w:rPr>
            </w:pPr>
            <w:r w:rsidRPr="00DB426E">
              <w:rPr>
                <w:rFonts w:cs="Calibri"/>
                <w:sz w:val="20"/>
                <w:szCs w:val="20"/>
              </w:rPr>
              <w:t>ja komersants iestājas biznesa inkubatorā otrajā gadā pēc komersanta reģistrācijas komercreģistrā:</w:t>
            </w:r>
          </w:p>
          <w:p w:rsidR="000B4ED4" w:rsidRPr="00DB426E" w:rsidRDefault="000B4ED4" w:rsidP="000B4ED4">
            <w:pPr>
              <w:spacing w:after="60"/>
              <w:rPr>
                <w:rFonts w:cs="Calibri"/>
                <w:sz w:val="20"/>
                <w:szCs w:val="20"/>
              </w:rPr>
            </w:pPr>
            <w:r w:rsidRPr="00DB426E">
              <w:rPr>
                <w:rFonts w:cs="Calibri"/>
                <w:sz w:val="20"/>
                <w:szCs w:val="20"/>
              </w:rPr>
              <w:t>līdz 80 % pirmajā gadā;</w:t>
            </w:r>
          </w:p>
          <w:p w:rsidR="000B4ED4" w:rsidRPr="00DB426E" w:rsidRDefault="000B4ED4" w:rsidP="000B4ED4">
            <w:pPr>
              <w:spacing w:after="60"/>
              <w:rPr>
                <w:rFonts w:cs="Calibri"/>
                <w:sz w:val="20"/>
                <w:szCs w:val="20"/>
              </w:rPr>
            </w:pPr>
            <w:r w:rsidRPr="00DB426E">
              <w:rPr>
                <w:rFonts w:cs="Calibri"/>
                <w:sz w:val="20"/>
                <w:szCs w:val="20"/>
              </w:rPr>
              <w:t>līdz 55 % otrajā gadā;</w:t>
            </w:r>
          </w:p>
          <w:p w:rsidR="000B4ED4" w:rsidRPr="00DB426E" w:rsidRDefault="000B4ED4" w:rsidP="000B4ED4">
            <w:pPr>
              <w:spacing w:after="60"/>
              <w:rPr>
                <w:rFonts w:cs="Calibri"/>
                <w:sz w:val="20"/>
                <w:szCs w:val="20"/>
              </w:rPr>
            </w:pPr>
            <w:r w:rsidRPr="00DB426E">
              <w:rPr>
                <w:rFonts w:cs="Calibri"/>
                <w:sz w:val="20"/>
                <w:szCs w:val="20"/>
              </w:rPr>
              <w:t>līdz 35 % trešajā gadā;</w:t>
            </w:r>
          </w:p>
          <w:p w:rsidR="000B4ED4" w:rsidRPr="00DB426E" w:rsidRDefault="000B4ED4" w:rsidP="000B4ED4">
            <w:pPr>
              <w:spacing w:after="60"/>
              <w:rPr>
                <w:rFonts w:cs="Calibri"/>
                <w:sz w:val="20"/>
                <w:szCs w:val="20"/>
              </w:rPr>
            </w:pPr>
            <w:r w:rsidRPr="00DB426E">
              <w:rPr>
                <w:rFonts w:cs="Calibri"/>
                <w:sz w:val="20"/>
                <w:szCs w:val="20"/>
              </w:rPr>
              <w:t>līdz 10 % ceturtajā gadā.</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17 179 419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17 179 418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7 349 834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Attīstīto inkubatoru platība: 18 000 m</w:t>
            </w:r>
            <w:r w:rsidRPr="00DB426E">
              <w:rPr>
                <w:rFonts w:cs="Calibri"/>
                <w:sz w:val="20"/>
                <w:szCs w:val="20"/>
                <w:vertAlign w:val="superscript"/>
              </w:rPr>
              <w:t>2</w:t>
            </w:r>
          </w:p>
          <w:p w:rsidR="000B4ED4" w:rsidRPr="00DB426E" w:rsidRDefault="000B4ED4" w:rsidP="000B4ED4">
            <w:pPr>
              <w:spacing w:after="60"/>
              <w:rPr>
                <w:rFonts w:cs="Calibri"/>
                <w:sz w:val="20"/>
                <w:szCs w:val="20"/>
              </w:rPr>
            </w:pPr>
            <w:r w:rsidRPr="00DB426E">
              <w:rPr>
                <w:rFonts w:cs="Calibri"/>
                <w:sz w:val="20"/>
                <w:szCs w:val="20"/>
              </w:rPr>
              <w:t>Izveidoto biznesa inkubatoru, klasteru skaits: 9</w:t>
            </w:r>
          </w:p>
        </w:tc>
        <w:tc>
          <w:tcPr>
            <w:tcW w:w="1846" w:type="pct"/>
          </w:tcPr>
          <w:p w:rsidR="000B4ED4" w:rsidRPr="00DB426E" w:rsidRDefault="000B4ED4" w:rsidP="000B4ED4">
            <w:pPr>
              <w:spacing w:after="60"/>
              <w:rPr>
                <w:rFonts w:cs="Calibri"/>
                <w:sz w:val="20"/>
                <w:szCs w:val="20"/>
                <w:vertAlign w:val="superscript"/>
              </w:rPr>
            </w:pPr>
            <w:r w:rsidRPr="00DB426E">
              <w:rPr>
                <w:rFonts w:cs="Calibri"/>
                <w:sz w:val="20"/>
                <w:szCs w:val="20"/>
              </w:rPr>
              <w:t>Attīstīto inkubatoru platība – 28 367 m</w:t>
            </w:r>
            <w:r w:rsidRPr="00DB426E">
              <w:rPr>
                <w:rFonts w:cs="Calibri"/>
                <w:sz w:val="20"/>
                <w:szCs w:val="20"/>
                <w:vertAlign w:val="superscript"/>
              </w:rPr>
              <w:t>2</w:t>
            </w:r>
          </w:p>
          <w:p w:rsidR="000B4ED4" w:rsidRPr="00DB426E" w:rsidRDefault="000B4ED4" w:rsidP="000B4ED4">
            <w:pPr>
              <w:spacing w:after="60"/>
              <w:rPr>
                <w:rFonts w:cs="Calibri"/>
                <w:sz w:val="20"/>
                <w:szCs w:val="20"/>
              </w:rPr>
            </w:pPr>
            <w:r w:rsidRPr="00DB426E">
              <w:rPr>
                <w:rFonts w:cs="Calibri"/>
                <w:sz w:val="20"/>
                <w:szCs w:val="20"/>
              </w:rPr>
              <w:t>Izveidoto biznesa inkubatoru, klasteru skaits: 10</w:t>
            </w:r>
          </w:p>
        </w:tc>
      </w:tr>
    </w:tbl>
    <w:p w:rsidR="000B4ED4" w:rsidRPr="00DB426E" w:rsidRDefault="000B4ED4" w:rsidP="000B4ED4">
      <w:pPr>
        <w:rPr>
          <w:color w:val="FF0000"/>
          <w:szCs w:val="20"/>
        </w:rPr>
      </w:pPr>
    </w:p>
    <w:p w:rsidR="000B4ED4" w:rsidRPr="00DB426E" w:rsidRDefault="000B4ED4" w:rsidP="000B4ED4">
      <w:r w:rsidRPr="00DB426E">
        <w:t>Aktivitātei ir netieša ietekme uz privātajiem ieguldījumiem R&amp;D. Ņemot vērā to, ka biznesa inkubatori nereti sniedz atbalstu inovatīviem uzņēmumiem, kas veido jaunus produktus un pakalpojumus, atbalsta prot</w:t>
      </w:r>
      <w:r>
        <w:t>o</w:t>
      </w:r>
      <w:r w:rsidRPr="00DB426E">
        <w:t xml:space="preserve">tipu izstrādi un pētniecības un attīstības izdevumus, aktivitātes īstenošanai iespējama netieša ietekme uz privātajiem ieguldījumiem R&amp;D. </w:t>
      </w:r>
    </w:p>
    <w:p w:rsidR="000B4ED4" w:rsidRPr="00DB426E" w:rsidRDefault="000B4ED4" w:rsidP="000B4ED4">
      <w:r w:rsidRPr="00DB426E">
        <w:t>Komersantiem reģistrēšanās procedūra biznesa inkubatoros ir vērtējama kā vienkārša, jāiesniedz ir tikai pamatdokumenti, kas apliecina komersanta saimnieciskās darbības veikšanu.</w:t>
      </w:r>
    </w:p>
    <w:p w:rsidR="000B4ED4" w:rsidRPr="00DB426E" w:rsidRDefault="000B4ED4" w:rsidP="000B4ED4">
      <w:r w:rsidRPr="00DB426E">
        <w:t xml:space="preserve">Šai aktivitātei nepiemīt konkurenci ierobežojošas īpašības. Tās ietvaros labuma guvēji ir </w:t>
      </w:r>
      <w:proofErr w:type="spellStart"/>
      <w:r w:rsidRPr="00DB426E">
        <w:t>jaunreģistrēti</w:t>
      </w:r>
      <w:proofErr w:type="spellEnd"/>
      <w:r w:rsidRPr="00DB426E">
        <w:t xml:space="preserve"> komersanti, kuru saņemtā atbalsta intensitāte ir apgriezti proporcionāla to vecumam. T.i., saimnieciskās darbības sākumā, kad konkurētspēja potenciāli ir viszemākā, saņemtā atbalsta apjoms ir vislielākais.</w:t>
      </w:r>
    </w:p>
    <w:p w:rsidR="000B4ED4" w:rsidRPr="00DB426E" w:rsidRDefault="000B4ED4" w:rsidP="000B4ED4">
      <w:r w:rsidRPr="00DB426E">
        <w:t>Aktivitātes ieviešana vērtējama kā sekmīga, izmaksāti 43% no pieejamā finansējuma, izveidojot 10 klasterus plānoto 9 vietā ar kopējo platību, kas ievērojami pārsniedz plānoto.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9D1FC5" w:rsidRDefault="000B4ED4" w:rsidP="000B4ED4">
            <w:pPr>
              <w:spacing w:after="60"/>
              <w:jc w:val="center"/>
              <w:rPr>
                <w:rFonts w:cs="Calibri"/>
                <w:b/>
                <w:color w:val="FFFFFF"/>
                <w:sz w:val="20"/>
                <w:szCs w:val="20"/>
              </w:rPr>
            </w:pPr>
            <w:r w:rsidRPr="009D1FC5">
              <w:rPr>
                <w:b/>
                <w:bCs/>
                <w:sz w:val="20"/>
                <w:szCs w:val="20"/>
              </w:rPr>
              <w:t xml:space="preserve">2.3.2.2. Atbalsts ieguldījumiem </w:t>
            </w:r>
            <w:proofErr w:type="spellStart"/>
            <w:r w:rsidRPr="009D1FC5">
              <w:rPr>
                <w:b/>
                <w:bCs/>
                <w:sz w:val="20"/>
                <w:szCs w:val="20"/>
              </w:rPr>
              <w:t>mikro</w:t>
            </w:r>
            <w:proofErr w:type="spellEnd"/>
            <w:r w:rsidRPr="009D1FC5">
              <w:rPr>
                <w:b/>
                <w:bCs/>
                <w:sz w:val="20"/>
                <w:szCs w:val="20"/>
              </w:rPr>
              <w:t>, maziem un vidējiem komersantiem īpaši atbalstāmajās teritorijās</w:t>
            </w:r>
            <w:r w:rsidRPr="00475128">
              <w:rPr>
                <w:b/>
                <w:bCs/>
                <w:sz w:val="20"/>
                <w:szCs w:val="20"/>
                <w:shd w:val="clear" w:color="auto" w:fill="BFBFBF"/>
              </w:rPr>
              <w:t xml:space="preserve"> </w:t>
            </w:r>
            <w:r w:rsidRPr="009D1FC5">
              <w:rPr>
                <w:b/>
                <w:bCs/>
                <w:sz w:val="20"/>
                <w:szCs w:val="20"/>
              </w:rPr>
              <w:t>(ĪĀT)</w:t>
            </w:r>
            <w:r w:rsidRPr="009D1FC5">
              <w:rPr>
                <w:rStyle w:val="FootnoteReference"/>
                <w:b/>
                <w:bCs/>
                <w:sz w:val="20"/>
                <w:szCs w:val="20"/>
              </w:rPr>
              <w:footnoteReference w:id="32"/>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veicināt komercdarbības attīstību īpaši atbalstāmajās teritorijās, tādējādi samazinot nelabvēlīgās atšķirības starp reģioniem un reģionu teritorijām, kā arī sekmējot līdzsvarotu valsts attīstību.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Iekārtu iegādes izmaksas</w:t>
            </w:r>
          </w:p>
          <w:p w:rsidR="000B4ED4" w:rsidRPr="00DB426E" w:rsidRDefault="000B4ED4" w:rsidP="000B4ED4">
            <w:pPr>
              <w:spacing w:after="60"/>
              <w:rPr>
                <w:rFonts w:cs="Calibri"/>
                <w:sz w:val="20"/>
                <w:szCs w:val="20"/>
              </w:rPr>
            </w:pPr>
            <w:r w:rsidRPr="00DB426E">
              <w:rPr>
                <w:rFonts w:cs="Calibri"/>
                <w:sz w:val="20"/>
                <w:szCs w:val="20"/>
              </w:rPr>
              <w:t>Būvniecības izmaksas</w:t>
            </w:r>
          </w:p>
          <w:p w:rsidR="000B4ED4" w:rsidRPr="00DB426E" w:rsidRDefault="000B4ED4" w:rsidP="000B4ED4">
            <w:pPr>
              <w:spacing w:after="60"/>
              <w:rPr>
                <w:rFonts w:cs="Calibri"/>
                <w:sz w:val="20"/>
                <w:szCs w:val="20"/>
              </w:rPr>
            </w:pPr>
            <w:r w:rsidRPr="00DB426E">
              <w:rPr>
                <w:rFonts w:cs="Calibri"/>
                <w:sz w:val="20"/>
                <w:szCs w:val="20"/>
              </w:rPr>
              <w:t>Patentu un licenču iegādes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Komersants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Īpaši atbalstāmās teritorijas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tērauda rūpniecība;</w:t>
            </w:r>
          </w:p>
          <w:p w:rsidR="000B4ED4" w:rsidRPr="00DB426E" w:rsidRDefault="000B4ED4" w:rsidP="000B4ED4">
            <w:pPr>
              <w:spacing w:after="60"/>
              <w:rPr>
                <w:rFonts w:cs="Calibri"/>
                <w:sz w:val="20"/>
                <w:szCs w:val="20"/>
              </w:rPr>
            </w:pPr>
            <w:r w:rsidRPr="00DB426E">
              <w:rPr>
                <w:rFonts w:cs="Calibri"/>
                <w:sz w:val="20"/>
                <w:szCs w:val="20"/>
              </w:rPr>
              <w:t>sintētisko šķiedru ražošana;</w:t>
            </w:r>
          </w:p>
          <w:p w:rsidR="000B4ED4" w:rsidRPr="00DB426E" w:rsidRDefault="000B4ED4" w:rsidP="000B4ED4">
            <w:pPr>
              <w:spacing w:after="60"/>
              <w:rPr>
                <w:rFonts w:cs="Calibri"/>
                <w:sz w:val="20"/>
                <w:szCs w:val="20"/>
              </w:rPr>
            </w:pPr>
            <w:r w:rsidRPr="00DB426E">
              <w:rPr>
                <w:rFonts w:cs="Calibri"/>
                <w:sz w:val="20"/>
                <w:szCs w:val="20"/>
              </w:rPr>
              <w:t>lauksaimniecības produktu ražošana;</w:t>
            </w:r>
          </w:p>
          <w:p w:rsidR="000B4ED4" w:rsidRPr="00DB426E" w:rsidRDefault="000B4ED4" w:rsidP="000B4ED4">
            <w:pPr>
              <w:spacing w:after="60"/>
              <w:rPr>
                <w:rFonts w:cs="Calibri"/>
                <w:sz w:val="20"/>
                <w:szCs w:val="20"/>
              </w:rPr>
            </w:pPr>
            <w:r w:rsidRPr="00DB426E">
              <w:rPr>
                <w:rFonts w:cs="Calibri"/>
                <w:sz w:val="20"/>
                <w:szCs w:val="20"/>
              </w:rPr>
              <w:t>zivsaimniecība un akvakultūra;</w:t>
            </w:r>
          </w:p>
          <w:p w:rsidR="000B4ED4" w:rsidRPr="00DB426E" w:rsidRDefault="000B4ED4" w:rsidP="000B4ED4">
            <w:pPr>
              <w:spacing w:after="60"/>
              <w:rPr>
                <w:rFonts w:cs="Calibri"/>
                <w:sz w:val="20"/>
                <w:szCs w:val="20"/>
              </w:rPr>
            </w:pPr>
            <w:r w:rsidRPr="00DB426E">
              <w:rPr>
                <w:rFonts w:cs="Calibri"/>
                <w:sz w:val="20"/>
                <w:szCs w:val="20"/>
              </w:rPr>
              <w:t>ogļu rūpniecība;</w:t>
            </w:r>
          </w:p>
          <w:p w:rsidR="000B4ED4" w:rsidRPr="00DB426E" w:rsidRDefault="000B4ED4" w:rsidP="000B4ED4">
            <w:pPr>
              <w:spacing w:after="60"/>
              <w:rPr>
                <w:rFonts w:cs="Calibri"/>
                <w:sz w:val="20"/>
                <w:szCs w:val="20"/>
              </w:rPr>
            </w:pPr>
            <w:r w:rsidRPr="00DB426E">
              <w:rPr>
                <w:rFonts w:cs="Calibri"/>
                <w:sz w:val="20"/>
                <w:szCs w:val="20"/>
              </w:rPr>
              <w:t>alus un alkoholisko dzērienu ražošana;</w:t>
            </w:r>
          </w:p>
          <w:p w:rsidR="000B4ED4" w:rsidRPr="00DB426E" w:rsidRDefault="000B4ED4" w:rsidP="000B4ED4">
            <w:pPr>
              <w:spacing w:after="60"/>
              <w:rPr>
                <w:rFonts w:cs="Calibri"/>
                <w:sz w:val="20"/>
                <w:szCs w:val="20"/>
              </w:rPr>
            </w:pPr>
            <w:r w:rsidRPr="00DB426E">
              <w:rPr>
                <w:rFonts w:cs="Calibri"/>
                <w:sz w:val="20"/>
                <w:szCs w:val="20"/>
              </w:rPr>
              <w:t>tabakas izstrādājumu ražošana;</w:t>
            </w:r>
          </w:p>
          <w:p w:rsidR="000B4ED4" w:rsidRPr="00DB426E" w:rsidRDefault="000B4ED4" w:rsidP="000B4ED4">
            <w:pPr>
              <w:spacing w:after="60"/>
              <w:rPr>
                <w:rFonts w:cs="Calibri"/>
                <w:sz w:val="20"/>
                <w:szCs w:val="20"/>
              </w:rPr>
            </w:pPr>
            <w:r w:rsidRPr="00DB426E">
              <w:rPr>
                <w:rFonts w:cs="Calibri"/>
                <w:sz w:val="20"/>
                <w:szCs w:val="20"/>
              </w:rPr>
              <w:t>kuģu būve;</w:t>
            </w:r>
          </w:p>
          <w:p w:rsidR="000B4ED4" w:rsidRPr="00DB426E" w:rsidRDefault="000B4ED4" w:rsidP="000B4ED4">
            <w:pPr>
              <w:spacing w:after="60"/>
              <w:rPr>
                <w:rFonts w:cs="Calibri"/>
                <w:sz w:val="20"/>
                <w:szCs w:val="20"/>
              </w:rPr>
            </w:pPr>
            <w:r w:rsidRPr="00DB426E">
              <w:rPr>
                <w:rFonts w:cs="Calibri"/>
                <w:sz w:val="20"/>
                <w:szCs w:val="20"/>
              </w:rPr>
              <w:t>tirdzniecība;</w:t>
            </w:r>
          </w:p>
          <w:p w:rsidR="000B4ED4" w:rsidRPr="00DB426E" w:rsidRDefault="000B4ED4" w:rsidP="000B4ED4">
            <w:pPr>
              <w:spacing w:after="60"/>
              <w:rPr>
                <w:rFonts w:cs="Calibri"/>
                <w:sz w:val="20"/>
                <w:szCs w:val="20"/>
              </w:rPr>
            </w:pPr>
            <w:r w:rsidRPr="00DB426E">
              <w:rPr>
                <w:rFonts w:cs="Calibri"/>
                <w:sz w:val="20"/>
                <w:szCs w:val="20"/>
              </w:rPr>
              <w:t>finanšu starpniecība;</w:t>
            </w:r>
          </w:p>
          <w:p w:rsidR="000B4ED4" w:rsidRPr="00DB426E" w:rsidRDefault="000B4ED4" w:rsidP="000B4ED4">
            <w:pPr>
              <w:spacing w:after="60"/>
              <w:rPr>
                <w:rFonts w:cs="Calibri"/>
                <w:sz w:val="20"/>
                <w:szCs w:val="20"/>
              </w:rPr>
            </w:pPr>
            <w:r w:rsidRPr="00DB426E">
              <w:rPr>
                <w:rFonts w:cs="Calibri"/>
                <w:sz w:val="20"/>
                <w:szCs w:val="20"/>
              </w:rPr>
              <w:t>komercpakalpojumi;</w:t>
            </w:r>
          </w:p>
          <w:p w:rsidR="000B4ED4" w:rsidRPr="00DB426E" w:rsidRDefault="000B4ED4" w:rsidP="000B4ED4">
            <w:pPr>
              <w:spacing w:after="60"/>
              <w:rPr>
                <w:rFonts w:cs="Calibri"/>
                <w:sz w:val="20"/>
                <w:szCs w:val="20"/>
              </w:rPr>
            </w:pPr>
            <w:r w:rsidRPr="00DB426E">
              <w:rPr>
                <w:rFonts w:cs="Calibri"/>
                <w:sz w:val="20"/>
                <w:szCs w:val="20"/>
              </w:rPr>
              <w:t>azartspēles.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Īpašas prasības projektu iesniedzējiem netiek izvirzītas.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150 000 LVL (saistīto personu grupai)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55%</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17 103 938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106</w:t>
            </w:r>
          </w:p>
        </w:tc>
        <w:tc>
          <w:tcPr>
            <w:tcW w:w="1846" w:type="pct"/>
          </w:tcPr>
          <w:p w:rsidR="000B4ED4" w:rsidRPr="00DB426E" w:rsidRDefault="000B4ED4" w:rsidP="000B4ED4">
            <w:pPr>
              <w:spacing w:after="60"/>
              <w:rPr>
                <w:rFonts w:cs="Calibri"/>
                <w:sz w:val="20"/>
                <w:szCs w:val="20"/>
              </w:rPr>
            </w:pPr>
            <w:r w:rsidRPr="00DB426E">
              <w:rPr>
                <w:rFonts w:cs="Calibri"/>
                <w:sz w:val="20"/>
                <w:szCs w:val="20"/>
              </w:rPr>
              <w:t>5 653 462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highlight w:val="green"/>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p>
        </w:tc>
        <w:tc>
          <w:tcPr>
            <w:tcW w:w="1846" w:type="pct"/>
          </w:tcPr>
          <w:p w:rsidR="000B4ED4" w:rsidRPr="00DB426E" w:rsidRDefault="000B4ED4" w:rsidP="000B4ED4">
            <w:pPr>
              <w:spacing w:after="60"/>
              <w:rPr>
                <w:rFonts w:cs="Calibri"/>
                <w:sz w:val="20"/>
                <w:szCs w:val="20"/>
              </w:rPr>
            </w:pPr>
            <w:r w:rsidRPr="00DB426E">
              <w:rPr>
                <w:rFonts w:cs="Calibri"/>
                <w:sz w:val="20"/>
                <w:szCs w:val="20"/>
              </w:rPr>
              <w:t>5 314 874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Apgrozījuma pieaugums atbalstītajos uzņēmumos divus gadus pēc investīcijas saņemšanas: 20%</w:t>
            </w:r>
          </w:p>
        </w:tc>
        <w:tc>
          <w:tcPr>
            <w:tcW w:w="1846" w:type="pct"/>
          </w:tcPr>
          <w:p w:rsidR="000B4ED4" w:rsidRPr="00DB426E" w:rsidRDefault="000B4ED4" w:rsidP="000B4ED4">
            <w:pPr>
              <w:spacing w:after="60"/>
              <w:rPr>
                <w:rFonts w:cs="Calibri"/>
                <w:sz w:val="20"/>
                <w:szCs w:val="20"/>
              </w:rPr>
            </w:pPr>
            <w:r w:rsidRPr="00DB426E">
              <w:rPr>
                <w:rFonts w:cs="Calibri"/>
                <w:sz w:val="20"/>
                <w:szCs w:val="20"/>
              </w:rPr>
              <w:t>Apgrozījuma pieaugums atbalstītajos uzņēmumos divus gadus pēc investīcijas saņemšanas: 80%</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475128" w:rsidRDefault="000B4ED4" w:rsidP="000B4ED4">
            <w:pPr>
              <w:pStyle w:val="ListParagraph"/>
              <w:numPr>
                <w:ilvl w:val="0"/>
                <w:numId w:val="31"/>
              </w:numPr>
              <w:suppressAutoHyphens w:val="0"/>
              <w:spacing w:after="60" w:line="276" w:lineRule="auto"/>
              <w:ind w:left="321"/>
              <w:rPr>
                <w:rFonts w:cs="Calibri"/>
                <w:sz w:val="20"/>
                <w:szCs w:val="20"/>
                <w:lang w:val="lv-LV"/>
              </w:rPr>
            </w:pPr>
            <w:r w:rsidRPr="00475128">
              <w:rPr>
                <w:rFonts w:cs="Calibri"/>
                <w:sz w:val="20"/>
                <w:szCs w:val="20"/>
                <w:lang w:val="lv-LV"/>
              </w:rPr>
              <w:t>Atbalstu saņēmušie vidējie komersanti ĪAT (skaits): 71</w:t>
            </w:r>
          </w:p>
          <w:p w:rsidR="000B4ED4" w:rsidRPr="00475128" w:rsidRDefault="000B4ED4" w:rsidP="000B4ED4">
            <w:pPr>
              <w:pStyle w:val="ListParagraph"/>
              <w:numPr>
                <w:ilvl w:val="0"/>
                <w:numId w:val="31"/>
              </w:numPr>
              <w:suppressAutoHyphens w:val="0"/>
              <w:spacing w:after="60" w:line="276" w:lineRule="auto"/>
              <w:ind w:left="321"/>
              <w:rPr>
                <w:rFonts w:cs="Calibri"/>
                <w:sz w:val="20"/>
                <w:szCs w:val="20"/>
                <w:lang w:val="lv-LV"/>
              </w:rPr>
            </w:pPr>
            <w:r w:rsidRPr="00475128">
              <w:rPr>
                <w:rFonts w:cs="Calibri"/>
                <w:sz w:val="20"/>
                <w:szCs w:val="20"/>
                <w:lang w:val="lv-LV"/>
              </w:rPr>
              <w:t xml:space="preserve">Atbalstu saņēmušie </w:t>
            </w:r>
            <w:proofErr w:type="spellStart"/>
            <w:r w:rsidRPr="00475128">
              <w:rPr>
                <w:rFonts w:cs="Calibri"/>
                <w:sz w:val="20"/>
                <w:szCs w:val="20"/>
                <w:lang w:val="lv-LV"/>
              </w:rPr>
              <w:t>mikro</w:t>
            </w:r>
            <w:proofErr w:type="spellEnd"/>
            <w:r w:rsidRPr="00475128">
              <w:rPr>
                <w:rFonts w:cs="Calibri"/>
                <w:sz w:val="20"/>
                <w:szCs w:val="20"/>
                <w:lang w:val="lv-LV"/>
              </w:rPr>
              <w:t xml:space="preserve"> un mazie komersanti ĪAT (skaits): 360</w:t>
            </w:r>
          </w:p>
        </w:tc>
        <w:tc>
          <w:tcPr>
            <w:tcW w:w="1846" w:type="pct"/>
          </w:tcPr>
          <w:p w:rsidR="000B4ED4" w:rsidRPr="00475128" w:rsidRDefault="000B4ED4" w:rsidP="000B4ED4">
            <w:pPr>
              <w:pStyle w:val="ListParagraph"/>
              <w:numPr>
                <w:ilvl w:val="0"/>
                <w:numId w:val="31"/>
              </w:numPr>
              <w:suppressAutoHyphens w:val="0"/>
              <w:spacing w:after="60" w:line="276" w:lineRule="auto"/>
              <w:ind w:left="321"/>
              <w:rPr>
                <w:rFonts w:cs="Calibri"/>
                <w:sz w:val="20"/>
                <w:szCs w:val="20"/>
                <w:lang w:val="lv-LV"/>
              </w:rPr>
            </w:pPr>
            <w:r w:rsidRPr="00475128">
              <w:rPr>
                <w:rFonts w:cs="Calibri"/>
                <w:sz w:val="20"/>
                <w:szCs w:val="20"/>
                <w:lang w:val="lv-LV"/>
              </w:rPr>
              <w:t>Atbalstu saņēmušie vidējie komersanti ĪAT (skaits): 16</w:t>
            </w:r>
          </w:p>
          <w:p w:rsidR="000B4ED4" w:rsidRPr="00475128" w:rsidRDefault="000B4ED4" w:rsidP="000B4ED4">
            <w:pPr>
              <w:pStyle w:val="ListParagraph"/>
              <w:numPr>
                <w:ilvl w:val="0"/>
                <w:numId w:val="31"/>
              </w:numPr>
              <w:suppressAutoHyphens w:val="0"/>
              <w:spacing w:after="60" w:line="276" w:lineRule="auto"/>
              <w:ind w:left="321"/>
              <w:rPr>
                <w:rFonts w:cs="Calibri"/>
                <w:sz w:val="20"/>
                <w:szCs w:val="20"/>
                <w:lang w:val="lv-LV"/>
              </w:rPr>
            </w:pPr>
            <w:r w:rsidRPr="00475128">
              <w:rPr>
                <w:rFonts w:cs="Calibri"/>
                <w:sz w:val="20"/>
                <w:szCs w:val="20"/>
                <w:lang w:val="lv-LV"/>
              </w:rPr>
              <w:t xml:space="preserve">Atbalstu saņēmušie </w:t>
            </w:r>
            <w:proofErr w:type="spellStart"/>
            <w:r w:rsidRPr="00475128">
              <w:rPr>
                <w:rFonts w:cs="Calibri"/>
                <w:sz w:val="20"/>
                <w:szCs w:val="20"/>
                <w:lang w:val="lv-LV"/>
              </w:rPr>
              <w:t>mikro</w:t>
            </w:r>
            <w:proofErr w:type="spellEnd"/>
            <w:r w:rsidRPr="00475128">
              <w:rPr>
                <w:rFonts w:cs="Calibri"/>
                <w:sz w:val="20"/>
                <w:szCs w:val="20"/>
                <w:lang w:val="lv-LV"/>
              </w:rPr>
              <w:t xml:space="preserve"> un mazie komersanti ĪAT (skaits): 85</w:t>
            </w:r>
          </w:p>
        </w:tc>
      </w:tr>
    </w:tbl>
    <w:p w:rsidR="000B4ED4" w:rsidRPr="00DB426E" w:rsidRDefault="000B4ED4" w:rsidP="000B4ED4">
      <w:pPr>
        <w:spacing w:after="120"/>
        <w:ind w:left="785"/>
        <w:rPr>
          <w:bCs/>
        </w:rPr>
      </w:pPr>
    </w:p>
    <w:p w:rsidR="000B4ED4" w:rsidRPr="00DB426E" w:rsidRDefault="000B4ED4" w:rsidP="000B4ED4">
      <w:r w:rsidRPr="00DB426E">
        <w:t xml:space="preserve">Lai gan aktivitātē pastāv vairāki būtiski nozares ierobežojumi, šī aktivitāte neietekmē brīvo konkurētspēju. Atbalsts tiek sniegts tikai MVU un tikai īpaši atbalstāmās teritorijās, līdz ar to pastāv teritoriāli ierobežojumi atbalsta saņemšanai, kas var ietekmēt tirgu. Visiem uzņēmumiem ir vienlīdzīgi nosacījumi atbalsta saņemšanai. Turklāt pie atbalsta griestu noteikšanas tiek ņemtas vērā saistīto personu grupas, tādējādi neradot labvēlīgākus apstākļus saistītajiem uzņēmumiem un to īpašniekiem. </w:t>
      </w:r>
    </w:p>
    <w:p w:rsidR="000B4ED4" w:rsidRPr="00DB426E" w:rsidRDefault="000B4ED4" w:rsidP="000B4ED4">
      <w:r w:rsidRPr="00DB426E">
        <w:t>Pieteikšanās procedūra konkursā ir vērtējama kā vidēji sarežģīta. Papildus pieteikuma veidlapai un izziņām ir jāiesniedz arī būvprojekts vismaz skiču projekta stadijā, kā arī zemes īpašuma tiesības apliecinoši dokumenti.</w:t>
      </w:r>
    </w:p>
    <w:p w:rsidR="000B4ED4" w:rsidRPr="00DB426E" w:rsidRDefault="000B4ED4" w:rsidP="000B4ED4">
      <w:pPr>
        <w:rPr>
          <w:b/>
        </w:rPr>
      </w:pPr>
      <w:r w:rsidRPr="00DB426E">
        <w:t>Aktivitātes mērķim un rādītājiem ir netieša ietekme uz privāto investīciju veikšanu R&amp;D. Ar aktivitātes finansiālo atbalstu var tikt veikti ieguldījumi, kas saistīti ar R&amp;D. Aktivitātē apgūti tikai 33% no aktivitātes īstenošanai piešķirtā finansējuma un sasniegtie rādītāji komersantu skaita ziņā svārstās 23%-24% robežās.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9D1FC5" w:rsidRDefault="000B4ED4" w:rsidP="000B4ED4">
            <w:pPr>
              <w:spacing w:after="60"/>
              <w:jc w:val="center"/>
              <w:rPr>
                <w:rFonts w:cs="Calibri"/>
                <w:b/>
                <w:color w:val="FFFFFF"/>
                <w:sz w:val="20"/>
                <w:szCs w:val="20"/>
              </w:rPr>
            </w:pPr>
            <w:r w:rsidRPr="009D1FC5">
              <w:rPr>
                <w:b/>
                <w:bCs/>
                <w:sz w:val="20"/>
                <w:szCs w:val="20"/>
              </w:rPr>
              <w:t>2.3.2.3. Klasteru programma</w:t>
            </w:r>
            <w:r w:rsidRPr="009D1FC5">
              <w:rPr>
                <w:rStyle w:val="FootnoteReference"/>
                <w:b/>
                <w:bCs/>
                <w:sz w:val="20"/>
                <w:szCs w:val="20"/>
              </w:rPr>
              <w:footnoteReference w:id="33"/>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veicināt nozares savstarpēji nesaistītu komersantu, pētniecības, izglītības un citu institūciju sadarbību, tādējādi veicinot nozaru un komersantu konkurētspējas celšanu, eksporta apjomu palielināšanu, inovācijas un jaunu produktu veidošanos.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Atlīdzība koordinatoram un speciālistiem (nepārsniedzot 30% no projekta kopējām attiecināmajām izmaksām)</w:t>
            </w:r>
          </w:p>
          <w:p w:rsidR="000B4ED4" w:rsidRPr="00DB426E" w:rsidRDefault="000B4ED4" w:rsidP="000B4ED4">
            <w:pPr>
              <w:spacing w:after="60"/>
              <w:rPr>
                <w:rFonts w:cs="Calibri"/>
                <w:sz w:val="20"/>
                <w:szCs w:val="20"/>
              </w:rPr>
            </w:pPr>
            <w:r w:rsidRPr="00DB426E">
              <w:rPr>
                <w:rFonts w:cs="Calibri"/>
                <w:sz w:val="20"/>
                <w:szCs w:val="20"/>
              </w:rPr>
              <w:t>Komandējuma izmaksas (transporta izmaksas, naktsmītnes, dienas nauda)</w:t>
            </w:r>
          </w:p>
          <w:p w:rsidR="000B4ED4" w:rsidRPr="00DB426E" w:rsidRDefault="000B4ED4" w:rsidP="000B4ED4">
            <w:pPr>
              <w:spacing w:after="60"/>
              <w:rPr>
                <w:rFonts w:cs="Calibri"/>
                <w:sz w:val="20"/>
                <w:szCs w:val="20"/>
              </w:rPr>
            </w:pPr>
            <w:r w:rsidRPr="00DB426E">
              <w:rPr>
                <w:rFonts w:cs="Calibri"/>
                <w:sz w:val="20"/>
                <w:szCs w:val="20"/>
              </w:rPr>
              <w:t>Ārpakalpojumi</w:t>
            </w:r>
          </w:p>
          <w:p w:rsidR="000B4ED4" w:rsidRPr="00DB426E" w:rsidRDefault="000B4ED4" w:rsidP="000B4ED4">
            <w:pPr>
              <w:spacing w:after="60"/>
              <w:rPr>
                <w:rFonts w:cs="Calibri"/>
                <w:sz w:val="20"/>
                <w:szCs w:val="20"/>
              </w:rPr>
            </w:pPr>
            <w:r w:rsidRPr="00DB426E">
              <w:rPr>
                <w:rFonts w:cs="Calibri"/>
                <w:sz w:val="20"/>
                <w:szCs w:val="20"/>
              </w:rPr>
              <w:t>Administratīvās izmaksas (nepārsniedzot 3% no projekta kopējām attiecināmajām izmaksām)</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Biedrība</w:t>
            </w:r>
          </w:p>
          <w:p w:rsidR="000B4ED4" w:rsidRPr="00DB426E" w:rsidRDefault="000B4ED4" w:rsidP="000B4ED4">
            <w:pPr>
              <w:spacing w:after="60"/>
              <w:rPr>
                <w:rFonts w:cs="Calibri"/>
                <w:sz w:val="20"/>
                <w:szCs w:val="20"/>
              </w:rPr>
            </w:pPr>
            <w:r w:rsidRPr="00DB426E">
              <w:rPr>
                <w:rFonts w:cs="Calibri"/>
                <w:sz w:val="20"/>
                <w:szCs w:val="20"/>
              </w:rPr>
              <w:t>Nodibinājums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tērauda rūpniecība;</w:t>
            </w:r>
          </w:p>
          <w:p w:rsidR="000B4ED4" w:rsidRPr="00DB426E" w:rsidRDefault="000B4ED4" w:rsidP="000B4ED4">
            <w:pPr>
              <w:spacing w:after="60"/>
              <w:rPr>
                <w:rFonts w:cs="Calibri"/>
                <w:sz w:val="20"/>
                <w:szCs w:val="20"/>
              </w:rPr>
            </w:pPr>
            <w:r w:rsidRPr="00DB426E">
              <w:rPr>
                <w:rFonts w:cs="Calibri"/>
                <w:sz w:val="20"/>
                <w:szCs w:val="20"/>
              </w:rPr>
              <w:t>sintētisko šķiedru ražošana;</w:t>
            </w:r>
          </w:p>
          <w:p w:rsidR="000B4ED4" w:rsidRPr="00DB426E" w:rsidRDefault="000B4ED4" w:rsidP="000B4ED4">
            <w:pPr>
              <w:spacing w:after="60"/>
              <w:rPr>
                <w:rFonts w:cs="Calibri"/>
                <w:sz w:val="20"/>
                <w:szCs w:val="20"/>
              </w:rPr>
            </w:pPr>
            <w:r w:rsidRPr="00DB426E">
              <w:rPr>
                <w:rFonts w:cs="Calibri"/>
                <w:sz w:val="20"/>
                <w:szCs w:val="20"/>
              </w:rPr>
              <w:t>lauksaimniecības produktu ražošana;</w:t>
            </w:r>
          </w:p>
          <w:p w:rsidR="000B4ED4" w:rsidRPr="00DB426E" w:rsidRDefault="000B4ED4" w:rsidP="000B4ED4">
            <w:pPr>
              <w:spacing w:after="60"/>
              <w:rPr>
                <w:rFonts w:cs="Calibri"/>
                <w:sz w:val="20"/>
                <w:szCs w:val="20"/>
              </w:rPr>
            </w:pPr>
            <w:r w:rsidRPr="00DB426E">
              <w:rPr>
                <w:rFonts w:cs="Calibri"/>
                <w:sz w:val="20"/>
                <w:szCs w:val="20"/>
              </w:rPr>
              <w:t>zivsaimniecība un akvakultūra;</w:t>
            </w:r>
          </w:p>
          <w:p w:rsidR="000B4ED4" w:rsidRPr="00DB426E" w:rsidRDefault="000B4ED4" w:rsidP="000B4ED4">
            <w:pPr>
              <w:spacing w:after="60"/>
              <w:rPr>
                <w:rFonts w:cs="Calibri"/>
                <w:sz w:val="20"/>
                <w:szCs w:val="20"/>
              </w:rPr>
            </w:pPr>
            <w:r w:rsidRPr="00DB426E">
              <w:rPr>
                <w:rFonts w:cs="Calibri"/>
                <w:sz w:val="20"/>
                <w:szCs w:val="20"/>
              </w:rPr>
              <w:t>ogļu rūpniecība;</w:t>
            </w:r>
          </w:p>
          <w:p w:rsidR="000B4ED4" w:rsidRPr="00DB426E" w:rsidRDefault="000B4ED4" w:rsidP="000B4ED4">
            <w:pPr>
              <w:spacing w:after="60"/>
              <w:rPr>
                <w:rFonts w:cs="Calibri"/>
                <w:sz w:val="20"/>
                <w:szCs w:val="20"/>
              </w:rPr>
            </w:pPr>
            <w:r w:rsidRPr="00DB426E">
              <w:rPr>
                <w:rFonts w:cs="Calibri"/>
                <w:sz w:val="20"/>
                <w:szCs w:val="20"/>
              </w:rPr>
              <w:t>alus un alkoholisko dzērienu ražošana;</w:t>
            </w:r>
          </w:p>
          <w:p w:rsidR="000B4ED4" w:rsidRPr="00DB426E" w:rsidRDefault="000B4ED4" w:rsidP="000B4ED4">
            <w:pPr>
              <w:spacing w:after="60"/>
              <w:rPr>
                <w:rFonts w:cs="Calibri"/>
                <w:sz w:val="20"/>
                <w:szCs w:val="20"/>
              </w:rPr>
            </w:pPr>
            <w:r w:rsidRPr="00DB426E">
              <w:rPr>
                <w:rFonts w:cs="Calibri"/>
                <w:sz w:val="20"/>
                <w:szCs w:val="20"/>
              </w:rPr>
              <w:t>tabakas izstrādājumu ražošana;</w:t>
            </w:r>
          </w:p>
          <w:p w:rsidR="000B4ED4" w:rsidRPr="00DB426E" w:rsidRDefault="000B4ED4" w:rsidP="000B4ED4">
            <w:pPr>
              <w:spacing w:after="60"/>
              <w:rPr>
                <w:rFonts w:cs="Calibri"/>
                <w:sz w:val="20"/>
                <w:szCs w:val="20"/>
              </w:rPr>
            </w:pPr>
            <w:r w:rsidRPr="00DB426E">
              <w:rPr>
                <w:rFonts w:cs="Calibri"/>
                <w:sz w:val="20"/>
                <w:szCs w:val="20"/>
              </w:rPr>
              <w:t>kuģu būve;</w:t>
            </w:r>
          </w:p>
          <w:p w:rsidR="000B4ED4" w:rsidRPr="00DB426E" w:rsidRDefault="000B4ED4" w:rsidP="000B4ED4">
            <w:pPr>
              <w:spacing w:after="60"/>
              <w:rPr>
                <w:rFonts w:cs="Calibri"/>
                <w:sz w:val="20"/>
                <w:szCs w:val="20"/>
              </w:rPr>
            </w:pPr>
            <w:r w:rsidRPr="00DB426E">
              <w:rPr>
                <w:rFonts w:cs="Calibri"/>
                <w:sz w:val="20"/>
                <w:szCs w:val="20"/>
              </w:rPr>
              <w:t>tirdzniecība;</w:t>
            </w:r>
          </w:p>
          <w:p w:rsidR="000B4ED4" w:rsidRPr="00DB426E" w:rsidRDefault="000B4ED4" w:rsidP="000B4ED4">
            <w:pPr>
              <w:spacing w:after="60"/>
              <w:rPr>
                <w:rFonts w:cs="Calibri"/>
                <w:sz w:val="20"/>
                <w:szCs w:val="20"/>
              </w:rPr>
            </w:pPr>
            <w:r w:rsidRPr="00DB426E">
              <w:rPr>
                <w:rFonts w:cs="Calibri"/>
                <w:sz w:val="20"/>
                <w:szCs w:val="20"/>
              </w:rPr>
              <w:t>finanšu starpniecība;</w:t>
            </w:r>
          </w:p>
          <w:p w:rsidR="000B4ED4" w:rsidRPr="00DB426E" w:rsidRDefault="000B4ED4" w:rsidP="000B4ED4">
            <w:pPr>
              <w:spacing w:after="60"/>
              <w:rPr>
                <w:rFonts w:cs="Calibri"/>
                <w:sz w:val="20"/>
                <w:szCs w:val="20"/>
              </w:rPr>
            </w:pPr>
            <w:r w:rsidRPr="00DB426E">
              <w:rPr>
                <w:rFonts w:cs="Calibri"/>
                <w:sz w:val="20"/>
                <w:szCs w:val="20"/>
              </w:rPr>
              <w:t>komercpakalpojumi;</w:t>
            </w:r>
          </w:p>
          <w:p w:rsidR="000B4ED4" w:rsidRPr="00DB426E" w:rsidRDefault="000B4ED4" w:rsidP="000B4ED4">
            <w:pPr>
              <w:spacing w:after="60"/>
              <w:rPr>
                <w:rFonts w:cs="Calibri"/>
                <w:sz w:val="20"/>
                <w:szCs w:val="20"/>
              </w:rPr>
            </w:pPr>
            <w:r w:rsidRPr="00DB426E">
              <w:rPr>
                <w:rFonts w:cs="Calibri"/>
                <w:sz w:val="20"/>
                <w:szCs w:val="20"/>
              </w:rPr>
              <w:t>azartspēles.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Projekts īstenojams partnerībā.</w:t>
            </w:r>
          </w:p>
          <w:p w:rsidR="000B4ED4" w:rsidRPr="00DB426E" w:rsidRDefault="000B4ED4" w:rsidP="000B4ED4">
            <w:pPr>
              <w:spacing w:after="60"/>
              <w:rPr>
                <w:rFonts w:cs="Calibri"/>
                <w:sz w:val="20"/>
                <w:szCs w:val="20"/>
              </w:rPr>
            </w:pPr>
            <w:r w:rsidRPr="00DB426E">
              <w:rPr>
                <w:rFonts w:cs="Calibri"/>
                <w:sz w:val="20"/>
                <w:szCs w:val="20"/>
              </w:rPr>
              <w:t>Projekta iesniedzēja partneri ir:</w:t>
            </w:r>
          </w:p>
          <w:p w:rsidR="000B4ED4" w:rsidRPr="00DB426E" w:rsidRDefault="000B4ED4" w:rsidP="000B4ED4">
            <w:pPr>
              <w:spacing w:after="60"/>
              <w:rPr>
                <w:rFonts w:cs="Calibri"/>
                <w:sz w:val="20"/>
                <w:szCs w:val="20"/>
              </w:rPr>
            </w:pPr>
            <w:r w:rsidRPr="00DB426E">
              <w:rPr>
                <w:rFonts w:cs="Calibri"/>
                <w:sz w:val="20"/>
                <w:szCs w:val="20"/>
              </w:rPr>
              <w:t>Uzņēmumu reģistrā reģistrēti komersanti;</w:t>
            </w:r>
          </w:p>
          <w:p w:rsidR="000B4ED4" w:rsidRPr="00DB426E" w:rsidRDefault="000B4ED4" w:rsidP="000B4ED4">
            <w:pPr>
              <w:spacing w:after="60"/>
              <w:rPr>
                <w:rFonts w:cs="Calibri"/>
                <w:sz w:val="20"/>
                <w:szCs w:val="20"/>
              </w:rPr>
            </w:pPr>
            <w:r w:rsidRPr="00DB426E">
              <w:rPr>
                <w:rFonts w:cs="Calibri"/>
                <w:sz w:val="20"/>
                <w:szCs w:val="20"/>
              </w:rPr>
              <w:t>Izglītības un pētniecības institūcijas;</w:t>
            </w:r>
          </w:p>
          <w:p w:rsidR="000B4ED4" w:rsidRPr="00DB426E" w:rsidRDefault="000B4ED4" w:rsidP="000B4ED4">
            <w:pPr>
              <w:spacing w:after="60"/>
              <w:rPr>
                <w:rFonts w:cs="Calibri"/>
                <w:sz w:val="20"/>
                <w:szCs w:val="20"/>
              </w:rPr>
            </w:pPr>
            <w:r w:rsidRPr="00DB426E">
              <w:rPr>
                <w:rFonts w:cs="Calibri"/>
                <w:sz w:val="20"/>
                <w:szCs w:val="20"/>
              </w:rPr>
              <w:t>Citi sadarbības partneri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ietvaros finansē tai skaitā ar pētniecību un attīstību saistītas izmaksas.</w:t>
            </w:r>
          </w:p>
          <w:p w:rsidR="000B4ED4" w:rsidRPr="00DB426E" w:rsidRDefault="000B4ED4" w:rsidP="000B4ED4">
            <w:pPr>
              <w:spacing w:after="60"/>
              <w:rPr>
                <w:rFonts w:cs="Calibri"/>
                <w:sz w:val="20"/>
                <w:szCs w:val="20"/>
              </w:rPr>
            </w:pPr>
            <w:r w:rsidRPr="00DB426E">
              <w:rPr>
                <w:rFonts w:cs="Calibri"/>
                <w:sz w:val="20"/>
                <w:szCs w:val="20"/>
              </w:rPr>
              <w:t>Projekta iesniedzēja sadarbības partneriem (vienam vai vairākiem) jāuzrāda ar pētniecību un attīstību saistītie izdevumi.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w:t>
            </w:r>
            <w:r w:rsidRPr="00475128">
              <w:rPr>
                <w:rFonts w:cs="Calibri"/>
                <w:b/>
                <w:sz w:val="20"/>
                <w:szCs w:val="20"/>
                <w:shd w:val="clear" w:color="auto" w:fill="F2F2F2"/>
              </w:rPr>
              <w:t>m</w:t>
            </w:r>
            <w:r w:rsidRPr="00DB426E">
              <w:rPr>
                <w:rFonts w:cs="Calibri"/>
                <w:b/>
                <w:sz w:val="20"/>
                <w:szCs w:val="20"/>
              </w:rPr>
              <w:t>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300 000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Ar klastera darbību saistītiem pasākumiem: 90%</w:t>
            </w:r>
          </w:p>
          <w:p w:rsidR="000B4ED4" w:rsidRPr="00DB426E" w:rsidRDefault="000B4ED4" w:rsidP="000B4ED4">
            <w:pPr>
              <w:spacing w:after="60"/>
              <w:rPr>
                <w:rFonts w:cs="Calibri"/>
                <w:sz w:val="20"/>
                <w:szCs w:val="20"/>
              </w:rPr>
            </w:pPr>
            <w:r w:rsidRPr="00DB426E">
              <w:rPr>
                <w:rFonts w:cs="Calibri"/>
                <w:sz w:val="20"/>
                <w:szCs w:val="20"/>
              </w:rPr>
              <w:t>Klastera pakalpojumu nodrošināšanai sadarbības partneriem: 85%</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3 407 289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11</w:t>
            </w:r>
          </w:p>
        </w:tc>
        <w:tc>
          <w:tcPr>
            <w:tcW w:w="1846" w:type="pct"/>
          </w:tcPr>
          <w:p w:rsidR="000B4ED4" w:rsidRPr="00DB426E" w:rsidRDefault="000B4ED4" w:rsidP="000B4ED4">
            <w:pPr>
              <w:spacing w:after="60"/>
              <w:rPr>
                <w:rFonts w:cs="Calibri"/>
                <w:sz w:val="20"/>
                <w:szCs w:val="20"/>
              </w:rPr>
            </w:pPr>
            <w:r w:rsidRPr="00DB426E">
              <w:rPr>
                <w:rFonts w:cs="Calibri"/>
                <w:sz w:val="20"/>
                <w:szCs w:val="20"/>
              </w:rPr>
              <w:t>3 237 834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highlight w:val="green"/>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p>
        </w:tc>
        <w:tc>
          <w:tcPr>
            <w:tcW w:w="1846" w:type="pct"/>
          </w:tcPr>
          <w:p w:rsidR="000B4ED4" w:rsidRPr="00DB426E" w:rsidRDefault="000B4ED4" w:rsidP="000B4ED4">
            <w:pPr>
              <w:spacing w:after="60"/>
              <w:rPr>
                <w:rFonts w:cs="Calibri"/>
                <w:sz w:val="20"/>
                <w:szCs w:val="20"/>
              </w:rPr>
            </w:pPr>
            <w:r w:rsidRPr="00DB426E">
              <w:rPr>
                <w:rFonts w:cs="Calibri"/>
                <w:sz w:val="20"/>
                <w:szCs w:val="20"/>
              </w:rPr>
              <w:t>178 106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Uzraudzības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Izveidoto klasteru skaits: 8</w:t>
            </w:r>
          </w:p>
        </w:tc>
        <w:tc>
          <w:tcPr>
            <w:tcW w:w="1846" w:type="pct"/>
          </w:tcPr>
          <w:p w:rsidR="000B4ED4" w:rsidRPr="00DB426E" w:rsidRDefault="000B4ED4" w:rsidP="000B4ED4">
            <w:pPr>
              <w:spacing w:after="60"/>
              <w:rPr>
                <w:rFonts w:cs="Calibri"/>
                <w:sz w:val="20"/>
                <w:szCs w:val="20"/>
              </w:rPr>
            </w:pPr>
            <w:r w:rsidRPr="00DB426E">
              <w:rPr>
                <w:rFonts w:cs="Calibri"/>
                <w:sz w:val="20"/>
                <w:szCs w:val="20"/>
              </w:rPr>
              <w:t>11</w:t>
            </w:r>
          </w:p>
        </w:tc>
      </w:tr>
    </w:tbl>
    <w:p w:rsidR="000B4ED4" w:rsidRPr="00DB426E" w:rsidRDefault="000B4ED4" w:rsidP="000B4ED4">
      <w:pPr>
        <w:spacing w:before="240"/>
      </w:pPr>
      <w:r w:rsidRPr="00DB426E">
        <w:t>Aktivitātei ir tieša ietekme uz privāto ieguldījumu R&amp;D sekmēšanu. Tās mērķis veicina R&amp;D attīstību un privāto investīciju ieguldījumus.</w:t>
      </w:r>
    </w:p>
    <w:p w:rsidR="000B4ED4" w:rsidRPr="00DB426E" w:rsidRDefault="000B4ED4" w:rsidP="000B4ED4">
      <w:r w:rsidRPr="00DB426E">
        <w:t>Pastāv iespēja, ka aktivitāte ierobežo brīvo konkurenci, klastera dalībnieku un atbalsta saņēmēju saraksta veidošanai nav noteiktas striktas vadlīnijas par pieejamību visiem nozares spēlētājiem. Vienlaikus, lai arī klasteru dibināšanas iespēja ir visiem komersantiem, noteikti augsti griesti minimālajam klastera dalībnieku – komersantu skaitam (20) un minimālajam sadarbības partneru apgrozījumam iepriekšējā gadā 30 000 000), kas ierobežo klasteru veidošanas iespējas maziem komersantiem un var radīt situācijas, kad kāds no tirgus dalībniekiem tiek apzināti izslēgts no dalības klasterī. Dalība konkursā notiek partnerībā, līdz ar to atbalstu var saņemt komersanti, zinātniskās institūcijas, augstskolas, un netieši – arī fiziskas personas (piemēram, apmācībām). Atbalsta intensitātes nosacījumi ir vienlīdzīgi visiem projektu iesniedzējiem un iesaistītajām pusēm.</w:t>
      </w:r>
    </w:p>
    <w:p w:rsidR="000B4ED4" w:rsidRPr="00DB426E" w:rsidRDefault="000B4ED4" w:rsidP="000B4ED4">
      <w:r w:rsidRPr="00DB426E">
        <w:t xml:space="preserve">Pieteikšanās atbalsta saņemšanai ir vērtējama kā vidēji sarežģīta. Papildus pieteikuma veidlapai ir iesniedzams arī detalizēts klastera darbības vidēja termiņa stratēģijas pirmā gada darbības plāns. </w:t>
      </w:r>
    </w:p>
    <w:p w:rsidR="000B4ED4" w:rsidRPr="00DB426E" w:rsidRDefault="000B4ED4" w:rsidP="000B4ED4">
      <w:pPr>
        <w:pStyle w:val="Heading3"/>
        <w:numPr>
          <w:ilvl w:val="2"/>
          <w:numId w:val="4"/>
        </w:numPr>
      </w:pPr>
      <w:bookmarkStart w:id="377" w:name="_Toc356472844"/>
      <w:bookmarkStart w:id="378" w:name="_Toc356566553"/>
      <w:bookmarkStart w:id="379" w:name="_Toc358978773"/>
      <w:r w:rsidRPr="00DB426E">
        <w:t>Finanšu atbalsta instrumenti</w:t>
      </w:r>
      <w:bookmarkEnd w:id="377"/>
      <w:bookmarkEnd w:id="378"/>
      <w:bookmarkEnd w:id="379"/>
    </w:p>
    <w:p w:rsidR="000B4ED4" w:rsidRPr="00DB426E" w:rsidRDefault="000B4ED4" w:rsidP="000B4ED4">
      <w:pPr>
        <w:pStyle w:val="Heading4"/>
        <w:numPr>
          <w:ilvl w:val="3"/>
          <w:numId w:val="4"/>
        </w:numPr>
        <w:ind w:firstLine="270"/>
      </w:pPr>
      <w:bookmarkStart w:id="380" w:name="_Toc356566554"/>
      <w:bookmarkStart w:id="381" w:name="_Toc358978774"/>
      <w:r w:rsidRPr="00DB426E">
        <w:t>Riska kapitāla fondu investīcijas</w:t>
      </w:r>
      <w:bookmarkEnd w:id="380"/>
      <w:bookmarkEnd w:id="381"/>
    </w:p>
    <w:p w:rsidR="000B4ED4" w:rsidRPr="00DB426E" w:rsidRDefault="000B4ED4" w:rsidP="000B4ED4">
      <w:r w:rsidRPr="00DB426E">
        <w:t>Daļa finanšu atbalsta instrumenti tiek pielietoti, izmantojot ES struktūrfondu aktivitātes. Ar struktūrfondu atbalstu komersantiem tiek piešķirtas riska kapitāla fondu riska investīcijas (aktivitāte 2.2.1.1. „</w:t>
      </w:r>
      <w:r w:rsidRPr="00DB426E">
        <w:rPr>
          <w:bCs/>
        </w:rPr>
        <w:t>Ieguldījumu fonds investīcijām garantijās, paaugstināta riska aizdevumos, riska kapitāla fondos un cita veida finanšu instrumentos (riska kapitāla fondu riska investīcijas)”).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9D1FC5" w:rsidRDefault="000B4ED4" w:rsidP="000B4ED4">
            <w:pPr>
              <w:spacing w:after="60"/>
              <w:jc w:val="center"/>
              <w:rPr>
                <w:rFonts w:cs="Calibri"/>
                <w:b/>
                <w:color w:val="FFFFFF"/>
                <w:sz w:val="20"/>
                <w:szCs w:val="20"/>
              </w:rPr>
            </w:pPr>
            <w:r w:rsidRPr="009D1FC5">
              <w:rPr>
                <w:b/>
                <w:bCs/>
                <w:sz w:val="20"/>
                <w:szCs w:val="20"/>
              </w:rPr>
              <w:t>2.2.1.1. Ieguldījumu fonds investīcijām garantijās, paaugstināta riska aizdevumos, riska kapitāla fondos un cita veida finanšu instrumentos (riska kapitāla fondu riska investīcijas)</w:t>
            </w:r>
            <w:r w:rsidRPr="009D1FC5">
              <w:rPr>
                <w:rStyle w:val="FootnoteReference"/>
                <w:b/>
                <w:bCs/>
                <w:sz w:val="20"/>
                <w:szCs w:val="20"/>
              </w:rPr>
              <w:footnoteReference w:id="34"/>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nodrošināt maziem un vidējiem komersantiem pieeju finansējumam komercdarbības uzsākšanai un attīstībai, saņemot aizdevumu vai riska kapitālu, ja paša nodrošinājums nav pietiekams kredītresursu piesaistei nepieciešamajā apjomā, kā arī veicināt Latvijas komersantu konkurētspēju ārējos tirgos, sekmēt jaunu tirgu apgūšanu un nostiprināšanos esošajos tirgos, attīstot un nodrošinot Latvijas komersantiem tādus finanšu instrumentus kā eksporta garantijas eksporta veicināšanai.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Aģentūras vadības izmaksas:</w:t>
            </w:r>
          </w:p>
          <w:p w:rsidR="000B4ED4" w:rsidRPr="00DB426E" w:rsidRDefault="000B4ED4" w:rsidP="000B4ED4">
            <w:pPr>
              <w:spacing w:after="60"/>
              <w:rPr>
                <w:rFonts w:cs="Calibri"/>
                <w:sz w:val="20"/>
                <w:szCs w:val="20"/>
              </w:rPr>
            </w:pPr>
            <w:r w:rsidRPr="00DB426E">
              <w:rPr>
                <w:rFonts w:cs="Calibri"/>
                <w:sz w:val="20"/>
                <w:szCs w:val="20"/>
              </w:rPr>
              <w:t xml:space="preserve">Atlīdzība darbiniekiem </w:t>
            </w:r>
          </w:p>
          <w:p w:rsidR="000B4ED4" w:rsidRPr="00DB426E" w:rsidRDefault="000B4ED4" w:rsidP="000B4ED4">
            <w:pPr>
              <w:spacing w:after="60"/>
              <w:rPr>
                <w:rFonts w:cs="Calibri"/>
                <w:sz w:val="20"/>
                <w:szCs w:val="20"/>
              </w:rPr>
            </w:pPr>
            <w:r w:rsidRPr="00DB426E">
              <w:rPr>
                <w:rFonts w:cs="Calibri"/>
                <w:sz w:val="20"/>
                <w:szCs w:val="20"/>
              </w:rPr>
              <w:t>Administratīvās izmaksas (par ieguldījumu fonda ieviešanu)</w:t>
            </w:r>
          </w:p>
          <w:p w:rsidR="000B4ED4" w:rsidRPr="00DB426E" w:rsidRDefault="000B4ED4" w:rsidP="000B4ED4">
            <w:pPr>
              <w:spacing w:after="60"/>
              <w:rPr>
                <w:rFonts w:cs="Calibri"/>
                <w:sz w:val="20"/>
                <w:szCs w:val="20"/>
              </w:rPr>
            </w:pPr>
            <w:r w:rsidRPr="00DB426E">
              <w:rPr>
                <w:rFonts w:cs="Calibri"/>
                <w:sz w:val="20"/>
                <w:szCs w:val="20"/>
              </w:rPr>
              <w:t>Ārpakalpojumu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Aģentūra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vairumtirdzniecība un mazumtirdzniecība;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apdrošināšana un finanšu starp</w:t>
            </w:r>
            <w:r w:rsidRPr="00DB426E">
              <w:rPr>
                <w:rFonts w:ascii="Calibri" w:eastAsia="Calibri" w:hAnsi="Calibri" w:cs="Calibri"/>
                <w:sz w:val="20"/>
                <w:szCs w:val="20"/>
                <w:lang w:eastAsia="en-US"/>
              </w:rPr>
              <w:softHyphen/>
              <w:t>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komercpakalpojumi (operācijas ar nekustamo īpašumu; transport</w:t>
            </w:r>
            <w:r w:rsidRPr="00DB426E">
              <w:rPr>
                <w:rFonts w:ascii="Calibri" w:eastAsia="Calibri" w:hAnsi="Calibri" w:cs="Calibri"/>
                <w:sz w:val="20"/>
                <w:szCs w:val="20"/>
                <w:lang w:eastAsia="en-US"/>
              </w:rPr>
              <w:softHyphen/>
              <w:t>līdzekļu, mašīnu un iekārtu, individuālās lietošanas priekšmetu, sadzīves aparatūras un iekārtu iznomāšana);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azartspēles un derības;</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ieroču, tabakas, alus un alkoholisko dzērienu ražošana, piegāde un tirdzniecība;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banku pakalpojumi;</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zivsaimniecība un akvakultūra;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lauksaimniecības produktu primārā ražošana;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lauksaimniecības produktu pārstrāde un tirdzniecība;</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ogļu nozare;</w:t>
            </w:r>
          </w:p>
          <w:p w:rsidR="000B4ED4" w:rsidRPr="00DB426E" w:rsidRDefault="000B4ED4" w:rsidP="000B4ED4">
            <w:pPr>
              <w:pStyle w:val="tv213"/>
              <w:shd w:val="clear" w:color="auto" w:fill="FFFFFF"/>
              <w:spacing w:before="0" w:beforeAutospacing="0" w:after="60" w:afterAutospacing="0" w:line="276" w:lineRule="auto"/>
              <w:rPr>
                <w:rFonts w:ascii="Calibri" w:eastAsia="Calibri" w:hAnsi="Calibri" w:cs="Calibri"/>
                <w:sz w:val="20"/>
                <w:szCs w:val="20"/>
                <w:lang w:eastAsia="en-US"/>
              </w:rPr>
            </w:pPr>
            <w:r w:rsidRPr="00DB426E">
              <w:rPr>
                <w:rFonts w:ascii="Calibri" w:eastAsia="Calibri" w:hAnsi="Calibri" w:cs="Calibri"/>
                <w:sz w:val="20"/>
                <w:szCs w:val="20"/>
                <w:lang w:eastAsia="en-US"/>
              </w:rPr>
              <w:t>kravas autotransporta līdzekļu iegāde komersantiem, kas veic komercpārvadājumus ar autotransportu.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Riska kapitāla fondu investīcijas ir paredzētas tikai īpaši inovatīviem uzņēmumiem ar augstas riska pakāpes darbību, kas veic privātos ieguldījumus R&amp;D.</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Finansējuma saņēmējs ir Latvijas Garantiju aģentūra (LGA).</w:t>
            </w:r>
          </w:p>
          <w:p w:rsidR="000B4ED4" w:rsidRPr="00DB426E" w:rsidRDefault="000B4ED4" w:rsidP="000B4ED4">
            <w:pPr>
              <w:spacing w:after="60"/>
              <w:rPr>
                <w:rFonts w:cs="Calibri"/>
                <w:sz w:val="20"/>
                <w:szCs w:val="20"/>
              </w:rPr>
            </w:pPr>
            <w:r w:rsidRPr="00DB426E">
              <w:rPr>
                <w:rFonts w:cs="Calibri"/>
                <w:sz w:val="20"/>
                <w:szCs w:val="20"/>
              </w:rPr>
              <w:t>Pēc finansējuma saņemšanas LGA veic divu riska kapitāla investoru finansēšanu, kuri finansējumu pārdala komersantiem.</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100%</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58 529 801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Saņemtie pieteikumi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58 529 801 LVL</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58 529 801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9 012 728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475128" w:rsidRDefault="000B4ED4" w:rsidP="000B4ED4">
            <w:pPr>
              <w:pStyle w:val="ListParagraph"/>
              <w:numPr>
                <w:ilvl w:val="0"/>
                <w:numId w:val="92"/>
              </w:numPr>
              <w:suppressAutoHyphens w:val="0"/>
              <w:spacing w:after="60" w:line="276" w:lineRule="auto"/>
              <w:rPr>
                <w:rFonts w:cs="Calibri"/>
                <w:sz w:val="20"/>
                <w:szCs w:val="20"/>
                <w:lang w:val="lv-LV"/>
              </w:rPr>
            </w:pPr>
            <w:r w:rsidRPr="00475128">
              <w:rPr>
                <w:rFonts w:cs="Calibri"/>
                <w:sz w:val="20"/>
                <w:szCs w:val="20"/>
                <w:lang w:val="lv-LV"/>
              </w:rPr>
              <w:t>Piesaistīts privātais finansējums aizdevumu un līzinga finansētiem pasākumiem (visā 2.2.1.): - EUR</w:t>
            </w:r>
          </w:p>
          <w:p w:rsidR="000B4ED4" w:rsidRPr="00475128" w:rsidRDefault="000B4ED4" w:rsidP="000B4ED4">
            <w:pPr>
              <w:pStyle w:val="ListParagraph"/>
              <w:numPr>
                <w:ilvl w:val="0"/>
                <w:numId w:val="92"/>
              </w:numPr>
              <w:suppressAutoHyphens w:val="0"/>
              <w:spacing w:after="60" w:line="276" w:lineRule="auto"/>
              <w:rPr>
                <w:rFonts w:cs="Calibri"/>
                <w:sz w:val="20"/>
                <w:szCs w:val="20"/>
                <w:lang w:val="lv-LV"/>
              </w:rPr>
            </w:pPr>
            <w:r w:rsidRPr="00475128">
              <w:rPr>
                <w:rFonts w:cs="Calibri"/>
                <w:sz w:val="20"/>
                <w:szCs w:val="20"/>
                <w:lang w:val="lv-LV"/>
              </w:rPr>
              <w:t>Sēklas stadijas investīciju skaits, kas tiek finansētas tālākās attīstības stadijās: 45</w:t>
            </w:r>
          </w:p>
          <w:p w:rsidR="000B4ED4" w:rsidRPr="00475128" w:rsidRDefault="000B4ED4" w:rsidP="000B4ED4">
            <w:pPr>
              <w:pStyle w:val="ListParagraph"/>
              <w:numPr>
                <w:ilvl w:val="0"/>
                <w:numId w:val="92"/>
              </w:numPr>
              <w:suppressAutoHyphens w:val="0"/>
              <w:spacing w:after="60" w:line="276" w:lineRule="auto"/>
              <w:rPr>
                <w:rFonts w:cs="Calibri"/>
                <w:sz w:val="20"/>
                <w:szCs w:val="20"/>
                <w:lang w:val="lv-LV"/>
              </w:rPr>
            </w:pPr>
            <w:r w:rsidRPr="00475128">
              <w:rPr>
                <w:rFonts w:cs="Calibri"/>
                <w:sz w:val="20"/>
                <w:szCs w:val="20"/>
                <w:lang w:val="lv-LV"/>
              </w:rPr>
              <w:t>MVK ieguldītā riska kapitāla finansējuma apjoms: 65 000 000 EUR</w:t>
            </w:r>
          </w:p>
        </w:tc>
        <w:tc>
          <w:tcPr>
            <w:tcW w:w="1846" w:type="pct"/>
          </w:tcPr>
          <w:p w:rsidR="000B4ED4" w:rsidRPr="00475128" w:rsidRDefault="000B4ED4" w:rsidP="000B4ED4">
            <w:pPr>
              <w:pStyle w:val="ListParagraph"/>
              <w:numPr>
                <w:ilvl w:val="0"/>
                <w:numId w:val="93"/>
              </w:numPr>
              <w:suppressAutoHyphens w:val="0"/>
              <w:spacing w:after="60" w:line="276" w:lineRule="auto"/>
              <w:rPr>
                <w:rFonts w:cs="Calibri"/>
                <w:sz w:val="20"/>
                <w:szCs w:val="20"/>
                <w:lang w:val="lv-LV"/>
              </w:rPr>
            </w:pPr>
            <w:r w:rsidRPr="00475128">
              <w:rPr>
                <w:rFonts w:cs="Calibri"/>
                <w:sz w:val="20"/>
                <w:szCs w:val="20"/>
                <w:lang w:val="lv-LV"/>
              </w:rPr>
              <w:t>Piesaistīts privātais finansējums aizdevumu un līzinga finansētiem pasākumiem (visā 2.2.1.): 7 136 486 EUR</w:t>
            </w:r>
          </w:p>
          <w:p w:rsidR="000B4ED4" w:rsidRPr="00475128" w:rsidRDefault="000B4ED4" w:rsidP="000B4ED4">
            <w:pPr>
              <w:pStyle w:val="ListParagraph"/>
              <w:numPr>
                <w:ilvl w:val="0"/>
                <w:numId w:val="93"/>
              </w:numPr>
              <w:suppressAutoHyphens w:val="0"/>
              <w:spacing w:after="60" w:line="276" w:lineRule="auto"/>
              <w:rPr>
                <w:rFonts w:cs="Calibri"/>
                <w:sz w:val="20"/>
                <w:szCs w:val="20"/>
                <w:lang w:val="lv-LV"/>
              </w:rPr>
            </w:pPr>
            <w:r w:rsidRPr="00475128">
              <w:rPr>
                <w:rFonts w:cs="Calibri"/>
                <w:sz w:val="20"/>
                <w:szCs w:val="20"/>
                <w:lang w:val="lv-LV"/>
              </w:rPr>
              <w:t>Sēklas stadijas investīciju skaits, kas tiek finansētas tālākās attīstības stadijās: 3</w:t>
            </w:r>
          </w:p>
          <w:p w:rsidR="000B4ED4" w:rsidRPr="00475128" w:rsidRDefault="000B4ED4" w:rsidP="000B4ED4">
            <w:pPr>
              <w:pStyle w:val="ListParagraph"/>
              <w:numPr>
                <w:ilvl w:val="0"/>
                <w:numId w:val="93"/>
              </w:numPr>
              <w:suppressAutoHyphens w:val="0"/>
              <w:spacing w:after="60" w:line="276" w:lineRule="auto"/>
              <w:rPr>
                <w:rFonts w:cs="Calibri"/>
                <w:sz w:val="20"/>
                <w:szCs w:val="20"/>
                <w:lang w:val="lv-LV"/>
              </w:rPr>
            </w:pPr>
            <w:r w:rsidRPr="00475128">
              <w:rPr>
                <w:rFonts w:cs="Calibri"/>
                <w:sz w:val="20"/>
                <w:szCs w:val="20"/>
                <w:lang w:val="lv-LV"/>
              </w:rPr>
              <w:t>MVK ieguldītā riska kapitāla finansējuma apjoms: 10 300 000 EUR</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475128" w:rsidRDefault="000B4ED4" w:rsidP="000B4ED4">
            <w:pPr>
              <w:pStyle w:val="ListParagraph"/>
              <w:numPr>
                <w:ilvl w:val="0"/>
                <w:numId w:val="95"/>
              </w:numPr>
              <w:suppressAutoHyphens w:val="0"/>
              <w:spacing w:after="60" w:line="276" w:lineRule="auto"/>
              <w:rPr>
                <w:rFonts w:cs="Calibri"/>
                <w:sz w:val="20"/>
                <w:szCs w:val="20"/>
                <w:lang w:val="lv-LV"/>
              </w:rPr>
            </w:pPr>
            <w:r w:rsidRPr="00475128">
              <w:rPr>
                <w:rFonts w:cs="Calibri"/>
                <w:sz w:val="20"/>
                <w:szCs w:val="20"/>
                <w:lang w:val="lv-LV"/>
              </w:rPr>
              <w:t>Riska kapitāla finansējumu saņēmušo MVK skaits: 65</w:t>
            </w:r>
          </w:p>
          <w:p w:rsidR="000B4ED4" w:rsidRPr="00475128" w:rsidRDefault="000B4ED4" w:rsidP="000B4ED4">
            <w:pPr>
              <w:pStyle w:val="ListParagraph"/>
              <w:numPr>
                <w:ilvl w:val="0"/>
                <w:numId w:val="95"/>
              </w:numPr>
              <w:suppressAutoHyphens w:val="0"/>
              <w:spacing w:after="60" w:line="276" w:lineRule="auto"/>
              <w:rPr>
                <w:rFonts w:cs="Calibri"/>
                <w:sz w:val="20"/>
                <w:szCs w:val="20"/>
                <w:lang w:val="lv-LV"/>
              </w:rPr>
            </w:pPr>
            <w:r w:rsidRPr="00475128">
              <w:rPr>
                <w:rFonts w:cs="Calibri"/>
                <w:sz w:val="20"/>
                <w:szCs w:val="20"/>
                <w:lang w:val="lv-LV"/>
              </w:rPr>
              <w:t>Komersanti, kas saņēmuši atbalstu garantijas vai paaugstināta riska aizdevumus: 250</w:t>
            </w:r>
          </w:p>
          <w:p w:rsidR="000B4ED4" w:rsidRPr="00475128" w:rsidRDefault="000B4ED4" w:rsidP="000B4ED4">
            <w:pPr>
              <w:pStyle w:val="ListParagraph"/>
              <w:numPr>
                <w:ilvl w:val="0"/>
                <w:numId w:val="95"/>
              </w:numPr>
              <w:suppressAutoHyphens w:val="0"/>
              <w:spacing w:after="60" w:line="276" w:lineRule="auto"/>
              <w:rPr>
                <w:rFonts w:cs="Calibri"/>
                <w:sz w:val="20"/>
                <w:szCs w:val="20"/>
                <w:lang w:val="lv-LV"/>
              </w:rPr>
            </w:pPr>
            <w:r w:rsidRPr="00475128">
              <w:rPr>
                <w:rFonts w:cs="Calibri"/>
                <w:sz w:val="20"/>
                <w:szCs w:val="20"/>
                <w:lang w:val="lv-LV"/>
              </w:rPr>
              <w:t xml:space="preserve">Izveidoti tehnoloģiju inkubatori: 3 </w:t>
            </w:r>
          </w:p>
        </w:tc>
        <w:tc>
          <w:tcPr>
            <w:tcW w:w="1846" w:type="pct"/>
          </w:tcPr>
          <w:p w:rsidR="000B4ED4" w:rsidRPr="00475128" w:rsidRDefault="000B4ED4" w:rsidP="000B4ED4">
            <w:pPr>
              <w:pStyle w:val="ListParagraph"/>
              <w:numPr>
                <w:ilvl w:val="0"/>
                <w:numId w:val="94"/>
              </w:numPr>
              <w:suppressAutoHyphens w:val="0"/>
              <w:spacing w:after="60" w:line="276" w:lineRule="auto"/>
              <w:rPr>
                <w:rFonts w:cs="Calibri"/>
                <w:sz w:val="20"/>
                <w:szCs w:val="20"/>
                <w:lang w:val="lv-LV"/>
              </w:rPr>
            </w:pPr>
            <w:r w:rsidRPr="00475128">
              <w:rPr>
                <w:rFonts w:cs="Calibri"/>
                <w:sz w:val="20"/>
                <w:szCs w:val="20"/>
                <w:lang w:val="lv-LV"/>
              </w:rPr>
              <w:t>Riska kapitāla finansējumu saņēmušo MVK skaits: 8</w:t>
            </w:r>
          </w:p>
          <w:p w:rsidR="000B4ED4" w:rsidRPr="00475128" w:rsidRDefault="000B4ED4" w:rsidP="000B4ED4">
            <w:pPr>
              <w:pStyle w:val="ListParagraph"/>
              <w:numPr>
                <w:ilvl w:val="0"/>
                <w:numId w:val="94"/>
              </w:numPr>
              <w:suppressAutoHyphens w:val="0"/>
              <w:spacing w:after="60" w:line="276" w:lineRule="auto"/>
              <w:rPr>
                <w:rFonts w:cs="Calibri"/>
                <w:sz w:val="20"/>
                <w:szCs w:val="20"/>
                <w:lang w:val="lv-LV"/>
              </w:rPr>
            </w:pPr>
            <w:r w:rsidRPr="00475128">
              <w:rPr>
                <w:rFonts w:cs="Calibri"/>
                <w:sz w:val="20"/>
                <w:szCs w:val="20"/>
                <w:lang w:val="lv-LV"/>
              </w:rPr>
              <w:t>Komersanti, kas saņēmuši atbalstu garantijas vai paaugstināta riska aizdevumus: 33</w:t>
            </w:r>
          </w:p>
          <w:p w:rsidR="000B4ED4" w:rsidRPr="00475128" w:rsidRDefault="000B4ED4" w:rsidP="000B4ED4">
            <w:pPr>
              <w:pStyle w:val="ListParagraph"/>
              <w:numPr>
                <w:ilvl w:val="0"/>
                <w:numId w:val="94"/>
              </w:numPr>
              <w:suppressAutoHyphens w:val="0"/>
              <w:spacing w:after="60" w:line="276" w:lineRule="auto"/>
              <w:rPr>
                <w:rFonts w:cs="Calibri"/>
                <w:sz w:val="20"/>
                <w:szCs w:val="20"/>
                <w:lang w:val="lv-LV"/>
              </w:rPr>
            </w:pPr>
            <w:r w:rsidRPr="00475128">
              <w:rPr>
                <w:rFonts w:cs="Calibri"/>
                <w:sz w:val="20"/>
                <w:szCs w:val="20"/>
                <w:lang w:val="lv-LV"/>
              </w:rPr>
              <w:t>Izveidoti tehnoloģiju inkubatori: 0</w:t>
            </w:r>
          </w:p>
        </w:tc>
      </w:tr>
    </w:tbl>
    <w:p w:rsidR="000B4ED4" w:rsidRPr="00DB426E" w:rsidRDefault="000B4ED4" w:rsidP="000B4ED4">
      <w:pPr>
        <w:spacing w:after="120"/>
        <w:rPr>
          <w:bCs/>
          <w:sz w:val="20"/>
          <w:szCs w:val="20"/>
        </w:rPr>
      </w:pPr>
    </w:p>
    <w:p w:rsidR="000B4ED4" w:rsidRPr="00DB426E" w:rsidRDefault="000B4ED4" w:rsidP="000B4ED4">
      <w:r w:rsidRPr="00DB426E">
        <w:t xml:space="preserve">Riska kapitāla fondu darbība tika finansēta no ES struktūrfondu līdzekļiem aktivitātē 2.2.1.1. „Ieguldījumu fonds investīcijām garantijās, paaugstināta riska aizdevumos, riska kapitāla fondos un cita veida finanšu instrumentos”, kurā tika apstiprināts viens projekts – „Latvijas Republikas valdības un Eiropas Investīciju fonda līgums par Eiropas Savienības struktūrfondu ieguldījumu fonda ieviešanu”. Projekta pieteicējs bija Latvijas Garantiju aģentūra (LGA), un projekta apjoms - 64 306 566 LVL. </w:t>
      </w:r>
    </w:p>
    <w:p w:rsidR="000B4ED4" w:rsidRPr="00DB426E" w:rsidRDefault="000B4ED4" w:rsidP="000B4ED4">
      <w:pPr>
        <w:rPr>
          <w:bCs/>
        </w:rPr>
      </w:pPr>
      <w:r w:rsidRPr="00DB426E">
        <w:rPr>
          <w:bCs/>
        </w:rPr>
        <w:t>LGA finansētie riska kapitāla investori ir „</w:t>
      </w:r>
      <w:proofErr w:type="spellStart"/>
      <w:r w:rsidRPr="00DB426E">
        <w:rPr>
          <w:bCs/>
        </w:rPr>
        <w:t>BaltCap</w:t>
      </w:r>
      <w:proofErr w:type="spellEnd"/>
      <w:r w:rsidRPr="00DB426E">
        <w:rPr>
          <w:bCs/>
        </w:rPr>
        <w:t xml:space="preserve"> </w:t>
      </w:r>
      <w:proofErr w:type="spellStart"/>
      <w:r w:rsidRPr="00DB426E">
        <w:rPr>
          <w:bCs/>
        </w:rPr>
        <w:t>Latvia</w:t>
      </w:r>
      <w:proofErr w:type="spellEnd"/>
      <w:r w:rsidRPr="00DB426E">
        <w:rPr>
          <w:bCs/>
        </w:rPr>
        <w:t xml:space="preserve"> </w:t>
      </w:r>
      <w:proofErr w:type="spellStart"/>
      <w:r w:rsidRPr="00DB426E">
        <w:rPr>
          <w:bCs/>
        </w:rPr>
        <w:t>Venture</w:t>
      </w:r>
      <w:proofErr w:type="spellEnd"/>
      <w:r w:rsidRPr="00DB426E">
        <w:rPr>
          <w:bCs/>
        </w:rPr>
        <w:t xml:space="preserve"> </w:t>
      </w:r>
      <w:proofErr w:type="spellStart"/>
      <w:r w:rsidRPr="00DB426E">
        <w:rPr>
          <w:bCs/>
        </w:rPr>
        <w:t>Capital</w:t>
      </w:r>
      <w:proofErr w:type="spellEnd"/>
      <w:r w:rsidRPr="00DB426E">
        <w:rPr>
          <w:bCs/>
        </w:rPr>
        <w:t xml:space="preserve"> </w:t>
      </w:r>
      <w:proofErr w:type="spellStart"/>
      <w:r w:rsidRPr="00DB426E">
        <w:rPr>
          <w:bCs/>
        </w:rPr>
        <w:t>Fund</w:t>
      </w:r>
      <w:proofErr w:type="spellEnd"/>
      <w:r w:rsidRPr="00DB426E">
        <w:rPr>
          <w:bCs/>
        </w:rPr>
        <w:t>” un „</w:t>
      </w:r>
      <w:proofErr w:type="spellStart"/>
      <w:r w:rsidRPr="00DB426E">
        <w:rPr>
          <w:bCs/>
        </w:rPr>
        <w:t>Imprimatur</w:t>
      </w:r>
      <w:proofErr w:type="spellEnd"/>
      <w:r w:rsidRPr="00DB426E">
        <w:rPr>
          <w:bCs/>
        </w:rPr>
        <w:t xml:space="preserve"> </w:t>
      </w:r>
      <w:proofErr w:type="spellStart"/>
      <w:r w:rsidRPr="00DB426E">
        <w:rPr>
          <w:bCs/>
        </w:rPr>
        <w:t>Capital</w:t>
      </w:r>
      <w:proofErr w:type="spellEnd"/>
      <w:r w:rsidRPr="00DB426E">
        <w:rPr>
          <w:bCs/>
        </w:rPr>
        <w:t xml:space="preserve"> </w:t>
      </w:r>
      <w:proofErr w:type="spellStart"/>
      <w:r w:rsidRPr="00DB426E">
        <w:rPr>
          <w:bCs/>
        </w:rPr>
        <w:t>Seed</w:t>
      </w:r>
      <w:proofErr w:type="spellEnd"/>
      <w:r w:rsidRPr="00DB426E">
        <w:rPr>
          <w:bCs/>
        </w:rPr>
        <w:t xml:space="preserve"> </w:t>
      </w:r>
      <w:proofErr w:type="spellStart"/>
      <w:r w:rsidRPr="00DB426E">
        <w:rPr>
          <w:bCs/>
        </w:rPr>
        <w:t>Fund&amp;Technology</w:t>
      </w:r>
      <w:proofErr w:type="spellEnd"/>
      <w:r w:rsidRPr="00DB426E">
        <w:rPr>
          <w:bCs/>
        </w:rPr>
        <w:t xml:space="preserve"> </w:t>
      </w:r>
      <w:proofErr w:type="spellStart"/>
      <w:r w:rsidRPr="00DB426E">
        <w:rPr>
          <w:bCs/>
        </w:rPr>
        <w:t>Venture</w:t>
      </w:r>
      <w:proofErr w:type="spellEnd"/>
      <w:r w:rsidRPr="00DB426E">
        <w:rPr>
          <w:bCs/>
        </w:rPr>
        <w:t xml:space="preserve"> </w:t>
      </w:r>
      <w:proofErr w:type="spellStart"/>
      <w:r w:rsidRPr="00DB426E">
        <w:rPr>
          <w:bCs/>
        </w:rPr>
        <w:t>Fund</w:t>
      </w:r>
      <w:proofErr w:type="spellEnd"/>
      <w:r w:rsidRPr="00DB426E">
        <w:rPr>
          <w:bCs/>
        </w:rPr>
        <w:t xml:space="preserve">”. Abu minēto riska kapitāla fondu mērķauditorija ir īpaši inovatīvi komersanti, kuriem nepieciešamās investīcijas ir ar augstu riska pakāpi. Līdz ar to var secināt, ka riska kapitāla investīcijas tieši ietekmē privātos ieguldījumus R&amp;D. Abu LGA finansēto riska kapitāla investoru pakalpojumus ir saņēmuši 19 komersanti, un kopējais saņemtais finansējuma apjoms ir 9 miljoni eiro. </w:t>
      </w:r>
    </w:p>
    <w:p w:rsidR="000B4ED4" w:rsidRPr="00DB426E" w:rsidRDefault="000B4ED4" w:rsidP="000B4ED4">
      <w:pPr>
        <w:rPr>
          <w:bCs/>
        </w:rPr>
      </w:pPr>
      <w:r w:rsidRPr="00DB426E">
        <w:rPr>
          <w:bCs/>
        </w:rPr>
        <w:t>Šī aktivitāte nerada brīvās konkurences ierobežojošu efektu. Tajā nepastāv būtiski nozares ierobežojumi, un atbalsta nosacījumi ir vienoti visiem komersantiem ar augstu riska pakāpi. Aktivitātes īstenošanā apgūti 15% no apstiprinātā finansējuma un sasniedzamie rādītāji svārstās 7%-16% robežās no kopējā plānotā visās 2.2.1. aktivitātēs.</w:t>
      </w:r>
    </w:p>
    <w:p w:rsidR="000B4ED4" w:rsidRPr="00DB426E" w:rsidRDefault="000B4ED4" w:rsidP="000B4ED4">
      <w:pPr>
        <w:pStyle w:val="Heading4"/>
        <w:numPr>
          <w:ilvl w:val="3"/>
          <w:numId w:val="4"/>
        </w:numPr>
        <w:ind w:firstLine="270"/>
      </w:pPr>
      <w:bookmarkStart w:id="382" w:name="_Toc356566555"/>
      <w:bookmarkStart w:id="383" w:name="_Toc358978775"/>
      <w:r w:rsidRPr="00DB426E">
        <w:t>Aizdevumi</w:t>
      </w:r>
      <w:bookmarkEnd w:id="382"/>
      <w:bookmarkEnd w:id="383"/>
    </w:p>
    <w:p w:rsidR="000B4ED4" w:rsidRPr="00DB426E" w:rsidRDefault="000B4ED4" w:rsidP="000B4ED4">
      <w:pPr>
        <w:spacing w:after="120"/>
        <w:rPr>
          <w:bCs/>
        </w:rPr>
      </w:pPr>
      <w:r w:rsidRPr="00DB426E">
        <w:rPr>
          <w:bCs/>
        </w:rPr>
        <w:t>Ar struktūrfondu atbalstu tiek izsniegti arī garantiju aizdevumi (2.2.1.3. „Garantijas komersantu konkurētspējas uzlabošanai”), kā arī cita veida aizdevumi - 2.2.1.4.1. „Atbalsts aizdevumu veidā komersantu konkurētspējas uzlabošanai” un 2.2.1.4.2. „</w:t>
      </w:r>
      <w:proofErr w:type="spellStart"/>
      <w:r w:rsidRPr="00DB426E">
        <w:rPr>
          <w:bCs/>
        </w:rPr>
        <w:t>Mezanīna</w:t>
      </w:r>
      <w:proofErr w:type="spellEnd"/>
      <w:r w:rsidRPr="00DB426E">
        <w:rPr>
          <w:bCs/>
        </w:rPr>
        <w:t xml:space="preserve"> aizdevumi investīcijām komersantu konkurētspējas uzlabošanai”.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9D1FC5" w:rsidRDefault="000B4ED4" w:rsidP="000B4ED4">
            <w:pPr>
              <w:spacing w:after="60"/>
              <w:jc w:val="center"/>
              <w:rPr>
                <w:rFonts w:cs="Calibri"/>
                <w:b/>
                <w:color w:val="FFFFFF"/>
                <w:sz w:val="20"/>
                <w:szCs w:val="20"/>
              </w:rPr>
            </w:pPr>
            <w:r w:rsidRPr="009D1FC5">
              <w:rPr>
                <w:b/>
                <w:bCs/>
                <w:sz w:val="20"/>
                <w:szCs w:val="20"/>
              </w:rPr>
              <w:t>2.2.1.3. Garantijas komersantu konkurētspējas uzlabošanai</w:t>
            </w:r>
            <w:r w:rsidRPr="009D1FC5">
              <w:rPr>
                <w:rStyle w:val="FootnoteReference"/>
                <w:b/>
                <w:bCs/>
                <w:sz w:val="20"/>
                <w:szCs w:val="20"/>
              </w:rPr>
              <w:footnoteReference w:id="35"/>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bCs/>
                <w:sz w:val="20"/>
                <w:szCs w:val="20"/>
              </w:rPr>
            </w:pPr>
            <w:r w:rsidRPr="00DB426E">
              <w:rPr>
                <w:bCs/>
                <w:sz w:val="20"/>
                <w:szCs w:val="20"/>
              </w:rPr>
              <w:t>Aktivitātes mērķis ir nodrošināt komersantiem pieeju finansējumam komercdarbības attīstībai un Eiropas Savienības fondu projektu ieviešanai, saņemot garantijas situācijās, kad komersanta rīcībā esošais nodrošinājums nav pietiekams kredītresursu piesaistei nepieciešamajā apjomā un bankas komersantu novērtē kā pārāk riskantu, kā arī veicināt Latvijas komersantu konkurētspēju, sekmēt jaunu tirgu apgūšanu un nostiprināšanos esošajos.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Vadības izmaksas (LGA vadība)</w:t>
            </w:r>
          </w:p>
          <w:p w:rsidR="000B4ED4" w:rsidRPr="00DB426E" w:rsidRDefault="000B4ED4" w:rsidP="000B4ED4">
            <w:pPr>
              <w:spacing w:after="60"/>
              <w:rPr>
                <w:rFonts w:cs="Calibri"/>
                <w:sz w:val="20"/>
                <w:szCs w:val="20"/>
              </w:rPr>
            </w:pPr>
            <w:r w:rsidRPr="00DB426E">
              <w:rPr>
                <w:rFonts w:cs="Calibri"/>
                <w:sz w:val="20"/>
                <w:szCs w:val="20"/>
              </w:rPr>
              <w:t>Garantiju izsniegšana</w:t>
            </w:r>
          </w:p>
          <w:p w:rsidR="000B4ED4" w:rsidRPr="00DB426E" w:rsidRDefault="000B4ED4" w:rsidP="000B4ED4">
            <w:pPr>
              <w:spacing w:after="60"/>
              <w:rPr>
                <w:rFonts w:cs="Calibri"/>
                <w:sz w:val="20"/>
                <w:szCs w:val="20"/>
              </w:rPr>
            </w:pPr>
            <w:r w:rsidRPr="00DB426E">
              <w:rPr>
                <w:rFonts w:cs="Calibri"/>
                <w:sz w:val="20"/>
                <w:szCs w:val="20"/>
              </w:rPr>
              <w:t>Īstermiņa eksporta garantiju izsniegšana</w:t>
            </w:r>
          </w:p>
          <w:p w:rsidR="000B4ED4" w:rsidRPr="00DB426E" w:rsidRDefault="000B4ED4" w:rsidP="000B4ED4">
            <w:pPr>
              <w:spacing w:after="60"/>
              <w:rPr>
                <w:rFonts w:cs="Calibri"/>
                <w:sz w:val="20"/>
                <w:szCs w:val="20"/>
              </w:rPr>
            </w:pPr>
            <w:r w:rsidRPr="00DB426E">
              <w:rPr>
                <w:rFonts w:cs="Calibri"/>
                <w:sz w:val="20"/>
                <w:szCs w:val="20"/>
              </w:rPr>
              <w:t>Kredītiestāžu izmaksas</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Aģentūra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Atbalstu paredzēts sniegt tādiem komersantiem, kurus bankas novērtē kā pārāk riskantus, kas parasti ir augsta inovāciju līmeņa komersanti. Līdz ar to netieši šāds atbalsts sekmē R&amp;D.</w:t>
            </w:r>
          </w:p>
          <w:p w:rsidR="000B4ED4" w:rsidRPr="00DB426E" w:rsidRDefault="000B4ED4" w:rsidP="000B4ED4">
            <w:pPr>
              <w:spacing w:after="60"/>
              <w:rPr>
                <w:rFonts w:cs="Calibri"/>
                <w:sz w:val="20"/>
                <w:szCs w:val="20"/>
              </w:rPr>
            </w:pPr>
            <w:r w:rsidRPr="00DB426E">
              <w:rPr>
                <w:rFonts w:cs="Calibri"/>
                <w:sz w:val="20"/>
                <w:szCs w:val="20"/>
              </w:rPr>
              <w:t>Īpašas prasības komersantiem netiek definētas.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Projekta iesniedzējs ir Latvijas Garantiju aģentūra</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100%</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20 000 000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Saņemtie pieteikumi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20 000 000 LVL</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20 000 000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20 000 000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Piesaistīts privātais finansējums aizdevumu un līzinga finansētiem pasākumiem (rezultāta rādītājs summējas kopā par visām 2.2.1.pasākumā ietilpstošajām aktivitātēm): -</w:t>
            </w:r>
          </w:p>
        </w:tc>
        <w:tc>
          <w:tcPr>
            <w:tcW w:w="1846" w:type="pct"/>
          </w:tcPr>
          <w:p w:rsidR="000B4ED4" w:rsidRPr="00DB426E" w:rsidRDefault="000B4ED4" w:rsidP="000B4ED4">
            <w:pPr>
              <w:spacing w:after="60"/>
              <w:rPr>
                <w:rFonts w:cs="Calibri"/>
                <w:sz w:val="20"/>
                <w:szCs w:val="20"/>
              </w:rPr>
            </w:pPr>
            <w:r w:rsidRPr="00DB426E">
              <w:rPr>
                <w:rFonts w:cs="Calibri"/>
                <w:sz w:val="20"/>
                <w:szCs w:val="20"/>
              </w:rPr>
              <w:t>Piesaistīts privātais finansējums aizdevumu un līzinga finansētiem pasākumiem (rezultāta rādītājs summējas kopā par visām 2.2.1.pasākumā ietilpstošajām aktivitātēm): 254 402 463 EUR</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475128" w:rsidRDefault="000B4ED4" w:rsidP="000B4ED4">
            <w:pPr>
              <w:pStyle w:val="ListParagraph"/>
              <w:numPr>
                <w:ilvl w:val="0"/>
                <w:numId w:val="34"/>
              </w:numPr>
              <w:suppressAutoHyphens w:val="0"/>
              <w:spacing w:after="60" w:line="276" w:lineRule="auto"/>
              <w:ind w:left="321"/>
              <w:rPr>
                <w:rFonts w:cs="Calibri"/>
                <w:sz w:val="20"/>
                <w:szCs w:val="20"/>
                <w:lang w:val="lv-LV"/>
              </w:rPr>
            </w:pPr>
            <w:r w:rsidRPr="00475128">
              <w:rPr>
                <w:rFonts w:cs="Calibri"/>
                <w:sz w:val="20"/>
                <w:szCs w:val="20"/>
                <w:lang w:val="lv-LV"/>
              </w:rPr>
              <w:t>Komersanti, kas saņēmuši īstermiņa eksporta garantijas: 100</w:t>
            </w:r>
          </w:p>
          <w:p w:rsidR="000B4ED4" w:rsidRPr="00475128" w:rsidRDefault="000B4ED4" w:rsidP="000B4ED4">
            <w:pPr>
              <w:pStyle w:val="ListParagraph"/>
              <w:numPr>
                <w:ilvl w:val="0"/>
                <w:numId w:val="34"/>
              </w:numPr>
              <w:suppressAutoHyphens w:val="0"/>
              <w:spacing w:after="60" w:line="276" w:lineRule="auto"/>
              <w:ind w:left="321"/>
              <w:rPr>
                <w:rFonts w:cs="Calibri"/>
                <w:sz w:val="20"/>
                <w:szCs w:val="20"/>
                <w:lang w:val="lv-LV"/>
              </w:rPr>
            </w:pPr>
            <w:r w:rsidRPr="00475128">
              <w:rPr>
                <w:rFonts w:cs="Calibri"/>
                <w:sz w:val="20"/>
                <w:szCs w:val="20"/>
                <w:lang w:val="lv-LV"/>
              </w:rPr>
              <w:t>Komersanti, kas saņēmuši atbalstu garantijas vai paaugstināta riska aizdevumus (iznākuma rādītājs summējas kopā par visām 2.2.1.pasākumā ietilpstošajām aktivitātēm): 250</w:t>
            </w:r>
          </w:p>
        </w:tc>
        <w:tc>
          <w:tcPr>
            <w:tcW w:w="1846" w:type="pct"/>
          </w:tcPr>
          <w:p w:rsidR="000B4ED4" w:rsidRPr="00475128" w:rsidRDefault="000B4ED4" w:rsidP="000B4ED4">
            <w:pPr>
              <w:pStyle w:val="ListParagraph"/>
              <w:numPr>
                <w:ilvl w:val="0"/>
                <w:numId w:val="34"/>
              </w:numPr>
              <w:suppressAutoHyphens w:val="0"/>
              <w:spacing w:after="60" w:line="276" w:lineRule="auto"/>
              <w:ind w:left="321"/>
              <w:rPr>
                <w:rFonts w:cs="Calibri"/>
                <w:sz w:val="20"/>
                <w:szCs w:val="20"/>
                <w:lang w:val="lv-LV"/>
              </w:rPr>
            </w:pPr>
            <w:r w:rsidRPr="00475128">
              <w:rPr>
                <w:rFonts w:cs="Calibri"/>
                <w:sz w:val="20"/>
                <w:szCs w:val="20"/>
                <w:lang w:val="lv-LV"/>
              </w:rPr>
              <w:t>Komersanti, kas saņēmuši īstermiņa eksporta garantijas: 30</w:t>
            </w:r>
          </w:p>
          <w:p w:rsidR="000B4ED4" w:rsidRPr="00475128" w:rsidRDefault="000B4ED4" w:rsidP="000B4ED4">
            <w:pPr>
              <w:pStyle w:val="ListParagraph"/>
              <w:numPr>
                <w:ilvl w:val="0"/>
                <w:numId w:val="34"/>
              </w:numPr>
              <w:suppressAutoHyphens w:val="0"/>
              <w:spacing w:after="60" w:line="276" w:lineRule="auto"/>
              <w:ind w:left="321"/>
              <w:rPr>
                <w:rFonts w:cs="Calibri"/>
                <w:sz w:val="20"/>
                <w:szCs w:val="20"/>
                <w:lang w:val="lv-LV"/>
              </w:rPr>
            </w:pPr>
            <w:r w:rsidRPr="00475128">
              <w:rPr>
                <w:rFonts w:cs="Calibri"/>
                <w:sz w:val="20"/>
                <w:szCs w:val="20"/>
                <w:lang w:val="lv-LV"/>
              </w:rPr>
              <w:t>Komersanti, kas saņēmuši atbalstu garantijas vai paaugstināta riska aizdevumus (iznākuma rādītājs summējas kopā par visām 2.2.1.pasākumā ietilpstošajām aktivitātēm): 207</w:t>
            </w:r>
          </w:p>
        </w:tc>
      </w:tr>
    </w:tbl>
    <w:p w:rsidR="000B4ED4" w:rsidRPr="00DB426E" w:rsidRDefault="000B4ED4" w:rsidP="000B4ED4">
      <w:pPr>
        <w:rPr>
          <w:bCs/>
        </w:rPr>
      </w:pPr>
    </w:p>
    <w:p w:rsidR="000B4ED4" w:rsidRPr="00DB426E" w:rsidRDefault="000B4ED4" w:rsidP="000B4ED4">
      <w:r w:rsidRPr="00DB426E">
        <w:t xml:space="preserve">Šī aktivitāte nerada brīvās konkurences ierobežojošu efektu. Aktivitātē var gūt labumu visi komersanti ar augstu riska pakāpi, neatkarīgi no to lieluma, nozares, investīciju veida, u.c. nosacījumiem. Aktivitātē netiek sniegts atbalsts </w:t>
      </w:r>
      <w:proofErr w:type="spellStart"/>
      <w:r w:rsidRPr="00DB426E">
        <w:t>granta</w:t>
      </w:r>
      <w:proofErr w:type="spellEnd"/>
      <w:r w:rsidRPr="00DB426E">
        <w:t xml:space="preserve"> veidā, bet gan tikai garantiju un aizdevuma veidā.</w:t>
      </w:r>
    </w:p>
    <w:p w:rsidR="000B4ED4" w:rsidRPr="00DB426E" w:rsidRDefault="000B4ED4" w:rsidP="000B4ED4">
      <w:r w:rsidRPr="00DB426E">
        <w:t>Aktivitātes mērķis atbilst rezultatīvajiem un ietekmes rādītājiem. Gan mērķis, gan rādītāji netiešā veidā sekmē privāto investīciju veikšanu R&amp;D, jo piešķirtās garantijas un aizdevumi var būt saistīti ar ieguldījumiem R&amp;D. Izsniegti 39% no kopējā plānotā garantiju un aizdevumu apjoma, eksporta garantijas saņēmuši 30% no ietekmes rādītājos plānotā, savukārt garantijas vai paaugstināta riska aizdevumus 83% no plānotā kopējā komersantu skaita visās 2.2.1..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9D1FC5" w:rsidRDefault="000B4ED4" w:rsidP="000B4ED4">
            <w:pPr>
              <w:spacing w:after="60"/>
              <w:jc w:val="center"/>
              <w:rPr>
                <w:rFonts w:cs="Calibri"/>
                <w:b/>
                <w:color w:val="FFFFFF"/>
                <w:sz w:val="20"/>
                <w:szCs w:val="20"/>
              </w:rPr>
            </w:pPr>
            <w:r w:rsidRPr="009D1FC5">
              <w:rPr>
                <w:b/>
                <w:bCs/>
                <w:sz w:val="20"/>
                <w:szCs w:val="20"/>
              </w:rPr>
              <w:t>2.2.1.4.1. Atbalsts aizdevumu veidā komersantu konkurētspējas uzlabošanai</w:t>
            </w:r>
            <w:r w:rsidRPr="009D1FC5">
              <w:rPr>
                <w:rStyle w:val="FootnoteReference"/>
                <w:b/>
                <w:bCs/>
                <w:sz w:val="20"/>
                <w:szCs w:val="20"/>
              </w:rPr>
              <w:footnoteReference w:id="36"/>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bCs/>
                <w:sz w:val="20"/>
                <w:szCs w:val="20"/>
              </w:rPr>
            </w:pPr>
            <w:r w:rsidRPr="00DB426E">
              <w:rPr>
                <w:bCs/>
                <w:sz w:val="20"/>
                <w:szCs w:val="20"/>
              </w:rPr>
              <w:t>Aktivitātes mērķis ir nodrošināt komersantiem pieeju finansējumam komercdarbības attīstībai un Eiropas Savienības fondu projektu ieviešanai, saņemot aizdevumus situācijās, kad komersanta rīcībā esošais nodrošinājums nav pietiekams kredītresursu piesaistei nepieciešamajā apjomā un bankas komersantu novērtē kā pārāk riskantu, kā arī veicināt Latvijas komersantu konkurētspēju, sekmēt jaunu tirgu apgūšanu un nostiprināšanos esošajos.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Vadības izmaksas („Latvijas Hipotēku un zemes bankai”)</w:t>
            </w:r>
          </w:p>
          <w:p w:rsidR="000B4ED4" w:rsidRPr="00DB426E" w:rsidRDefault="000B4ED4" w:rsidP="000B4ED4">
            <w:pPr>
              <w:spacing w:after="60"/>
              <w:rPr>
                <w:rFonts w:cs="Calibri"/>
                <w:sz w:val="20"/>
                <w:szCs w:val="20"/>
              </w:rPr>
            </w:pPr>
            <w:r w:rsidRPr="00DB426E">
              <w:rPr>
                <w:rFonts w:cs="Calibri"/>
                <w:sz w:val="20"/>
                <w:szCs w:val="20"/>
              </w:rPr>
              <w:t>Aizdevumi</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Kredītiestāde</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Atbalstu paredzēts sniegt tādiem komersantiem, kurus bankas novērtē kā pārāk riskantus, kas parasti ir augsta inovāciju līmeņa komersanti. Līdz ar to netieši šāds atbalsts sekmē R&amp;D.</w:t>
            </w:r>
          </w:p>
          <w:p w:rsidR="000B4ED4" w:rsidRPr="00DB426E" w:rsidRDefault="000B4ED4" w:rsidP="000B4ED4">
            <w:pPr>
              <w:spacing w:after="60"/>
              <w:rPr>
                <w:rFonts w:cs="Calibri"/>
                <w:sz w:val="20"/>
                <w:szCs w:val="20"/>
              </w:rPr>
            </w:pPr>
            <w:r w:rsidRPr="00DB426E">
              <w:rPr>
                <w:rFonts w:cs="Calibri"/>
                <w:sz w:val="20"/>
                <w:szCs w:val="20"/>
              </w:rPr>
              <w:t>Īpašas prasības komersantiem netiek definētas.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Projekta iesniedzējs ir VAS „Latvijas Hipotēku un zemes banka”</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100%</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40 314 639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Saņemtie pieteikumi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40 314 639 LVL</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40 314 639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40 314 639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Piesaistīts privātais finansējums aizdevumu un līzinga finansētiem pasākumiem (rezultāta rādītājs summējas kopā par visām 2.2.1.pasākumā ietilpstošajām aktivitātēm): -</w:t>
            </w:r>
          </w:p>
        </w:tc>
        <w:tc>
          <w:tcPr>
            <w:tcW w:w="1846" w:type="pct"/>
          </w:tcPr>
          <w:p w:rsidR="000B4ED4" w:rsidRPr="00DB426E" w:rsidRDefault="000B4ED4" w:rsidP="000B4ED4">
            <w:pPr>
              <w:spacing w:after="60"/>
              <w:rPr>
                <w:rFonts w:cs="Calibri"/>
                <w:color w:val="FF0000"/>
                <w:sz w:val="20"/>
                <w:szCs w:val="20"/>
              </w:rPr>
            </w:pPr>
            <w:r w:rsidRPr="00DB426E">
              <w:rPr>
                <w:rFonts w:cs="Calibri"/>
                <w:sz w:val="20"/>
                <w:szCs w:val="20"/>
              </w:rPr>
              <w:t>Piesaistīts privātais finansējums aizdevumu un līzinga finansētiem pasākumiem (rezultāta rādītājs summējas kopā par visām 2.2.1.pasākumā ietilpstošajām aktivitātēm): 21 956 954 EUR</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Komersanti, kas saņēmuši atbalstu garantijas vai paaugstināta riska aizdevumus (iznākuma rādītājs summējas kopā par visām 2.2.1.pasākumā ietilpstošajām aktivitātēm): 250</w:t>
            </w:r>
          </w:p>
        </w:tc>
        <w:tc>
          <w:tcPr>
            <w:tcW w:w="1846" w:type="pct"/>
          </w:tcPr>
          <w:p w:rsidR="000B4ED4" w:rsidRPr="00DB426E" w:rsidRDefault="000B4ED4" w:rsidP="000B4ED4">
            <w:pPr>
              <w:spacing w:after="60"/>
              <w:rPr>
                <w:rFonts w:cs="Calibri"/>
                <w:sz w:val="20"/>
                <w:szCs w:val="20"/>
              </w:rPr>
            </w:pPr>
            <w:r w:rsidRPr="00DB426E">
              <w:rPr>
                <w:rFonts w:cs="Calibri"/>
                <w:sz w:val="20"/>
                <w:szCs w:val="20"/>
              </w:rPr>
              <w:t>Komersanti, kas saņēmuši atbalstu garantijas vai paaugstināta riska aizdevumus (iznākuma rādītājs summējas kopā par visām 2.2.1.pasākumā ietilpstošajām aktivitātēm): 63</w:t>
            </w:r>
          </w:p>
        </w:tc>
      </w:tr>
    </w:tbl>
    <w:p w:rsidR="000B4ED4" w:rsidRPr="00DB426E" w:rsidRDefault="000B4ED4" w:rsidP="000B4ED4">
      <w:pPr>
        <w:spacing w:after="120"/>
        <w:rPr>
          <w:bCs/>
        </w:rPr>
      </w:pPr>
    </w:p>
    <w:p w:rsidR="000B4ED4" w:rsidRPr="00DB426E" w:rsidRDefault="000B4ED4" w:rsidP="000B4ED4">
      <w:r w:rsidRPr="00DB426E">
        <w:t xml:space="preserve">Šī aktivitāte nekādā veidā neierobežo brīvo konkurenci. Aktivitātē var gūt labumu visi komersanti ar augstu riska pakāpi, neatkarīgi no to lieluma, nozares, investīciju veida, u.c. nosacījumiem, kuri nevar saņemt kredītiestāžu aizdevumus attīstībai. Atbalsts neparedz </w:t>
      </w:r>
      <w:proofErr w:type="spellStart"/>
      <w:r w:rsidRPr="00DB426E">
        <w:t>granta</w:t>
      </w:r>
      <w:proofErr w:type="spellEnd"/>
      <w:r w:rsidRPr="00DB426E">
        <w:t xml:space="preserve"> piešķiršanu, bet gan iespēju iegūt aizdevumu augsta riska pakāpes izdevumiem.</w:t>
      </w:r>
    </w:p>
    <w:p w:rsidR="000B4ED4" w:rsidRPr="00DB426E" w:rsidRDefault="000B4ED4" w:rsidP="000B4ED4">
      <w:r w:rsidRPr="00DB426E">
        <w:t>Aktivitātes mērķis atbilst rezultatīvajiem un ietekmes rādītājiem. Gan mērķis, gan rādītāji tiešā veidā sekmē privāto investīciju veikšanu R&amp;D. Aktivitātes ietvaros apgūti 78% no pieejamā finansējuma un sasniegti 25% no kopējā komersantu skaita visās 2.2.1. aktivitātēs, kas saņēmuši garantijas vai paaugstināta riska aizdevumus.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9D1FC5" w:rsidRDefault="000B4ED4" w:rsidP="000B4ED4">
            <w:pPr>
              <w:spacing w:after="60"/>
              <w:jc w:val="center"/>
              <w:rPr>
                <w:rFonts w:cs="Calibri"/>
                <w:b/>
                <w:color w:val="FFFFFF"/>
                <w:sz w:val="20"/>
                <w:szCs w:val="20"/>
              </w:rPr>
            </w:pPr>
            <w:r w:rsidRPr="009D1FC5">
              <w:rPr>
                <w:b/>
                <w:bCs/>
                <w:sz w:val="20"/>
                <w:szCs w:val="20"/>
              </w:rPr>
              <w:t xml:space="preserve">2.2.1.4.2. </w:t>
            </w:r>
            <w:r>
              <w:rPr>
                <w:b/>
                <w:bCs/>
                <w:sz w:val="20"/>
                <w:szCs w:val="20"/>
              </w:rPr>
              <w:t>Mezonīna</w:t>
            </w:r>
            <w:r w:rsidRPr="009D1FC5">
              <w:rPr>
                <w:b/>
                <w:bCs/>
                <w:sz w:val="20"/>
                <w:szCs w:val="20"/>
              </w:rPr>
              <w:t xml:space="preserve"> aizdevumi investīcijām komersantu konkurētspējas uzlabošanai</w:t>
            </w:r>
            <w:r w:rsidRPr="009D1FC5">
              <w:rPr>
                <w:rStyle w:val="FootnoteReference"/>
                <w:b/>
                <w:bCs/>
                <w:sz w:val="20"/>
                <w:szCs w:val="20"/>
              </w:rPr>
              <w:footnoteReference w:id="37"/>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Aktivitātes mērķis ir nodrošināt komersantiem pieeju finansējumam komercdarbības attīstībai un Eiropas Savienības fondu projektu ieviešanai, saņemot mez</w:t>
            </w:r>
            <w:r>
              <w:rPr>
                <w:rFonts w:cs="Calibri"/>
                <w:sz w:val="20"/>
                <w:szCs w:val="20"/>
              </w:rPr>
              <w:t>o</w:t>
            </w:r>
            <w:r w:rsidRPr="00DB426E">
              <w:rPr>
                <w:rFonts w:cs="Calibri"/>
                <w:sz w:val="20"/>
                <w:szCs w:val="20"/>
              </w:rPr>
              <w:t>nīna aizdevumus situācijās, kad komersanta rīcībā esošais pašu kapitāls nav pietiekams kredītresursu piesaistei nepieciešamajā apjomā, kā arī veicināt Latvijas komersantu konkurētspēju, sekmēt jaunu tirgu apgūšanu un nostiprināšanos esošajos.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Vadības izmaksas (SIA „Latvijas Garantiju aģentūrai”)</w:t>
            </w:r>
          </w:p>
          <w:p w:rsidR="000B4ED4" w:rsidRPr="00DB426E" w:rsidRDefault="000B4ED4" w:rsidP="000B4ED4">
            <w:pPr>
              <w:spacing w:after="60"/>
              <w:rPr>
                <w:rFonts w:cs="Calibri"/>
                <w:sz w:val="20"/>
                <w:szCs w:val="20"/>
              </w:rPr>
            </w:pPr>
            <w:r w:rsidRPr="00DB426E">
              <w:rPr>
                <w:rFonts w:cs="Calibri"/>
                <w:sz w:val="20"/>
                <w:szCs w:val="20"/>
              </w:rPr>
              <w:t>Finansējums mez</w:t>
            </w:r>
            <w:r>
              <w:rPr>
                <w:rFonts w:cs="Calibri"/>
                <w:sz w:val="20"/>
                <w:szCs w:val="20"/>
              </w:rPr>
              <w:t>o</w:t>
            </w:r>
            <w:r w:rsidRPr="00DB426E">
              <w:rPr>
                <w:rFonts w:cs="Calibri"/>
                <w:sz w:val="20"/>
                <w:szCs w:val="20"/>
              </w:rPr>
              <w:t>nīna aizdevumiem komersantiem</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Aģentūra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Īpašas prasības komersantiem nav noteiktas.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Projekta iesniedzējs ir SIA „Latvijas Garantiju aģentūra”</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10 671 892 LVL</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100%</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Kopējais programmā pieejamais finansējums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10 671 892 LVL</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Saņemtie pieteikumi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10 671 892 LVL</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Noslēgtie līgumi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Projektu skaits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10 671 891 LVL</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1</w:t>
            </w:r>
          </w:p>
        </w:tc>
        <w:tc>
          <w:tcPr>
            <w:tcW w:w="1846" w:type="pct"/>
          </w:tcPr>
          <w:p w:rsidR="000B4ED4" w:rsidRPr="00DB426E" w:rsidRDefault="000B4ED4" w:rsidP="000B4ED4">
            <w:pPr>
              <w:spacing w:after="60"/>
              <w:rPr>
                <w:rFonts w:cs="Calibri"/>
                <w:sz w:val="20"/>
                <w:szCs w:val="20"/>
              </w:rPr>
            </w:pPr>
            <w:r w:rsidRPr="00DB426E">
              <w:rPr>
                <w:rFonts w:cs="Calibri"/>
                <w:sz w:val="20"/>
                <w:szCs w:val="20"/>
              </w:rPr>
              <w:t>10 671 891 LVL</w:t>
            </w:r>
          </w:p>
        </w:tc>
      </w:tr>
    </w:tbl>
    <w:p w:rsidR="000B4ED4" w:rsidRPr="00DB426E" w:rsidRDefault="000B4ED4" w:rsidP="000B4ED4">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Sasniedzamie rādītāji</w:t>
            </w:r>
          </w:p>
        </w:tc>
      </w:tr>
      <w:tr w:rsidR="000B4ED4" w:rsidRPr="00DB426E" w:rsidTr="000B4ED4">
        <w:trPr>
          <w:trHeight w:val="120"/>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Rezultatīvie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 xml:space="preserve">Plānotais </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120"/>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Mezonīna aizdevumi investīcijām komersantu konkurētspējas uzlabošanai: -</w:t>
            </w:r>
          </w:p>
        </w:tc>
        <w:tc>
          <w:tcPr>
            <w:tcW w:w="1846" w:type="pct"/>
          </w:tcPr>
          <w:p w:rsidR="000B4ED4" w:rsidRPr="00DB426E" w:rsidRDefault="000B4ED4" w:rsidP="000B4ED4">
            <w:pPr>
              <w:spacing w:after="60"/>
              <w:rPr>
                <w:rFonts w:cs="Calibri"/>
                <w:sz w:val="20"/>
                <w:szCs w:val="20"/>
              </w:rPr>
            </w:pPr>
            <w:r w:rsidRPr="00DB426E">
              <w:rPr>
                <w:rFonts w:cs="Calibri"/>
                <w:sz w:val="20"/>
                <w:szCs w:val="20"/>
              </w:rPr>
              <w:t>Mezonīna aizdevumi investīcijām komersantu konkurētspējas uzlabošanai: 2 801 484 EUR</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Ietekmes rādītāji</w:t>
            </w:r>
          </w:p>
        </w:tc>
        <w:tc>
          <w:tcPr>
            <w:tcW w:w="1845" w:type="pct"/>
          </w:tcPr>
          <w:p w:rsidR="000B4ED4" w:rsidRPr="00DB426E" w:rsidRDefault="000B4ED4" w:rsidP="000B4ED4">
            <w:pPr>
              <w:spacing w:after="60"/>
              <w:rPr>
                <w:rFonts w:cs="Calibri"/>
                <w:sz w:val="20"/>
                <w:szCs w:val="20"/>
              </w:rPr>
            </w:pPr>
            <w:r w:rsidRPr="00DB426E">
              <w:rPr>
                <w:rFonts w:cs="Calibri"/>
                <w:sz w:val="20"/>
                <w:szCs w:val="20"/>
              </w:rPr>
              <w:t>Plānotais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Sasniegtais</w:t>
            </w:r>
          </w:p>
        </w:tc>
      </w:tr>
      <w:tr w:rsidR="000B4ED4" w:rsidRPr="00DB426E" w:rsidTr="000B4ED4">
        <w:trPr>
          <w:trHeight w:val="248"/>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Mezonīna aizdevumi investīcijām komersantu konkurētspējas uzlabošanai: 20</w:t>
            </w:r>
          </w:p>
        </w:tc>
        <w:tc>
          <w:tcPr>
            <w:tcW w:w="1846" w:type="pct"/>
          </w:tcPr>
          <w:p w:rsidR="000B4ED4" w:rsidRPr="00DB426E" w:rsidRDefault="000B4ED4" w:rsidP="000B4ED4">
            <w:pPr>
              <w:spacing w:after="60"/>
              <w:rPr>
                <w:rFonts w:cs="Calibri"/>
                <w:sz w:val="20"/>
                <w:szCs w:val="20"/>
              </w:rPr>
            </w:pPr>
            <w:r w:rsidRPr="00DB426E">
              <w:rPr>
                <w:rFonts w:cs="Calibri"/>
                <w:sz w:val="20"/>
                <w:szCs w:val="20"/>
              </w:rPr>
              <w:t>Mezonīna aizdevumi investīcijām komersantu konkurētspējas uzlabošanai: 3</w:t>
            </w:r>
          </w:p>
        </w:tc>
      </w:tr>
    </w:tbl>
    <w:p w:rsidR="000B4ED4" w:rsidRPr="00DB426E" w:rsidRDefault="000B4ED4" w:rsidP="000B4ED4">
      <w:pPr>
        <w:spacing w:before="240"/>
      </w:pPr>
      <w:r w:rsidRPr="00DB426E">
        <w:t>Aktivitātei ir ietekme uz investīcijām R&amp;D; aizdevumu izsniegšana ir paredzēta tiem komersantiem, kuriem nepietiek pašu resursu uzņēmumu attīstības nodrošināšanai. Aktivitātes mērķis sakrīt ar rezultatīvajiem un ietekmes rādītājiem. Rādītāji un mērķi sekmē ieguldījumu veikšanu R&amp;D.</w:t>
      </w:r>
    </w:p>
    <w:p w:rsidR="000B4ED4" w:rsidRPr="00DB426E" w:rsidRDefault="000B4ED4" w:rsidP="000B4ED4">
      <w:r w:rsidRPr="00DB426E">
        <w:t>Šī aktivitāte nekādā veidā neveicina brīvās konkurences ierobežošanu. Aktivitātes ietvaros atbalsts tiek sniegts visiem komersantiem, kuriem nav iespējas veikt uzņēmuma attīstību par saviem līdzekļiem, neatkarīgi no to atrašanās vietas, nozares, lieluma, u. c. faktoriem. Izsniegti 3 no 20 plānotajiem mezonīna aizdevumiem, kopumā apgūstot tikai 5% no pieejamā finansējuma.</w:t>
      </w:r>
    </w:p>
    <w:p w:rsidR="000B4ED4" w:rsidRPr="00DB426E" w:rsidRDefault="000B4ED4" w:rsidP="000B4ED4">
      <w:pPr>
        <w:pStyle w:val="Heading4"/>
        <w:numPr>
          <w:ilvl w:val="3"/>
          <w:numId w:val="4"/>
        </w:numPr>
        <w:ind w:firstLine="270"/>
      </w:pPr>
      <w:bookmarkStart w:id="384" w:name="_Toc356566556"/>
      <w:bookmarkStart w:id="385" w:name="_Toc358978776"/>
      <w:r w:rsidRPr="00DB426E">
        <w:t>Valsts subsīdijas</w:t>
      </w:r>
      <w:bookmarkEnd w:id="384"/>
      <w:bookmarkEnd w:id="385"/>
    </w:p>
    <w:p w:rsidR="000B4ED4" w:rsidRPr="00DB426E" w:rsidRDefault="000B4ED4" w:rsidP="000B4ED4">
      <w:pPr>
        <w:rPr>
          <w:bCs/>
        </w:rPr>
      </w:pPr>
      <w:r w:rsidRPr="00DB426E">
        <w:rPr>
          <w:bCs/>
        </w:rPr>
        <w:t xml:space="preserve">Latvijā pētniecības un attīstības sekmēšanai valsts subsīdijas netiek piešķirtas. Valsts subsīdiju </w:t>
      </w:r>
      <w:r w:rsidRPr="00DB426E">
        <w:t>saņēmēji galvenokārt ir zemnieku saimniecības, kā arī citi komersanti, kuri darbojas nozarē A „Lauksaimniecība, mežsaimniecība un zivsaimniecība”. 2007. – 2013. g. periodā Latvijā netika identificēts neviens pasākums, kura ietvaros valsts subsīdijas tieši sekmētu privātos ieguldījumus pētniecībā un attīstībā. Par to liecina valsts subsīdiju pasākumu mērķi un plānotie rezultatīvie un ietekmes rādītāji – nevienā no subsīdiju piešķiršanas programmām tie neradīja tiešu vai netiešu ietekmi</w:t>
      </w:r>
      <w:r w:rsidRPr="00DB426E">
        <w:rPr>
          <w:bCs/>
        </w:rPr>
        <w:t xml:space="preserve"> uz R&amp;D.</w:t>
      </w:r>
    </w:p>
    <w:p w:rsidR="000B4ED4" w:rsidRPr="00DB426E" w:rsidRDefault="000B4ED4" w:rsidP="000B4ED4">
      <w:pPr>
        <w:pStyle w:val="Heading4"/>
        <w:numPr>
          <w:ilvl w:val="3"/>
          <w:numId w:val="4"/>
        </w:numPr>
        <w:ind w:firstLine="270"/>
      </w:pPr>
      <w:bookmarkStart w:id="386" w:name="_Toc356566557"/>
      <w:bookmarkStart w:id="387" w:name="_Toc358978777"/>
      <w:r w:rsidRPr="00DB426E">
        <w:t>Valsts aizdevumi</w:t>
      </w:r>
      <w:bookmarkEnd w:id="386"/>
      <w:bookmarkEnd w:id="38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tblHeader/>
          <w:jc w:val="center"/>
        </w:trPr>
        <w:tc>
          <w:tcPr>
            <w:tcW w:w="5000" w:type="pct"/>
            <w:gridSpan w:val="3"/>
            <w:shd w:val="clear" w:color="auto" w:fill="BFBFBF"/>
            <w:vAlign w:val="center"/>
          </w:tcPr>
          <w:p w:rsidR="000B4ED4" w:rsidRPr="009D1FC5" w:rsidRDefault="000B4ED4" w:rsidP="000B4ED4">
            <w:pPr>
              <w:spacing w:after="60"/>
              <w:jc w:val="center"/>
              <w:rPr>
                <w:rFonts w:cs="Calibri"/>
                <w:b/>
                <w:color w:val="FFFFFF"/>
                <w:sz w:val="20"/>
                <w:szCs w:val="20"/>
              </w:rPr>
            </w:pPr>
            <w:r w:rsidRPr="009D1FC5">
              <w:rPr>
                <w:b/>
                <w:bCs/>
                <w:sz w:val="20"/>
                <w:szCs w:val="20"/>
              </w:rPr>
              <w:t>Latvijas Hipotēku un zemes banka „MVU Izaugsmes aizdevums”</w:t>
            </w:r>
            <w:r w:rsidRPr="009D1FC5">
              <w:rPr>
                <w:rStyle w:val="FootnoteReference"/>
                <w:b/>
                <w:bCs/>
                <w:sz w:val="20"/>
                <w:szCs w:val="20"/>
              </w:rPr>
              <w:footnoteReference w:id="38"/>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Mērķis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Uzlabot Latvijā reģistrētu saimnieciskās darbības veicēju pieeju finansējumam, lai atjaunotu un veicinātu Latvijas tautsaimniecības attīstību.</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Attiecināmās izmaksas / atbalsta veids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Iekārtu iegāde</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Atbalsta saņemšanas nosacījumi</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saņēmēja juridiskais statuss</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Komercsabiedrība</w:t>
            </w:r>
          </w:p>
          <w:p w:rsidR="000B4ED4" w:rsidRPr="00DB426E" w:rsidRDefault="000B4ED4" w:rsidP="000B4ED4">
            <w:pPr>
              <w:spacing w:after="60"/>
              <w:rPr>
                <w:rFonts w:cs="Calibri"/>
                <w:sz w:val="20"/>
                <w:szCs w:val="20"/>
              </w:rPr>
            </w:pPr>
            <w:r w:rsidRPr="00DB426E">
              <w:rPr>
                <w:rFonts w:cs="Calibri"/>
                <w:sz w:val="20"/>
                <w:szCs w:val="20"/>
              </w:rPr>
              <w:t>Individuālais komersants</w:t>
            </w:r>
          </w:p>
          <w:p w:rsidR="000B4ED4" w:rsidRPr="00DB426E" w:rsidRDefault="000B4ED4" w:rsidP="000B4ED4">
            <w:pPr>
              <w:spacing w:after="60"/>
              <w:rPr>
                <w:rFonts w:cs="Calibri"/>
                <w:sz w:val="20"/>
                <w:szCs w:val="20"/>
              </w:rPr>
            </w:pPr>
            <w:r w:rsidRPr="00DB426E">
              <w:rPr>
                <w:rFonts w:cs="Calibri"/>
                <w:sz w:val="20"/>
                <w:szCs w:val="20"/>
              </w:rPr>
              <w:t>Kooperatīvā sabiedrība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Uzņēmuma lielums</w:t>
            </w:r>
          </w:p>
        </w:tc>
        <w:tc>
          <w:tcPr>
            <w:tcW w:w="3691" w:type="pct"/>
            <w:gridSpan w:val="2"/>
          </w:tcPr>
          <w:p w:rsidR="000B4ED4" w:rsidRPr="00DB426E" w:rsidRDefault="000B4ED4" w:rsidP="000B4ED4">
            <w:pPr>
              <w:spacing w:after="60"/>
              <w:rPr>
                <w:rFonts w:cs="Calibri"/>
                <w:sz w:val="20"/>
                <w:szCs w:val="20"/>
              </w:rPr>
            </w:pPr>
            <w:proofErr w:type="spellStart"/>
            <w:r w:rsidRPr="00DB426E">
              <w:rPr>
                <w:rFonts w:cs="Calibri"/>
                <w:sz w:val="20"/>
                <w:szCs w:val="20"/>
              </w:rPr>
              <w:t>Mikro</w:t>
            </w:r>
            <w:proofErr w:type="spellEnd"/>
          </w:p>
          <w:p w:rsidR="000B4ED4" w:rsidRPr="00DB426E" w:rsidRDefault="000B4ED4" w:rsidP="000B4ED4">
            <w:pPr>
              <w:spacing w:after="60"/>
              <w:rPr>
                <w:rFonts w:cs="Calibri"/>
                <w:sz w:val="20"/>
                <w:szCs w:val="20"/>
              </w:rPr>
            </w:pPr>
            <w:r w:rsidRPr="00DB426E">
              <w:rPr>
                <w:rFonts w:cs="Calibri"/>
                <w:sz w:val="20"/>
                <w:szCs w:val="20"/>
              </w:rPr>
              <w:t>Mazais</w:t>
            </w:r>
          </w:p>
          <w:p w:rsidR="000B4ED4" w:rsidRPr="00DB426E" w:rsidRDefault="000B4ED4" w:rsidP="000B4ED4">
            <w:pPr>
              <w:spacing w:after="60"/>
              <w:rPr>
                <w:rFonts w:cs="Calibri"/>
                <w:sz w:val="20"/>
                <w:szCs w:val="20"/>
              </w:rPr>
            </w:pPr>
            <w:r w:rsidRPr="00DB426E">
              <w:rPr>
                <w:rFonts w:cs="Calibri"/>
                <w:sz w:val="20"/>
                <w:szCs w:val="20"/>
              </w:rPr>
              <w:t>Vidējais</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vieta</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Latvijas Republikas teritorija</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Projekta īstenošanas nozare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Visas nozares, izņemot:</w:t>
            </w:r>
          </w:p>
          <w:p w:rsidR="000B4ED4" w:rsidRPr="00DB426E" w:rsidRDefault="000B4ED4" w:rsidP="000B4ED4">
            <w:pPr>
              <w:spacing w:after="60"/>
              <w:rPr>
                <w:rFonts w:cs="Calibri"/>
                <w:sz w:val="20"/>
                <w:szCs w:val="20"/>
              </w:rPr>
            </w:pPr>
            <w:r w:rsidRPr="00DB426E">
              <w:rPr>
                <w:rFonts w:cs="Calibri"/>
                <w:sz w:val="20"/>
                <w:szCs w:val="20"/>
              </w:rPr>
              <w:t>tērauda nozare;</w:t>
            </w:r>
          </w:p>
          <w:p w:rsidR="000B4ED4" w:rsidRPr="00DB426E" w:rsidRDefault="000B4ED4" w:rsidP="000B4ED4">
            <w:pPr>
              <w:spacing w:after="60"/>
              <w:rPr>
                <w:rFonts w:cs="Calibri"/>
                <w:sz w:val="20"/>
                <w:szCs w:val="20"/>
              </w:rPr>
            </w:pPr>
            <w:r w:rsidRPr="00DB426E">
              <w:rPr>
                <w:rFonts w:cs="Calibri"/>
                <w:sz w:val="20"/>
                <w:szCs w:val="20"/>
              </w:rPr>
              <w:t>kuģu būves nozare;</w:t>
            </w:r>
          </w:p>
          <w:p w:rsidR="000B4ED4" w:rsidRPr="00DB426E" w:rsidRDefault="000B4ED4" w:rsidP="000B4ED4">
            <w:pPr>
              <w:spacing w:after="60"/>
              <w:rPr>
                <w:rFonts w:cs="Calibri"/>
                <w:sz w:val="20"/>
                <w:szCs w:val="20"/>
              </w:rPr>
            </w:pPr>
            <w:r w:rsidRPr="00DB426E">
              <w:rPr>
                <w:rFonts w:cs="Calibri"/>
                <w:sz w:val="20"/>
                <w:szCs w:val="20"/>
              </w:rPr>
              <w:t>sintētisko šķiedru ražošanas nozare;</w:t>
            </w:r>
          </w:p>
          <w:p w:rsidR="000B4ED4" w:rsidRPr="00DB426E" w:rsidRDefault="000B4ED4" w:rsidP="000B4ED4">
            <w:pPr>
              <w:spacing w:after="60"/>
              <w:rPr>
                <w:rFonts w:cs="Calibri"/>
                <w:sz w:val="20"/>
                <w:szCs w:val="20"/>
              </w:rPr>
            </w:pPr>
            <w:r w:rsidRPr="00DB426E">
              <w:rPr>
                <w:rFonts w:cs="Calibri"/>
                <w:sz w:val="20"/>
                <w:szCs w:val="20"/>
              </w:rPr>
              <w:t>zivsaimniecības un akvakultūras nozare;</w:t>
            </w:r>
          </w:p>
          <w:p w:rsidR="000B4ED4" w:rsidRPr="00DB426E" w:rsidRDefault="000B4ED4" w:rsidP="000B4ED4">
            <w:pPr>
              <w:spacing w:after="60"/>
              <w:rPr>
                <w:rFonts w:cs="Calibri"/>
                <w:sz w:val="20"/>
                <w:szCs w:val="20"/>
              </w:rPr>
            </w:pPr>
            <w:r w:rsidRPr="00DB426E">
              <w:rPr>
                <w:rFonts w:cs="Calibri"/>
                <w:sz w:val="20"/>
                <w:szCs w:val="20"/>
              </w:rPr>
              <w:t>ieroču un munīcijas ražošana un tirdzniecība;</w:t>
            </w:r>
          </w:p>
          <w:p w:rsidR="000B4ED4" w:rsidRPr="00DB426E" w:rsidRDefault="000B4ED4" w:rsidP="000B4ED4">
            <w:pPr>
              <w:spacing w:after="60"/>
              <w:rPr>
                <w:rFonts w:cs="Calibri"/>
                <w:sz w:val="20"/>
                <w:szCs w:val="20"/>
              </w:rPr>
            </w:pPr>
            <w:r w:rsidRPr="00DB426E">
              <w:rPr>
                <w:rFonts w:cs="Calibri"/>
                <w:sz w:val="20"/>
                <w:szCs w:val="20"/>
              </w:rPr>
              <w:t>tabakas izstrādājumu ražošana un tirdzniecība;</w:t>
            </w:r>
          </w:p>
          <w:p w:rsidR="000B4ED4" w:rsidRPr="00DB426E" w:rsidRDefault="000B4ED4" w:rsidP="000B4ED4">
            <w:pPr>
              <w:spacing w:after="60"/>
              <w:rPr>
                <w:rFonts w:cs="Calibri"/>
                <w:sz w:val="20"/>
                <w:szCs w:val="20"/>
              </w:rPr>
            </w:pPr>
            <w:r w:rsidRPr="00DB426E">
              <w:rPr>
                <w:rFonts w:cs="Calibri"/>
                <w:sz w:val="20"/>
                <w:szCs w:val="20"/>
              </w:rPr>
              <w:t>azartspēles un derības;</w:t>
            </w:r>
          </w:p>
          <w:p w:rsidR="000B4ED4" w:rsidRPr="00DB426E" w:rsidRDefault="000B4ED4" w:rsidP="000B4ED4">
            <w:pPr>
              <w:spacing w:after="60"/>
              <w:rPr>
                <w:rFonts w:cs="Calibri"/>
                <w:sz w:val="20"/>
                <w:szCs w:val="20"/>
              </w:rPr>
            </w:pPr>
            <w:r w:rsidRPr="00DB426E">
              <w:rPr>
                <w:rFonts w:cs="Calibri"/>
                <w:sz w:val="20"/>
                <w:szCs w:val="20"/>
              </w:rPr>
              <w:t>ogļu nozare;</w:t>
            </w:r>
          </w:p>
          <w:p w:rsidR="000B4ED4" w:rsidRPr="00DB426E" w:rsidRDefault="000B4ED4" w:rsidP="000B4ED4">
            <w:pPr>
              <w:spacing w:after="60"/>
              <w:rPr>
                <w:rFonts w:cs="Calibri"/>
                <w:sz w:val="20"/>
                <w:szCs w:val="20"/>
              </w:rPr>
            </w:pPr>
            <w:r w:rsidRPr="00DB426E">
              <w:rPr>
                <w:rFonts w:cs="Calibri"/>
                <w:sz w:val="20"/>
                <w:szCs w:val="20"/>
              </w:rPr>
              <w:t>finanšu un apdrošināšanas darbības;</w:t>
            </w:r>
          </w:p>
          <w:p w:rsidR="000B4ED4" w:rsidRPr="00DB426E" w:rsidRDefault="000B4ED4" w:rsidP="000B4ED4">
            <w:pPr>
              <w:spacing w:after="60"/>
              <w:rPr>
                <w:rFonts w:cs="Calibri"/>
                <w:sz w:val="20"/>
                <w:szCs w:val="20"/>
              </w:rPr>
            </w:pPr>
            <w:r w:rsidRPr="00DB426E">
              <w:rPr>
                <w:rFonts w:cs="Calibri"/>
                <w:sz w:val="20"/>
                <w:szCs w:val="20"/>
              </w:rPr>
              <w:t>operācijas ar nekustamo īpašumu;</w:t>
            </w:r>
          </w:p>
          <w:p w:rsidR="000B4ED4" w:rsidRPr="00DB426E" w:rsidRDefault="000B4ED4" w:rsidP="000B4ED4">
            <w:pPr>
              <w:spacing w:after="60"/>
              <w:rPr>
                <w:rFonts w:cs="Calibri"/>
                <w:sz w:val="20"/>
                <w:szCs w:val="20"/>
              </w:rPr>
            </w:pPr>
            <w:r w:rsidRPr="00DB426E">
              <w:rPr>
                <w:rFonts w:cs="Calibri"/>
                <w:sz w:val="20"/>
                <w:szCs w:val="20"/>
              </w:rPr>
              <w:t>sabiedrisko, politisko un citu organizāciju darbība;</w:t>
            </w:r>
          </w:p>
          <w:p w:rsidR="000B4ED4" w:rsidRPr="00DB426E" w:rsidRDefault="000B4ED4" w:rsidP="000B4ED4">
            <w:pPr>
              <w:spacing w:after="60"/>
              <w:rPr>
                <w:rFonts w:cs="Calibri"/>
                <w:sz w:val="20"/>
                <w:szCs w:val="20"/>
              </w:rPr>
            </w:pPr>
            <w:r w:rsidRPr="00DB426E">
              <w:rPr>
                <w:rFonts w:cs="Calibri"/>
                <w:sz w:val="20"/>
                <w:szCs w:val="20"/>
              </w:rPr>
              <w:t>mājsaimniecību kā darba devēju darbība;</w:t>
            </w:r>
          </w:p>
          <w:p w:rsidR="000B4ED4" w:rsidRPr="00DB426E" w:rsidRDefault="000B4ED4" w:rsidP="000B4ED4">
            <w:pPr>
              <w:spacing w:after="60"/>
              <w:rPr>
                <w:rFonts w:eastAsia="Times New Roman" w:cs="Arial"/>
                <w:color w:val="000000"/>
                <w:sz w:val="20"/>
                <w:szCs w:val="20"/>
              </w:rPr>
            </w:pPr>
            <w:r w:rsidRPr="00DB426E">
              <w:rPr>
                <w:rFonts w:cs="Calibri"/>
                <w:sz w:val="20"/>
                <w:szCs w:val="20"/>
              </w:rPr>
              <w:t>elektroapgāde un siltuma apgāde</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Sadarbības partneri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Papildus nosacījumi R&amp;D veicināšanai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 xml:space="preserve">Pretendentiem nav definēti specifiski nosacījumi atbalsta saņemšanai. </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Citi būtiski nosacījumi</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Aizdevuma termiņš no 2 līdz 10 gadiem, tas nedrīkst pārsniegt finansētās investīcijas lietderīgās dzīves ilgumu.</w:t>
            </w:r>
          </w:p>
        </w:tc>
      </w:tr>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Finansējums</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Finansējuma apjoms vienam projektam</w:t>
            </w:r>
          </w:p>
        </w:tc>
        <w:tc>
          <w:tcPr>
            <w:tcW w:w="1845" w:type="pct"/>
          </w:tcPr>
          <w:p w:rsidR="000B4ED4" w:rsidRPr="00DB426E" w:rsidRDefault="000B4ED4" w:rsidP="000B4ED4">
            <w:pPr>
              <w:spacing w:after="60"/>
              <w:rPr>
                <w:rFonts w:cs="Calibri"/>
                <w:sz w:val="20"/>
                <w:szCs w:val="20"/>
              </w:rPr>
            </w:pPr>
            <w:r w:rsidRPr="00DB426E">
              <w:rPr>
                <w:rFonts w:cs="Calibri"/>
                <w:sz w:val="20"/>
                <w:szCs w:val="20"/>
              </w:rPr>
              <w:t>Minimālais</w:t>
            </w:r>
          </w:p>
        </w:tc>
        <w:tc>
          <w:tcPr>
            <w:tcW w:w="1846" w:type="pct"/>
          </w:tcPr>
          <w:p w:rsidR="000B4ED4" w:rsidRPr="00DB426E" w:rsidRDefault="000B4ED4" w:rsidP="000B4ED4">
            <w:pPr>
              <w:spacing w:after="60"/>
              <w:rPr>
                <w:rFonts w:cs="Calibri"/>
                <w:sz w:val="20"/>
                <w:szCs w:val="20"/>
              </w:rPr>
            </w:pPr>
            <w:r w:rsidRPr="00DB426E">
              <w:rPr>
                <w:rFonts w:cs="Calibri"/>
                <w:sz w:val="20"/>
                <w:szCs w:val="20"/>
              </w:rPr>
              <w:t>Maksimālais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w:t>
            </w:r>
          </w:p>
        </w:tc>
        <w:tc>
          <w:tcPr>
            <w:tcW w:w="1846" w:type="pct"/>
          </w:tcPr>
          <w:p w:rsidR="000B4ED4" w:rsidRPr="00DB426E" w:rsidRDefault="000B4ED4" w:rsidP="000B4ED4">
            <w:pPr>
              <w:spacing w:after="60"/>
              <w:rPr>
                <w:rFonts w:cs="Calibri"/>
                <w:sz w:val="20"/>
                <w:szCs w:val="20"/>
              </w:rPr>
            </w:pPr>
            <w:r w:rsidRPr="00DB426E">
              <w:rPr>
                <w:rFonts w:cs="Calibri"/>
                <w:sz w:val="20"/>
                <w:szCs w:val="20"/>
              </w:rPr>
              <w:t>300 000 LVL</w:t>
            </w:r>
          </w:p>
          <w:p w:rsidR="000B4ED4" w:rsidRPr="00DB426E" w:rsidRDefault="000B4ED4" w:rsidP="000B4ED4">
            <w:pPr>
              <w:spacing w:after="60"/>
              <w:rPr>
                <w:rFonts w:cs="Calibri"/>
                <w:sz w:val="20"/>
                <w:szCs w:val="20"/>
              </w:rPr>
            </w:pPr>
            <w:r w:rsidRPr="00DB426E">
              <w:rPr>
                <w:rFonts w:cs="Calibri"/>
                <w:sz w:val="20"/>
                <w:szCs w:val="20"/>
              </w:rPr>
              <w:t>2 000 000 LVL - lauksaimniekiem</w:t>
            </w:r>
          </w:p>
        </w:tc>
      </w:tr>
      <w:tr w:rsidR="000B4ED4" w:rsidRPr="00DB426E" w:rsidTr="000B4ED4">
        <w:trPr>
          <w:jc w:val="center"/>
        </w:trPr>
        <w:tc>
          <w:tcPr>
            <w:tcW w:w="1309" w:type="pct"/>
          </w:tcPr>
          <w:p w:rsidR="000B4ED4" w:rsidRPr="00DB426E" w:rsidRDefault="000B4ED4" w:rsidP="000B4ED4">
            <w:pPr>
              <w:spacing w:after="60"/>
              <w:rPr>
                <w:rFonts w:cs="Calibri"/>
                <w:b/>
                <w:sz w:val="20"/>
                <w:szCs w:val="20"/>
              </w:rPr>
            </w:pPr>
            <w:r w:rsidRPr="00DB426E">
              <w:rPr>
                <w:rFonts w:cs="Calibri"/>
                <w:b/>
                <w:sz w:val="20"/>
                <w:szCs w:val="20"/>
              </w:rPr>
              <w:t>Atbalsta intensitāte</w:t>
            </w:r>
          </w:p>
        </w:tc>
        <w:tc>
          <w:tcPr>
            <w:tcW w:w="3691" w:type="pct"/>
            <w:gridSpan w:val="2"/>
          </w:tcPr>
          <w:p w:rsidR="000B4ED4" w:rsidRPr="00DB426E" w:rsidRDefault="000B4ED4" w:rsidP="000B4ED4">
            <w:pPr>
              <w:spacing w:after="60"/>
              <w:rPr>
                <w:rFonts w:cs="Calibri"/>
                <w:sz w:val="20"/>
                <w:szCs w:val="20"/>
              </w:rPr>
            </w:pPr>
            <w:r w:rsidRPr="00DB426E">
              <w:rPr>
                <w:rFonts w:cs="Calibri"/>
                <w:sz w:val="20"/>
                <w:szCs w:val="20"/>
              </w:rPr>
              <w:t>75% no kopējām projekta izmaksām (izņemot lauksaimniekus, kuriem atbalsta intensitāte ir 100%)</w:t>
            </w:r>
          </w:p>
        </w:tc>
      </w:tr>
    </w:tbl>
    <w:p w:rsidR="000B4ED4" w:rsidRPr="00DB426E" w:rsidRDefault="000B4ED4" w:rsidP="000B4ED4">
      <w:pPr>
        <w:rPr>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550"/>
        <w:gridCol w:w="3552"/>
      </w:tblGrid>
      <w:tr w:rsidR="000B4ED4" w:rsidRPr="00DB426E" w:rsidTr="000B4ED4">
        <w:trPr>
          <w:jc w:val="center"/>
        </w:trPr>
        <w:tc>
          <w:tcPr>
            <w:tcW w:w="5000" w:type="pct"/>
            <w:gridSpan w:val="3"/>
            <w:shd w:val="clear" w:color="auto" w:fill="F2F2F2"/>
          </w:tcPr>
          <w:p w:rsidR="000B4ED4" w:rsidRPr="00DB426E" w:rsidRDefault="000B4ED4" w:rsidP="000B4ED4">
            <w:pPr>
              <w:spacing w:after="60"/>
              <w:jc w:val="center"/>
              <w:rPr>
                <w:rFonts w:cs="Calibri"/>
                <w:b/>
                <w:sz w:val="20"/>
                <w:szCs w:val="20"/>
              </w:rPr>
            </w:pPr>
            <w:r w:rsidRPr="00DB426E">
              <w:rPr>
                <w:rFonts w:cs="Calibri"/>
                <w:b/>
                <w:sz w:val="20"/>
                <w:szCs w:val="20"/>
              </w:rPr>
              <w:t>Finansējuma apguve</w:t>
            </w:r>
          </w:p>
        </w:tc>
      </w:tr>
      <w:tr w:rsidR="000B4ED4" w:rsidRPr="00DB426E" w:rsidTr="000B4ED4">
        <w:trPr>
          <w:trHeight w:val="248"/>
          <w:jc w:val="center"/>
        </w:trPr>
        <w:tc>
          <w:tcPr>
            <w:tcW w:w="1309" w:type="pct"/>
            <w:vMerge w:val="restart"/>
          </w:tcPr>
          <w:p w:rsidR="000B4ED4" w:rsidRPr="00DB426E" w:rsidRDefault="000B4ED4" w:rsidP="000B4ED4">
            <w:pPr>
              <w:spacing w:after="60"/>
              <w:rPr>
                <w:rFonts w:cs="Calibri"/>
                <w:b/>
                <w:sz w:val="20"/>
                <w:szCs w:val="20"/>
              </w:rPr>
            </w:pPr>
            <w:r w:rsidRPr="00DB426E">
              <w:rPr>
                <w:rFonts w:cs="Calibri"/>
                <w:b/>
                <w:sz w:val="20"/>
                <w:szCs w:val="20"/>
              </w:rPr>
              <w:t>Izmaksātais finansējums</w:t>
            </w:r>
          </w:p>
        </w:tc>
        <w:tc>
          <w:tcPr>
            <w:tcW w:w="1845" w:type="pct"/>
          </w:tcPr>
          <w:p w:rsidR="000B4ED4" w:rsidRPr="00DB426E" w:rsidRDefault="000B4ED4" w:rsidP="000B4ED4">
            <w:pPr>
              <w:spacing w:after="60"/>
              <w:rPr>
                <w:rFonts w:cs="Calibri"/>
                <w:sz w:val="20"/>
                <w:szCs w:val="20"/>
              </w:rPr>
            </w:pPr>
            <w:r w:rsidRPr="00DB426E">
              <w:rPr>
                <w:rFonts w:cs="Calibri"/>
                <w:sz w:val="20"/>
                <w:szCs w:val="20"/>
              </w:rPr>
              <w:t>Projektu skaits</w:t>
            </w:r>
          </w:p>
        </w:tc>
        <w:tc>
          <w:tcPr>
            <w:tcW w:w="1846" w:type="pct"/>
          </w:tcPr>
          <w:p w:rsidR="000B4ED4" w:rsidRPr="00DB426E" w:rsidRDefault="000B4ED4" w:rsidP="000B4ED4">
            <w:pPr>
              <w:spacing w:after="60"/>
              <w:rPr>
                <w:rFonts w:cs="Calibri"/>
                <w:sz w:val="20"/>
                <w:szCs w:val="20"/>
              </w:rPr>
            </w:pPr>
            <w:r w:rsidRPr="00DB426E">
              <w:rPr>
                <w:rFonts w:cs="Calibri"/>
                <w:sz w:val="20"/>
                <w:szCs w:val="20"/>
              </w:rPr>
              <w:t>Finansējuma apjoms</w:t>
            </w:r>
          </w:p>
        </w:tc>
      </w:tr>
      <w:tr w:rsidR="000B4ED4" w:rsidRPr="00DB426E" w:rsidTr="000B4ED4">
        <w:trPr>
          <w:trHeight w:val="247"/>
          <w:jc w:val="center"/>
        </w:trPr>
        <w:tc>
          <w:tcPr>
            <w:tcW w:w="1309" w:type="pct"/>
            <w:vMerge/>
          </w:tcPr>
          <w:p w:rsidR="000B4ED4" w:rsidRPr="00DB426E" w:rsidRDefault="000B4ED4" w:rsidP="000B4ED4">
            <w:pPr>
              <w:spacing w:after="60"/>
              <w:rPr>
                <w:rFonts w:cs="Calibri"/>
                <w:b/>
                <w:sz w:val="20"/>
                <w:szCs w:val="20"/>
              </w:rPr>
            </w:pPr>
          </w:p>
        </w:tc>
        <w:tc>
          <w:tcPr>
            <w:tcW w:w="1845" w:type="pct"/>
          </w:tcPr>
          <w:p w:rsidR="000B4ED4" w:rsidRPr="00DB426E" w:rsidRDefault="000B4ED4" w:rsidP="000B4ED4">
            <w:pPr>
              <w:spacing w:after="60"/>
              <w:rPr>
                <w:rFonts w:cs="Calibri"/>
                <w:sz w:val="20"/>
                <w:szCs w:val="20"/>
              </w:rPr>
            </w:pPr>
            <w:r w:rsidRPr="00DB426E">
              <w:rPr>
                <w:rFonts w:cs="Calibri"/>
                <w:sz w:val="20"/>
                <w:szCs w:val="20"/>
              </w:rPr>
              <w:t>740</w:t>
            </w:r>
          </w:p>
        </w:tc>
        <w:tc>
          <w:tcPr>
            <w:tcW w:w="1846" w:type="pct"/>
          </w:tcPr>
          <w:p w:rsidR="000B4ED4" w:rsidRPr="00DB426E" w:rsidRDefault="000B4ED4" w:rsidP="000B4ED4">
            <w:pPr>
              <w:spacing w:after="60"/>
              <w:rPr>
                <w:rFonts w:cs="Calibri"/>
                <w:sz w:val="20"/>
                <w:szCs w:val="20"/>
              </w:rPr>
            </w:pPr>
            <w:r w:rsidRPr="00DB426E">
              <w:rPr>
                <w:rFonts w:cs="Calibri"/>
                <w:sz w:val="20"/>
                <w:szCs w:val="20"/>
              </w:rPr>
              <w:t>35 000 000</w:t>
            </w:r>
          </w:p>
        </w:tc>
      </w:tr>
    </w:tbl>
    <w:p w:rsidR="000B4ED4" w:rsidRPr="00DB426E" w:rsidRDefault="000B4ED4" w:rsidP="000B4ED4">
      <w:pPr>
        <w:spacing w:before="240"/>
      </w:pPr>
      <w:r w:rsidRPr="00DB426E">
        <w:t xml:space="preserve">Programmas mērķis ir vērsts uz atbalstu uzņēmumu attīstībai, un tas var tieši sekmēt investīciju veikšanu R&amp;D. Finanšu atbalsta instrumentam daļēji piemīt brīvo konkurenci ierobežojošas īpašības. Pirmkārt, lauksaimniekiem pieejamais finansējuma maksimālais apjoms ir ievērojami lielāks nekā citās nozarēs, kā arī to atbalsta intensitāte (procenti no kopējām attiecināmajām izmaksām) ir lielāka. Otrkārt, programmā pastāv liels nozaru ierobežojums; izslēgtas ir vairākas Latvijas tautsaimniecībai svarīgas nozares, piemēram, sintētisko šķiedru ražošana, elektroapgāde, siltumapgāde, u. c. </w:t>
      </w:r>
    </w:p>
    <w:p w:rsidR="000B4ED4" w:rsidRPr="00DB426E" w:rsidRDefault="000B4ED4" w:rsidP="000B4ED4">
      <w:r w:rsidRPr="00DB426E">
        <w:t>Pieteikšanās ir ar vidēju sarežģītības pakāpi. Iesniedzamo dokumentu vidū ir biznesa plāns, pieteikuma veidlapas, izziņas un citi saistītie dokumenti.</w:t>
      </w:r>
    </w:p>
    <w:p w:rsidR="000B4ED4" w:rsidRPr="000B4ED4" w:rsidRDefault="000B4ED4" w:rsidP="000B4ED4">
      <w:pPr>
        <w:rPr>
          <w:lang w:eastAsia="ar-SA"/>
        </w:rPr>
      </w:pPr>
    </w:p>
    <w:p w:rsidR="00BF6B8C" w:rsidRPr="00DB426E" w:rsidRDefault="00BF6B8C" w:rsidP="00BF6B8C">
      <w:pPr>
        <w:pStyle w:val="Heading2"/>
        <w:numPr>
          <w:ilvl w:val="1"/>
          <w:numId w:val="4"/>
        </w:numPr>
        <w:suppressAutoHyphens w:val="0"/>
        <w:spacing w:before="240" w:after="60"/>
        <w:jc w:val="both"/>
      </w:pPr>
      <w:bookmarkStart w:id="388" w:name="_Toc358978778"/>
      <w:r>
        <w:t>Izvērstā ā</w:t>
      </w:r>
      <w:r w:rsidRPr="00DB426E">
        <w:t>rvalstu pieredzes analīze atbalsta instrumentu izmantošanā privātā sektora ieguldījumu pētniecības un attīstības sekmēšanai</w:t>
      </w:r>
      <w:bookmarkEnd w:id="388"/>
    </w:p>
    <w:p w:rsidR="00BF6B8C" w:rsidRPr="00DB426E" w:rsidRDefault="00BF6B8C" w:rsidP="00BF6B8C">
      <w:pPr>
        <w:pStyle w:val="Heading3"/>
        <w:numPr>
          <w:ilvl w:val="2"/>
          <w:numId w:val="4"/>
        </w:numPr>
      </w:pPr>
      <w:bookmarkStart w:id="389" w:name="_Toc356472847"/>
      <w:bookmarkStart w:id="390" w:name="_Toc358978779"/>
      <w:r w:rsidRPr="00DB426E">
        <w:t>Lietuva</w:t>
      </w:r>
      <w:bookmarkEnd w:id="389"/>
      <w:bookmarkEnd w:id="390"/>
    </w:p>
    <w:p w:rsidR="00BF6B8C" w:rsidRPr="00DB426E" w:rsidRDefault="00BF6B8C" w:rsidP="00BF6B8C">
      <w:r w:rsidRPr="00DB426E">
        <w:t>Saskaņā ar „</w:t>
      </w:r>
      <w:proofErr w:type="spellStart"/>
      <w:r w:rsidR="009B0188">
        <w:fldChar w:fldCharType="begin"/>
      </w:r>
      <w:r w:rsidR="009B0188">
        <w:instrText xml:space="preserve"> HYPERLINK "http://ec.europa.eu/enterprise/policies/innovation/facts-figures-analysis/innovation-scoreboard/" </w:instrText>
      </w:r>
      <w:r w:rsidR="009B0188">
        <w:fldChar w:fldCharType="separate"/>
      </w:r>
      <w:r w:rsidRPr="00DB426E">
        <w:t>Innovation</w:t>
      </w:r>
      <w:proofErr w:type="spellEnd"/>
      <w:r w:rsidRPr="00DB426E">
        <w:t xml:space="preserve"> </w:t>
      </w:r>
      <w:proofErr w:type="spellStart"/>
      <w:r w:rsidRPr="00DB426E">
        <w:t>Union</w:t>
      </w:r>
      <w:proofErr w:type="spellEnd"/>
      <w:r w:rsidRPr="00DB426E">
        <w:t xml:space="preserve"> </w:t>
      </w:r>
      <w:proofErr w:type="spellStart"/>
      <w:r w:rsidRPr="00DB426E">
        <w:t>Scoreboard</w:t>
      </w:r>
      <w:proofErr w:type="spellEnd"/>
      <w:r w:rsidR="009B0188">
        <w:fldChar w:fldCharType="end"/>
      </w:r>
      <w:r w:rsidRPr="00DB426E">
        <w:t xml:space="preserve">” klasifikāciju, Lietuva ir mērenais </w:t>
      </w:r>
      <w:proofErr w:type="spellStart"/>
      <w:r w:rsidRPr="00DB426E">
        <w:t>inovators</w:t>
      </w:r>
      <w:proofErr w:type="spellEnd"/>
      <w:r w:rsidRPr="00DB426E">
        <w:t xml:space="preserve"> – tās inovāciju līmenis ir zem ES vidējā. Tomēr, ņemot vērā Latvijai līdzīgo nozaru un valsts attīstību, sekmīgākie Lietuvas finanšu atbalsta instrumenti var būt nozīmīgi labās prakses pārņemšanai Latvijā.</w:t>
      </w:r>
    </w:p>
    <w:p w:rsidR="00BF6B8C" w:rsidRPr="00DB426E" w:rsidRDefault="00BF6B8C" w:rsidP="00BF6B8C">
      <w:r w:rsidRPr="00DB426E">
        <w:t>Lietuvā finanšu atbalsta instrumentus administrē Valsts zinātnes, inovāciju un tehnoloģiju aģentūra</w:t>
      </w:r>
      <w:r w:rsidRPr="00DB426E">
        <w:rPr>
          <w:rStyle w:val="FootnoteReference"/>
        </w:rPr>
        <w:footnoteReference w:id="39"/>
      </w:r>
      <w:r w:rsidRPr="00DB426E">
        <w:t>, kura sniedz atbalstu komersantiem, zinātniskajām institūcijām un augstskolām. Ar Valsts zinātnes, inovāciju un tehnoloģiju aģentūras (turpmāk – MITA) atbalstu var piedalīties šādos privātās investīcijas R&amp;D sekmējošos pasākumos:</w:t>
      </w:r>
    </w:p>
    <w:p w:rsidR="00BF6B8C" w:rsidRPr="00DB426E" w:rsidRDefault="00BF6B8C" w:rsidP="00BF6B8C">
      <w:pPr>
        <w:pStyle w:val="ListParagraph"/>
        <w:numPr>
          <w:ilvl w:val="0"/>
          <w:numId w:val="0"/>
        </w:numPr>
        <w:ind w:left="1440"/>
        <w:rPr>
          <w:b/>
          <w:lang w:val="lv-LV"/>
        </w:rPr>
      </w:pPr>
      <w:r w:rsidRPr="00DB426E">
        <w:rPr>
          <w:b/>
          <w:lang w:val="lv-LV"/>
        </w:rPr>
        <w:t>Granti</w:t>
      </w:r>
    </w:p>
    <w:p w:rsidR="00BF6B8C" w:rsidRPr="00DB426E" w:rsidRDefault="00BF6B8C" w:rsidP="00BF6B8C">
      <w:r w:rsidRPr="00DB426E">
        <w:t xml:space="preserve">„Mazais atbalsts” – grants līdz 20 000 litu (5 800 EUR) intelektuālā īpašuma objektu iegādei no MITA noteiktajām zinātniskajām institūcijām un augstskolām. </w:t>
      </w:r>
    </w:p>
    <w:p w:rsidR="00BF6B8C" w:rsidRDefault="00BF6B8C" w:rsidP="00BF6B8C">
      <w:r w:rsidRPr="00DB426E">
        <w:t xml:space="preserve">Šāds grants tieši sekmē privāto investīciju veikšanu R&amp;D, kā arī MVU un zinātnes attīstību. Pasākums neierobežo brīvo konkurenci. </w:t>
      </w:r>
    </w:p>
    <w:p w:rsidR="00BF6B8C" w:rsidRPr="00DB426E" w:rsidRDefault="00BF6B8C" w:rsidP="00BF6B8C"/>
    <w:p w:rsidR="00BF6B8C" w:rsidRPr="00DB426E" w:rsidRDefault="00BF6B8C" w:rsidP="00BF6B8C">
      <w:pPr>
        <w:pStyle w:val="ListParagraph"/>
        <w:numPr>
          <w:ilvl w:val="0"/>
          <w:numId w:val="0"/>
        </w:numPr>
        <w:ind w:left="1440"/>
        <w:rPr>
          <w:b/>
          <w:lang w:val="lv-LV"/>
        </w:rPr>
      </w:pPr>
      <w:r w:rsidRPr="00DB426E">
        <w:rPr>
          <w:b/>
          <w:lang w:val="lv-LV"/>
        </w:rPr>
        <w:t>Valsts subsīdijas</w:t>
      </w:r>
    </w:p>
    <w:p w:rsidR="00BF6B8C" w:rsidRPr="00DB426E" w:rsidRDefault="00BF6B8C" w:rsidP="00BF6B8C">
      <w:r w:rsidRPr="00DB426E">
        <w:t>MITA piedāvā arī valsts subsīdijas apmērā līdz 20 000 EUR ar augstskolām saistītiem jaundibinātiem uzņēmumiem, kuri darbojas augsto tehnoloģiju nozarēs:</w:t>
      </w:r>
    </w:p>
    <w:p w:rsidR="00BF6B8C" w:rsidRPr="00DB426E" w:rsidRDefault="00BF6B8C" w:rsidP="006C3F27">
      <w:pPr>
        <w:numPr>
          <w:ilvl w:val="0"/>
          <w:numId w:val="56"/>
        </w:numPr>
        <w:ind w:left="714" w:hanging="357"/>
        <w:contextualSpacing/>
      </w:pPr>
      <w:r w:rsidRPr="00DB426E">
        <w:t>informācijas tehnoloģijas;</w:t>
      </w:r>
    </w:p>
    <w:p w:rsidR="00BF6B8C" w:rsidRPr="00DB426E" w:rsidRDefault="00BF6B8C" w:rsidP="006C3F27">
      <w:pPr>
        <w:numPr>
          <w:ilvl w:val="0"/>
          <w:numId w:val="56"/>
        </w:numPr>
        <w:ind w:left="714" w:hanging="357"/>
        <w:contextualSpacing/>
      </w:pPr>
      <w:r w:rsidRPr="00DB426E">
        <w:t>nanotehnoloģijas;</w:t>
      </w:r>
    </w:p>
    <w:p w:rsidR="00BF6B8C" w:rsidRPr="00DB426E" w:rsidRDefault="00BF6B8C" w:rsidP="006C3F27">
      <w:pPr>
        <w:numPr>
          <w:ilvl w:val="0"/>
          <w:numId w:val="56"/>
        </w:numPr>
        <w:ind w:left="714" w:hanging="357"/>
        <w:contextualSpacing/>
      </w:pPr>
      <w:r w:rsidRPr="00DB426E">
        <w:t>biotehnoloģijas;</w:t>
      </w:r>
    </w:p>
    <w:p w:rsidR="00BF6B8C" w:rsidRPr="00DB426E" w:rsidRDefault="00BF6B8C" w:rsidP="006C3F27">
      <w:pPr>
        <w:numPr>
          <w:ilvl w:val="0"/>
          <w:numId w:val="56"/>
        </w:numPr>
        <w:ind w:left="714" w:hanging="357"/>
        <w:contextualSpacing/>
      </w:pPr>
      <w:proofErr w:type="spellStart"/>
      <w:r w:rsidRPr="00DB426E">
        <w:t>mehatronika</w:t>
      </w:r>
      <w:proofErr w:type="spellEnd"/>
      <w:r w:rsidRPr="00DB426E">
        <w:t>;</w:t>
      </w:r>
    </w:p>
    <w:p w:rsidR="00BF6B8C" w:rsidRPr="00DB426E" w:rsidRDefault="00BF6B8C" w:rsidP="006C3F27">
      <w:pPr>
        <w:numPr>
          <w:ilvl w:val="0"/>
          <w:numId w:val="56"/>
        </w:numPr>
        <w:ind w:left="714" w:hanging="357"/>
        <w:contextualSpacing/>
      </w:pPr>
      <w:r w:rsidRPr="00DB426E">
        <w:t>lāzertehnoloģijas.</w:t>
      </w:r>
    </w:p>
    <w:p w:rsidR="00BF6B8C" w:rsidRPr="00DB426E" w:rsidRDefault="00BF6B8C" w:rsidP="00BF6B8C">
      <w:pPr>
        <w:spacing w:before="240"/>
      </w:pPr>
      <w:r w:rsidRPr="00DB426E">
        <w:t xml:space="preserve">Pirmā pieteikšanās kārta subsīdiju saņemšanai ir noslēgusies; 2013. gadā ir plānots atvērt jaunu projektu atlases kārtu.  </w:t>
      </w:r>
    </w:p>
    <w:p w:rsidR="00BF6B8C" w:rsidRPr="00DB426E" w:rsidRDefault="00BF6B8C" w:rsidP="00BF6B8C">
      <w:r w:rsidRPr="00DB426E">
        <w:t xml:space="preserve">MITA tuvākajā laikā plāno izsludināt projektu konkursu uzņēmumu attīstībai, kura mērķauditorija arī būs jaundibināti uzņēmumi. Atbalstu paredzēts sniegt valsts subsīdijas veidā, sadarbībā ar privātajiem attīstības veicinātājiem (fondiem). Aktivitātes ietvaros plānota atbalstāmo jaunradīto uzņēmumu atlase, vērtēšana, nelielas subsīdijas piešķiršana, kā arī </w:t>
      </w:r>
      <w:proofErr w:type="spellStart"/>
      <w:r w:rsidRPr="00DB426E">
        <w:t>mentoringa</w:t>
      </w:r>
      <w:proofErr w:type="spellEnd"/>
      <w:r w:rsidRPr="00DB426E">
        <w:t xml:space="preserve"> un konsultāciju pakalpojumu sniegšana to turpmākajai attīstībai.</w:t>
      </w:r>
    </w:p>
    <w:p w:rsidR="00BF6B8C" w:rsidRPr="00DB426E" w:rsidRDefault="00BF6B8C" w:rsidP="00BF6B8C">
      <w:r w:rsidRPr="00DB426E">
        <w:t xml:space="preserve">Arī šai aktivitātei ir tieša ietekme uz privāto investīciju veicināšanu R&amp;D. Aktivitāte vērsta uz jaundibinātiem komersantiem. Nav pamata uzskatīt, ka aktivitāte var ierobežot brīvo konkurenci – atbalsta mērķauditorija, jaunie uzņēmumi, ir ar zemāku konkurētspēju nekā citi tirgus spēlētāji. </w:t>
      </w:r>
    </w:p>
    <w:p w:rsidR="00BF6B8C" w:rsidRPr="00DB426E" w:rsidRDefault="00BF6B8C" w:rsidP="00BF6B8C">
      <w:pPr>
        <w:pStyle w:val="ListParagraph"/>
        <w:numPr>
          <w:ilvl w:val="0"/>
          <w:numId w:val="0"/>
        </w:numPr>
        <w:ind w:left="1440"/>
        <w:rPr>
          <w:b/>
          <w:lang w:val="lv-LV"/>
        </w:rPr>
      </w:pPr>
      <w:r w:rsidRPr="00DB426E">
        <w:rPr>
          <w:b/>
          <w:lang w:val="lv-LV"/>
        </w:rPr>
        <w:t>Eksporta garantijas un aizdevumi</w:t>
      </w:r>
    </w:p>
    <w:p w:rsidR="00BF6B8C" w:rsidRPr="00DB426E" w:rsidRDefault="00BF6B8C" w:rsidP="00BF6B8C">
      <w:r w:rsidRPr="00DB426E">
        <w:t>Eksporta garantijas un citu ar eksporta veicināšanu saistītu atbalstu sniedz organizācija „</w:t>
      </w:r>
      <w:proofErr w:type="spellStart"/>
      <w:r w:rsidRPr="00DB426E">
        <w:t>Versli</w:t>
      </w:r>
      <w:proofErr w:type="spellEnd"/>
      <w:r w:rsidRPr="00DB426E">
        <w:t xml:space="preserve"> Lietuva” („Lietuvas uzņēmums”)</w:t>
      </w:r>
      <w:r w:rsidRPr="00DB426E">
        <w:rPr>
          <w:rStyle w:val="FootnoteReference"/>
        </w:rPr>
        <w:footnoteReference w:id="40"/>
      </w:r>
      <w:r w:rsidRPr="00DB426E">
        <w:t xml:space="preserve">. </w:t>
      </w:r>
    </w:p>
    <w:p w:rsidR="00BF6B8C" w:rsidRPr="00DB426E" w:rsidRDefault="00BF6B8C" w:rsidP="00BF6B8C">
      <w:r w:rsidRPr="00DB426E">
        <w:t xml:space="preserve">Atbalsts eksportējošiem uzņēmumiem Lietuvā tiek sniegts līdzīgi kā Latvijā – pārsvarā atbalstīti tiek tie uzņēmumi, kuri kādu iemeslu dēļ (augsta riska pakāpe, nepietiekami finanšu resursi) nav spējīgi finansēt iziešanu ārējos tirgos par pašu līdzekļiem, un nespēj saņemt kredītiestāžu aizdevumus. </w:t>
      </w:r>
    </w:p>
    <w:p w:rsidR="00BF6B8C" w:rsidRPr="00DB426E" w:rsidRDefault="00BF6B8C" w:rsidP="00BF6B8C">
      <w:r w:rsidRPr="00DB426E">
        <w:t xml:space="preserve">Eksporta atbalstam Lietuvā uzņēmumiem tiek izsniegti aizdevumi, sniegtas eksporta garantijas, kā arī tehniskā palīdzība uzņēmumiem ar augstiem izaugsmes rādītājiem. Tāpat kā Latvijā, arī Lietuvā šo atbalstu nevar uzskatīt par brīvo konkurenci ierobežojošu. </w:t>
      </w:r>
    </w:p>
    <w:p w:rsidR="00BF6B8C" w:rsidRPr="00DB426E" w:rsidRDefault="00BF6B8C" w:rsidP="00BF6B8C">
      <w:pPr>
        <w:pStyle w:val="ListParagraph"/>
        <w:numPr>
          <w:ilvl w:val="0"/>
          <w:numId w:val="0"/>
        </w:numPr>
        <w:ind w:left="1440"/>
        <w:rPr>
          <w:b/>
          <w:lang w:val="lv-LV"/>
        </w:rPr>
      </w:pPr>
      <w:r w:rsidRPr="00DB426E">
        <w:rPr>
          <w:b/>
          <w:lang w:val="lv-LV"/>
        </w:rPr>
        <w:t>Riska kapitāls</w:t>
      </w:r>
    </w:p>
    <w:p w:rsidR="00BF6B8C" w:rsidRPr="00DB426E" w:rsidRDefault="00BF6B8C" w:rsidP="00BF6B8C">
      <w:r w:rsidRPr="00DB426E">
        <w:t xml:space="preserve">Pašlaik riska kapitāla starpnieks Lietuvā ir uzņēmums </w:t>
      </w:r>
      <w:proofErr w:type="spellStart"/>
      <w:r w:rsidRPr="00DB426E">
        <w:t>Practica</w:t>
      </w:r>
      <w:proofErr w:type="spellEnd"/>
      <w:r w:rsidRPr="00DB426E">
        <w:t xml:space="preserve"> </w:t>
      </w:r>
      <w:proofErr w:type="spellStart"/>
      <w:r w:rsidRPr="00DB426E">
        <w:t>Venture</w:t>
      </w:r>
      <w:proofErr w:type="spellEnd"/>
      <w:r w:rsidRPr="00DB426E">
        <w:t xml:space="preserve"> </w:t>
      </w:r>
      <w:proofErr w:type="spellStart"/>
      <w:r w:rsidRPr="00DB426E">
        <w:t>Capital</w:t>
      </w:r>
      <w:proofErr w:type="spellEnd"/>
      <w:r w:rsidRPr="00DB426E">
        <w:rPr>
          <w:rStyle w:val="FootnoteReference"/>
        </w:rPr>
        <w:footnoteReference w:id="41"/>
      </w:r>
      <w:r w:rsidRPr="00DB426E">
        <w:t>, kas sniedz atbalstu riska kapitāla veidā īpaši inovatīviem uzņēmumiem ar augstu riska pakāpi. Riska kapitāla investīciju izsniegšana tika uzsākta 2012. gada jūlijā. Kopējais fonda finansējums ir 20 000 000 EUR, un tas tiek finansēts no ES struktūrfondu līdzekļiem. Riska kapitāla investīciju galvenā mērķauditorija Lietuvā ir augsto tehnoloģiju uzņēmumi.</w:t>
      </w:r>
    </w:p>
    <w:p w:rsidR="00BF6B8C" w:rsidRPr="00DB426E" w:rsidRDefault="00BF6B8C" w:rsidP="00BF6B8C">
      <w:r w:rsidRPr="00DB426E">
        <w:t>2012. gada beigās noslēdzās Valsts investīciju garantiju kompānijas INVEGA un Lietuvas Republikas Ekonomikas ministrijas organizētais konkurss jauna tehnoloģiju riska kapitāla starpnieka izvēlei. Kad tiks izvēlēts konkursa uzvarētājs, Lietuvā riska kapitāla investīciju veikšanu uzsāks uz tehnoloģiju attīstību vērsts riska kapitāla fonds.</w:t>
      </w:r>
    </w:p>
    <w:p w:rsidR="00BF6B8C" w:rsidRPr="00DB426E" w:rsidRDefault="00BF6B8C" w:rsidP="00BF6B8C">
      <w:r w:rsidRPr="00DB426E">
        <w:t>Riska kapitāla investīcijas nerada tirgus kropļošanas efektu. Tās paredzētas tikai komersantiem ar augstu inovāciju un riska pakāpi, neradot nepamatoti labvēlīgus apstākļus citiem komersantiem. Šīm aktivitātēm ir tieša un būtiska ietekme uz privātajām investīcijām R&amp;D.</w:t>
      </w:r>
    </w:p>
    <w:p w:rsidR="00BF6B8C" w:rsidRPr="00DB426E" w:rsidRDefault="00BF6B8C" w:rsidP="00BF6B8C">
      <w:pPr>
        <w:pStyle w:val="ListParagraph"/>
        <w:numPr>
          <w:ilvl w:val="0"/>
          <w:numId w:val="0"/>
        </w:numPr>
        <w:ind w:left="1440"/>
        <w:rPr>
          <w:lang w:val="lv-LV"/>
        </w:rPr>
      </w:pPr>
      <w:r w:rsidRPr="00DB426E">
        <w:rPr>
          <w:b/>
          <w:lang w:val="lv-LV"/>
        </w:rPr>
        <w:t>ES struktūrfondi</w:t>
      </w:r>
    </w:p>
    <w:p w:rsidR="00BF6B8C" w:rsidRPr="00DB426E" w:rsidRDefault="00BF6B8C" w:rsidP="00BF6B8C">
      <w:r w:rsidRPr="00DB426E">
        <w:t>Privāto investīciju sekmēšanu R&amp;D Lietuvā paredz divas ES struktūrfondu prioritātes:</w:t>
      </w:r>
    </w:p>
    <w:p w:rsidR="00BF6B8C" w:rsidRPr="00DB426E" w:rsidRDefault="00BF6B8C" w:rsidP="00BF6B8C">
      <w:r w:rsidRPr="00DB426E">
        <w:t>1. prioritāte. Konkurētspējas un produktivitātes izaugsme pārrobežu reģionā.</w:t>
      </w:r>
    </w:p>
    <w:p w:rsidR="00BF6B8C" w:rsidRPr="00DB426E" w:rsidRDefault="00BF6B8C" w:rsidP="00BF6B8C">
      <w:r w:rsidRPr="00DB426E">
        <w:t>Prioritātes aktivitātes ir:</w:t>
      </w:r>
    </w:p>
    <w:p w:rsidR="00BF6B8C" w:rsidRPr="00DB426E" w:rsidRDefault="00BF6B8C" w:rsidP="006C3F27">
      <w:pPr>
        <w:numPr>
          <w:ilvl w:val="0"/>
          <w:numId w:val="57"/>
        </w:numPr>
        <w:ind w:left="714" w:hanging="357"/>
        <w:contextualSpacing/>
      </w:pPr>
      <w:r w:rsidRPr="00DB426E">
        <w:t>Vietēja mēroga ekonomikas infrastruktūras modernizācija;</w:t>
      </w:r>
    </w:p>
    <w:p w:rsidR="00BF6B8C" w:rsidRPr="00DB426E" w:rsidRDefault="00BF6B8C" w:rsidP="006C3F27">
      <w:pPr>
        <w:numPr>
          <w:ilvl w:val="0"/>
          <w:numId w:val="57"/>
        </w:numPr>
        <w:ind w:left="714" w:hanging="357"/>
        <w:contextualSpacing/>
      </w:pPr>
      <w:r w:rsidRPr="00DB426E">
        <w:t>Biznesa vides attīstība;</w:t>
      </w:r>
    </w:p>
    <w:p w:rsidR="00BF6B8C" w:rsidRPr="00DB426E" w:rsidRDefault="00BF6B8C" w:rsidP="006C3F27">
      <w:pPr>
        <w:numPr>
          <w:ilvl w:val="0"/>
          <w:numId w:val="57"/>
        </w:numPr>
        <w:ind w:left="714" w:hanging="357"/>
        <w:contextualSpacing/>
      </w:pPr>
      <w:r w:rsidRPr="00DB426E">
        <w:t>Ilgtspējīga pārrobežu tūrisma attīstība un kultūrvēsturiskā mantojuma saglabāšana.</w:t>
      </w:r>
    </w:p>
    <w:p w:rsidR="00BF6B8C" w:rsidRPr="00DB426E" w:rsidRDefault="00BF6B8C" w:rsidP="006C3F27">
      <w:pPr>
        <w:numPr>
          <w:ilvl w:val="0"/>
          <w:numId w:val="57"/>
        </w:numPr>
        <w:ind w:left="714" w:hanging="357"/>
        <w:contextualSpacing/>
      </w:pPr>
      <w:r w:rsidRPr="00DB426E">
        <w:t>prioritāte. Pārrobežu kohēzija un vispārēji uzlabojumi pārrobežu teritorijā.</w:t>
      </w:r>
    </w:p>
    <w:p w:rsidR="00BF6B8C" w:rsidRPr="00DB426E" w:rsidRDefault="00BF6B8C" w:rsidP="006C3F27">
      <w:pPr>
        <w:numPr>
          <w:ilvl w:val="0"/>
          <w:numId w:val="57"/>
        </w:numPr>
        <w:ind w:left="714" w:hanging="357"/>
        <w:contextualSpacing/>
      </w:pPr>
      <w:r w:rsidRPr="00DB426E">
        <w:t>Esošo sociālo un kultūras tīklu attīstība un jaunu tīklu veidošana;</w:t>
      </w:r>
    </w:p>
    <w:p w:rsidR="00BF6B8C" w:rsidRPr="00DB426E" w:rsidRDefault="00BF6B8C" w:rsidP="006C3F27">
      <w:pPr>
        <w:numPr>
          <w:ilvl w:val="0"/>
          <w:numId w:val="57"/>
        </w:numPr>
        <w:ind w:left="714" w:hanging="357"/>
        <w:contextualSpacing/>
      </w:pPr>
      <w:r w:rsidRPr="00DB426E">
        <w:t>Dzīves vides uzlabošana.</w:t>
      </w:r>
    </w:p>
    <w:p w:rsidR="00BF6B8C" w:rsidRPr="00DB426E" w:rsidRDefault="00BF6B8C" w:rsidP="00BF6B8C">
      <w:pPr>
        <w:spacing w:before="240"/>
      </w:pPr>
      <w:r w:rsidRPr="00DB426E">
        <w:t xml:space="preserve">Pārrobežu programmu īstenošana, kas vērsta uz R&amp;D attīstību, neierobežo brīvo konkurenci. Programmas vērstas uz sadarbības veicināšanu, un paredzētas plašai komersantu mērķauditorijai. </w:t>
      </w:r>
    </w:p>
    <w:p w:rsidR="00BF6B8C" w:rsidRPr="00DB426E" w:rsidRDefault="00BF6B8C" w:rsidP="00BF6B8C">
      <w:r w:rsidRPr="00DB426E">
        <w:t>Būtiskākās iezīmes, kas Lietuvas R&amp;D atbalsta instrumentus atšķir no citu valstu atbalsta instrumentiem, ir koncentrēšanās uz atbalsta sniegšanu jaundibinātiem uzņēmumiem. Tādējādi tiek samazināts brīvās konkurences ierobežošanas risks, kā arī uzņēmumi tiek motivēti uzsākt R&amp;D aktivitātes maksimāli ātri – uzreiz pēc to dibināšanas. Otra raksturīpašība ir R&amp;D atbalsta mērķēšana augsto tehnoloģiju uzņēmumiem. Neskatoties uz šāda veida nozaru ierobežošanu, brīvā konkurence netiek ietekmēta. Tieši augsto tehnoloģiju uzņēmumi sniedz lielākās privātās investīcijas to attīstībā. Ņemot vērā nozaru augsto pievienoto vērtību un eksportspēju, šāda atbalsta mērķēšana ir pamatota.</w:t>
      </w:r>
    </w:p>
    <w:p w:rsidR="00BF6B8C" w:rsidRPr="00DB426E" w:rsidRDefault="00BF6B8C" w:rsidP="00BF6B8C">
      <w:pPr>
        <w:pStyle w:val="Heading3"/>
        <w:numPr>
          <w:ilvl w:val="2"/>
          <w:numId w:val="4"/>
        </w:numPr>
      </w:pPr>
      <w:bookmarkStart w:id="391" w:name="_Toc356472848"/>
      <w:bookmarkStart w:id="392" w:name="_Toc358978780"/>
      <w:r w:rsidRPr="00DB426E">
        <w:t>Igaunija</w:t>
      </w:r>
      <w:bookmarkEnd w:id="391"/>
      <w:bookmarkEnd w:id="392"/>
    </w:p>
    <w:p w:rsidR="00BF6B8C" w:rsidRPr="00DB426E" w:rsidRDefault="00BF6B8C" w:rsidP="00BF6B8C">
      <w:r w:rsidRPr="00DB426E">
        <w:t>Igaunija ir vienīgā Baltijas valsts, kura saskaņā ar „</w:t>
      </w:r>
      <w:proofErr w:type="spellStart"/>
      <w:r w:rsidR="009B0188">
        <w:fldChar w:fldCharType="begin"/>
      </w:r>
      <w:r w:rsidR="009B0188">
        <w:instrText xml:space="preserve"> HYPERLINK "http://ec.europa.eu/enterprise/policies/innovation/facts-figures-analysis/innovation-scoreboard/" </w:instrText>
      </w:r>
      <w:r w:rsidR="009B0188">
        <w:fldChar w:fldCharType="separate"/>
      </w:r>
      <w:r w:rsidRPr="00DB426E">
        <w:t>Innovation</w:t>
      </w:r>
      <w:proofErr w:type="spellEnd"/>
      <w:r w:rsidRPr="00DB426E">
        <w:t xml:space="preserve"> </w:t>
      </w:r>
      <w:proofErr w:type="spellStart"/>
      <w:r w:rsidRPr="00DB426E">
        <w:t>Union</w:t>
      </w:r>
      <w:proofErr w:type="spellEnd"/>
      <w:r w:rsidRPr="00DB426E">
        <w:t xml:space="preserve"> </w:t>
      </w:r>
      <w:proofErr w:type="spellStart"/>
      <w:r w:rsidRPr="00DB426E">
        <w:t>Scoreboard</w:t>
      </w:r>
      <w:proofErr w:type="spellEnd"/>
      <w:r w:rsidR="009B0188">
        <w:fldChar w:fldCharType="end"/>
      </w:r>
      <w:r w:rsidRPr="00DB426E">
        <w:t xml:space="preserve">” klasifikāciju ir inovāciju sekotājs; t. i., Igaunijas inovāciju rādītāji ir vidējā ES līmenī. Tāpēc Igaunijas labā prakse var būt piemērota ieviešanai Latvijā, sevišķi ņemot vērā līdzīgo nozaru sadalījumu un nozīmi tautsaimniecībās. Igaunija izmanto tiešus PTA stimulēšanas instrumentus - budžeta finansējumu, </w:t>
      </w:r>
      <w:proofErr w:type="spellStart"/>
      <w:r w:rsidRPr="00DB426E">
        <w:t>grantus</w:t>
      </w:r>
      <w:proofErr w:type="spellEnd"/>
      <w:r w:rsidRPr="00DB426E">
        <w:t xml:space="preserve">, valsts iepirkumus u.tml. </w:t>
      </w:r>
    </w:p>
    <w:p w:rsidR="00BF6B8C" w:rsidRPr="00DB426E" w:rsidRDefault="00BF6B8C" w:rsidP="00BF6B8C">
      <w:r w:rsidRPr="00DB426E">
        <w:t>Par investīciju aktivitāšu administrēšanu atbildīgā iestāde ir organizācija „</w:t>
      </w:r>
      <w:proofErr w:type="spellStart"/>
      <w:r w:rsidRPr="00DB426E">
        <w:t>Enterprise</w:t>
      </w:r>
      <w:proofErr w:type="spellEnd"/>
      <w:r w:rsidRPr="00DB426E">
        <w:t xml:space="preserve"> </w:t>
      </w:r>
      <w:proofErr w:type="spellStart"/>
      <w:r w:rsidRPr="00DB426E">
        <w:t>Estonia</w:t>
      </w:r>
      <w:proofErr w:type="spellEnd"/>
      <w:r w:rsidRPr="00DB426E">
        <w:t>”, kuras uzdevums ir sniegt finanšu palīdzību, biznesa konsultāciju pakalpojumus, veicināt uzņēmumu sadarbību un apmācības Igaunijas uzņēmumiem, zinātniskajām institūcijām, biedrībām, nodibinājumiem un bezpeļņas organizācijām.</w:t>
      </w:r>
    </w:p>
    <w:p w:rsidR="00BF6B8C" w:rsidRPr="00DB426E" w:rsidRDefault="00BF6B8C" w:rsidP="00BF6B8C">
      <w:r w:rsidRPr="00DB426E">
        <w:t>„</w:t>
      </w:r>
      <w:proofErr w:type="spellStart"/>
      <w:r w:rsidRPr="00DB426E">
        <w:t>Enterprise</w:t>
      </w:r>
      <w:proofErr w:type="spellEnd"/>
      <w:r w:rsidRPr="00DB426E">
        <w:t xml:space="preserve"> </w:t>
      </w:r>
      <w:proofErr w:type="spellStart"/>
      <w:r w:rsidRPr="00DB426E">
        <w:t>Estonia</w:t>
      </w:r>
      <w:proofErr w:type="spellEnd"/>
      <w:r w:rsidRPr="00DB426E">
        <w:t xml:space="preserve">” kopā ar Igaunijas Ekonomikas un Komunikāciju ministriju un uzņēmumu </w:t>
      </w:r>
      <w:proofErr w:type="spellStart"/>
      <w:r w:rsidRPr="00DB426E">
        <w:t>KredEx</w:t>
      </w:r>
      <w:proofErr w:type="spellEnd"/>
      <w:r w:rsidRPr="00DB426E">
        <w:t xml:space="preserve"> ir izstrādājusi Igaunijas uzņēmējdarbības un inovāciju politikas izvērtējumu.</w:t>
      </w:r>
      <w:r w:rsidRPr="00DB426E">
        <w:rPr>
          <w:rStyle w:val="FootnoteReference"/>
        </w:rPr>
        <w:footnoteReference w:id="42"/>
      </w:r>
      <w:r w:rsidRPr="00DB426E">
        <w:t xml:space="preserve"> Tieši šis izvērtējums vislabāk parāda to, kādi R&amp;D aktivitātes sekmējoši pasākumi Igaunijā tika veikti 2007. – 2013. g. plānošanas periodā, un kāda ir bijusi šo pasākumu ietekme.</w:t>
      </w:r>
    </w:p>
    <w:p w:rsidR="00BF6B8C" w:rsidRPr="00DB426E" w:rsidRDefault="00BF6B8C" w:rsidP="00BF6B8C">
      <w:pPr>
        <w:pStyle w:val="ListParagraph"/>
        <w:numPr>
          <w:ilvl w:val="0"/>
          <w:numId w:val="0"/>
        </w:numPr>
        <w:ind w:left="720"/>
        <w:rPr>
          <w:b/>
          <w:lang w:val="lv-LV"/>
        </w:rPr>
      </w:pPr>
      <w:r w:rsidRPr="00DB426E">
        <w:rPr>
          <w:b/>
          <w:lang w:val="lv-LV"/>
        </w:rPr>
        <w:t>Granti</w:t>
      </w:r>
    </w:p>
    <w:p w:rsidR="00BF6B8C" w:rsidRPr="00DB426E" w:rsidRDefault="00BF6B8C" w:rsidP="00BF6B8C">
      <w:r w:rsidRPr="00DB426E">
        <w:t xml:space="preserve">Granti ir viens no būtiskākajiem finanšu atbalsta instrumentiem Igaunijā. Statistikas dati liecina, ka uzņēmumos, kuriem tika izsniegti dažādi granti R&amp;D veicināšanai, pieauga pievienotā vērtība uz vienu darbinieku, taču samazinājās peļņas un apgrozījuma rādītāji. </w:t>
      </w:r>
    </w:p>
    <w:p w:rsidR="00BF6B8C" w:rsidRPr="00DB426E" w:rsidRDefault="00BF6B8C" w:rsidP="00BF6B8C">
      <w:r w:rsidRPr="00DB426E">
        <w:t>Savukārt granti, kuri tika izsniegti apmācību veikšanai un investīcijām tehnoloģijās, būtiski uzlaboja ražošanas uzņēmumu attīstības rādītājus – pieauga pievienotā vērtība uz darbinieku, peļņa, apgrozījums, kā arī pieauga darbaspēka izmaksas. Pozitīvu efektu uz ražošanas uzņēmumu peļņu un apgrozījumu atstāja arī eksporta aktivitātēm piešķirtie granti un granti, kuri tika izsniegti jaundibinātiem uzņēmumiem.</w:t>
      </w:r>
    </w:p>
    <w:p w:rsidR="00BF6B8C" w:rsidRPr="00DB426E" w:rsidRDefault="00BF6B8C" w:rsidP="00BF6B8C">
      <w:r w:rsidRPr="00DB426E">
        <w:t xml:space="preserve">Gandrīz visu </w:t>
      </w:r>
      <w:proofErr w:type="spellStart"/>
      <w:r w:rsidRPr="00DB426E">
        <w:t>grantu</w:t>
      </w:r>
      <w:proofErr w:type="spellEnd"/>
      <w:r w:rsidRPr="00DB426E">
        <w:t xml:space="preserve"> piešķiršanas rezultātā samazinājās darbinieku skaits. </w:t>
      </w:r>
      <w:proofErr w:type="spellStart"/>
      <w:r w:rsidRPr="00DB426E">
        <w:t>Mikro</w:t>
      </w:r>
      <w:proofErr w:type="spellEnd"/>
      <w:r w:rsidRPr="00DB426E">
        <w:t xml:space="preserve"> uzņēmumu rādītāji pēc </w:t>
      </w:r>
      <w:proofErr w:type="spellStart"/>
      <w:r w:rsidRPr="00DB426E">
        <w:t>grantu</w:t>
      </w:r>
      <w:proofErr w:type="spellEnd"/>
      <w:r w:rsidRPr="00DB426E">
        <w:t xml:space="preserve"> saņemšanas bija vissliktākie – to peļņa un apgrozījums pieauga vismazāk. Savukārt labākos rādītājus sasniedza lielie uzņēmumi. Darbinieku skaita pieaugums bija vērojams tikai lielajos uzņēmumos. Šāda situācija liecina par iespējamo brīvās konkurences ierobežošanu atbalsta sniegšanas brīdī. Lielajiem komersantiem </w:t>
      </w:r>
      <w:proofErr w:type="spellStart"/>
      <w:r w:rsidRPr="00DB426E">
        <w:t>granta</w:t>
      </w:r>
      <w:proofErr w:type="spellEnd"/>
      <w:r w:rsidRPr="00DB426E">
        <w:t xml:space="preserve"> saņemšanai tika radīta nepamatoti labvēlīga situācija, kas kavē MVU attīstību un veiksmīgu ieiešanu tirgū. </w:t>
      </w:r>
    </w:p>
    <w:p w:rsidR="00BF6B8C" w:rsidRPr="00DB426E" w:rsidRDefault="00BF6B8C" w:rsidP="00BF6B8C">
      <w:r w:rsidRPr="00DB426E">
        <w:t xml:space="preserve">Labākos rezultatīvos un ietekmes rādītājus pēc </w:t>
      </w:r>
      <w:proofErr w:type="spellStart"/>
      <w:r w:rsidRPr="00DB426E">
        <w:t>grantu</w:t>
      </w:r>
      <w:proofErr w:type="spellEnd"/>
      <w:r w:rsidRPr="00DB426E">
        <w:t xml:space="preserve"> saņemšanas uzrādīja datoru, elektronisko un optisko ierīču ražotāji. Labāko nozaru vidū bija arī mēbeļu ražošana, izmitināšanas pakalpojumi, u. c. pakalpojumu nozares. Datoru, elektronisko un optisko ierīču ražošanas nozares ir zinātņietilpīgas, līdz ar to šo nozaru straujā attīstība pēc R&amp;D stimulējošu </w:t>
      </w:r>
      <w:proofErr w:type="spellStart"/>
      <w:r w:rsidRPr="00DB426E">
        <w:t>grantu</w:t>
      </w:r>
      <w:proofErr w:type="spellEnd"/>
      <w:r w:rsidRPr="00DB426E">
        <w:t xml:space="preserve"> piešķiršanas ir likumsakarīga, un nerada brīvo konkurenci ierobežošanas draudus. Savukārt pakalpojumu nozares un mēbeļu ražošana var liecināt par tirgus kropļošanu: šajās nozarēs R&amp;D aktivitātēm ir mazāka nozīme nekā augsto tehnoloģiju nozarēs.</w:t>
      </w:r>
    </w:p>
    <w:p w:rsidR="00BF6B8C" w:rsidRPr="00DB426E" w:rsidRDefault="00BF6B8C" w:rsidP="00BF6B8C">
      <w:r w:rsidRPr="00DB426E">
        <w:t xml:space="preserve">Igaunijā tika īstenotas šādas </w:t>
      </w:r>
      <w:proofErr w:type="spellStart"/>
      <w:r w:rsidRPr="00DB426E">
        <w:t>grantu</w:t>
      </w:r>
      <w:proofErr w:type="spellEnd"/>
      <w:r w:rsidRPr="00DB426E">
        <w:t xml:space="preserve"> programmas, kuras tieši vai netieši veicina privātos ieguldījumus R&amp;D:</w:t>
      </w:r>
    </w:p>
    <w:p w:rsidR="00BF6B8C" w:rsidRPr="00DB426E" w:rsidRDefault="00BF6B8C" w:rsidP="00BF6B8C">
      <w:pPr>
        <w:pStyle w:val="ListParagraph"/>
        <w:numPr>
          <w:ilvl w:val="0"/>
          <w:numId w:val="0"/>
        </w:numPr>
        <w:ind w:left="720"/>
        <w:rPr>
          <w:b/>
          <w:lang w:val="lv-LV"/>
        </w:rPr>
      </w:pPr>
      <w:r w:rsidRPr="00DB426E">
        <w:rPr>
          <w:b/>
          <w:lang w:val="lv-LV"/>
        </w:rPr>
        <w:t xml:space="preserve">Izaugsmes grants jaundibinātiem uzņēmumiem. </w:t>
      </w:r>
    </w:p>
    <w:p w:rsidR="00BF6B8C" w:rsidRPr="00DB426E" w:rsidRDefault="00BF6B8C" w:rsidP="00BF6B8C">
      <w:proofErr w:type="spellStart"/>
      <w:r w:rsidRPr="00DB426E">
        <w:t>Granta</w:t>
      </w:r>
      <w:proofErr w:type="spellEnd"/>
      <w:r w:rsidRPr="00DB426E">
        <w:t xml:space="preserve"> mērķauditorija bija jaunie uzņēmumi, un </w:t>
      </w:r>
      <w:proofErr w:type="spellStart"/>
      <w:r w:rsidRPr="00DB426E">
        <w:t>grantu</w:t>
      </w:r>
      <w:proofErr w:type="spellEnd"/>
      <w:r w:rsidRPr="00DB426E">
        <w:t xml:space="preserve"> varēja saņemt uzņēmuma attīstības veicināšanai. </w:t>
      </w:r>
      <w:proofErr w:type="spellStart"/>
      <w:r w:rsidRPr="00DB426E">
        <w:t>Granta</w:t>
      </w:r>
      <w:proofErr w:type="spellEnd"/>
      <w:r w:rsidRPr="00DB426E">
        <w:t xml:space="preserve"> saņēmēji šo atbalstu vērtēja kā ļoti nozīmīgu to saimnieciskajā darbībā. </w:t>
      </w:r>
      <w:proofErr w:type="spellStart"/>
      <w:r w:rsidRPr="00DB426E">
        <w:t>Granta</w:t>
      </w:r>
      <w:proofErr w:type="spellEnd"/>
      <w:r w:rsidRPr="00DB426E">
        <w:t xml:space="preserve"> rezultātā tika sasniegti augsti rādītāji, tādi kā darbinieku skaita pieaugums, apgrozījums, eksporta apjoms, darbaspēka izmaksas un pievienotā vērtība uz darbinieku. Kā pozitīvs aspekts vērtējams obligāta biznesa plāna iesniegšana dalībai </w:t>
      </w:r>
      <w:proofErr w:type="spellStart"/>
      <w:r w:rsidRPr="00DB426E">
        <w:t>grantu</w:t>
      </w:r>
      <w:proofErr w:type="spellEnd"/>
      <w:r w:rsidRPr="00DB426E">
        <w:t xml:space="preserve"> programmā. Uzņēmēji atzina, ka šāda biznesa plāna izstrāde uzņēmējdarbības uzsākšanas posmā palīdzēja pieņemt stratēģiskos lēmumus. </w:t>
      </w:r>
      <w:proofErr w:type="spellStart"/>
      <w:r w:rsidRPr="00DB426E">
        <w:t>Grantu</w:t>
      </w:r>
      <w:proofErr w:type="spellEnd"/>
      <w:r w:rsidRPr="00DB426E">
        <w:t xml:space="preserve"> programmai bija netieša ietekme uz privāto ieguldījumu R&amp;D veikšanu. </w:t>
      </w:r>
    </w:p>
    <w:p w:rsidR="00BF6B8C" w:rsidRPr="00DB426E" w:rsidRDefault="00BF6B8C" w:rsidP="00BF6B8C">
      <w:pPr>
        <w:pStyle w:val="ListParagraph"/>
        <w:numPr>
          <w:ilvl w:val="0"/>
          <w:numId w:val="0"/>
        </w:numPr>
        <w:ind w:left="720"/>
        <w:rPr>
          <w:lang w:val="lv-LV"/>
        </w:rPr>
      </w:pPr>
      <w:r w:rsidRPr="00DB426E">
        <w:rPr>
          <w:b/>
          <w:lang w:val="lv-LV"/>
        </w:rPr>
        <w:t>Eksporta plāna programmas grants.</w:t>
      </w:r>
      <w:r w:rsidRPr="00DB426E">
        <w:rPr>
          <w:lang w:val="lv-LV"/>
        </w:rPr>
        <w:t xml:space="preserve"> </w:t>
      </w:r>
    </w:p>
    <w:p w:rsidR="00BF6B8C" w:rsidRPr="00DB426E" w:rsidRDefault="00BF6B8C" w:rsidP="00BF6B8C">
      <w:r w:rsidRPr="00DB426E">
        <w:t xml:space="preserve">Vienīgais rādītājs, kas visiem </w:t>
      </w:r>
      <w:proofErr w:type="spellStart"/>
      <w:r w:rsidRPr="00DB426E">
        <w:t>granta</w:t>
      </w:r>
      <w:proofErr w:type="spellEnd"/>
      <w:r w:rsidRPr="00DB426E">
        <w:t xml:space="preserve"> saņēmējiem uzlabojās, bija peļņa. Tikai daļai projektu iesniedzēju pieauga peļņas rādītājs no eksporta aktivitātēm. </w:t>
      </w:r>
      <w:proofErr w:type="spellStart"/>
      <w:r w:rsidRPr="00DB426E">
        <w:t>Granta</w:t>
      </w:r>
      <w:proofErr w:type="spellEnd"/>
      <w:r w:rsidRPr="00DB426E">
        <w:t xml:space="preserve"> saņēmēju būtiskākie ieguvumi bija iespēja ātrāk apgūt jaunus ārējos tirgus, nekā tas būtu bez </w:t>
      </w:r>
      <w:proofErr w:type="spellStart"/>
      <w:r w:rsidRPr="00DB426E">
        <w:t>granta</w:t>
      </w:r>
      <w:proofErr w:type="spellEnd"/>
      <w:r w:rsidRPr="00DB426E">
        <w:t xml:space="preserve">, kā arī iespēja palikt tirgos ekonomiskās recesijas periodā un tās laikā veikt darbinieku apmācības. Atbalsts saņēmēji šo programmu vērtē kā vidēji efektīvu. </w:t>
      </w:r>
      <w:proofErr w:type="spellStart"/>
      <w:r w:rsidRPr="00DB426E">
        <w:t>Grantu</w:t>
      </w:r>
      <w:proofErr w:type="spellEnd"/>
      <w:r w:rsidRPr="00DB426E">
        <w:t xml:space="preserve"> programmai bija netieša ietekme uz privāto ieguldījumu R&amp;D veikšanu.</w:t>
      </w:r>
    </w:p>
    <w:p w:rsidR="00BF6B8C" w:rsidRPr="00DB426E" w:rsidRDefault="00BF6B8C" w:rsidP="00BF6B8C">
      <w:pPr>
        <w:pStyle w:val="ListParagraph"/>
        <w:numPr>
          <w:ilvl w:val="0"/>
          <w:numId w:val="0"/>
        </w:numPr>
        <w:ind w:left="720"/>
        <w:rPr>
          <w:lang w:val="lv-LV"/>
        </w:rPr>
      </w:pPr>
      <w:r w:rsidRPr="00DB426E">
        <w:rPr>
          <w:b/>
          <w:lang w:val="lv-LV"/>
        </w:rPr>
        <w:t xml:space="preserve">Zināšanu un prasmju grants. </w:t>
      </w:r>
    </w:p>
    <w:p w:rsidR="00BF6B8C" w:rsidRPr="00DB426E" w:rsidRDefault="00BF6B8C" w:rsidP="00BF6B8C">
      <w:proofErr w:type="spellStart"/>
      <w:r w:rsidRPr="00DB426E">
        <w:t>Granta</w:t>
      </w:r>
      <w:proofErr w:type="spellEnd"/>
      <w:r w:rsidRPr="00DB426E">
        <w:t xml:space="preserve"> mērķis bija sekmēt tirgus dalībnieku darbaspēka zināšanu un prasmju pilnveidošanu. Tā saņēmēji novērtēja atbalsta pasākumu kā ļoti efektīvu. </w:t>
      </w:r>
      <w:proofErr w:type="spellStart"/>
      <w:r w:rsidRPr="00DB426E">
        <w:t>Granta</w:t>
      </w:r>
      <w:proofErr w:type="spellEnd"/>
      <w:r w:rsidRPr="00DB426E">
        <w:t xml:space="preserve"> saņemšanas rezultātā komersantiem uzlabojās tādi rādītāji kā peļņa, apgrozījums, ieņēmumi no eksporta un darbinieku skaits. Atbalsta saņēmēji atzina, ka bez </w:t>
      </w:r>
      <w:proofErr w:type="spellStart"/>
      <w:r w:rsidRPr="00DB426E">
        <w:t>granta</w:t>
      </w:r>
      <w:proofErr w:type="spellEnd"/>
      <w:r w:rsidRPr="00DB426E">
        <w:t xml:space="preserve"> tie nebūtu veikuši ieguldījumus darbinieku apmācībās. </w:t>
      </w:r>
      <w:proofErr w:type="spellStart"/>
      <w:r w:rsidRPr="00DB426E">
        <w:t>Grantu</w:t>
      </w:r>
      <w:proofErr w:type="spellEnd"/>
      <w:r w:rsidRPr="00DB426E">
        <w:t xml:space="preserve"> programmai bija netieša ietekme uz privāto ieguldījumu R&amp;D veikšanu.</w:t>
      </w:r>
    </w:p>
    <w:p w:rsidR="00BF6B8C" w:rsidRPr="00DB426E" w:rsidRDefault="00BF6B8C" w:rsidP="00BF6B8C">
      <w:pPr>
        <w:pStyle w:val="ListParagraph"/>
        <w:numPr>
          <w:ilvl w:val="0"/>
          <w:numId w:val="0"/>
        </w:numPr>
        <w:ind w:left="720"/>
        <w:rPr>
          <w:b/>
          <w:lang w:val="lv-LV"/>
        </w:rPr>
      </w:pPr>
      <w:r w:rsidRPr="00DB426E">
        <w:rPr>
          <w:b/>
          <w:lang w:val="lv-LV"/>
        </w:rPr>
        <w:t>Tehnoloģiju investīciju grants.</w:t>
      </w:r>
    </w:p>
    <w:p w:rsidR="00BF6B8C" w:rsidRPr="00DB426E" w:rsidRDefault="00BF6B8C" w:rsidP="00BF6B8C">
      <w:r w:rsidRPr="00DB426E">
        <w:t xml:space="preserve">Arī šo </w:t>
      </w:r>
      <w:proofErr w:type="spellStart"/>
      <w:r w:rsidRPr="00DB426E">
        <w:t>grantu</w:t>
      </w:r>
      <w:proofErr w:type="spellEnd"/>
      <w:r w:rsidRPr="00DB426E">
        <w:t xml:space="preserve"> tā saņēmēji novērtēja kā ļoti efektīvu. Tā rezultātā uzņēmumos uzlabojās tādi rādītāji kā peļņa, apgrozījums, pievienotā vērtība uz darbinieku, darbaspēka izmaksas un ieņēmumi no eksporta. </w:t>
      </w:r>
      <w:proofErr w:type="spellStart"/>
      <w:r w:rsidRPr="00DB426E">
        <w:t>Grantu</w:t>
      </w:r>
      <w:proofErr w:type="spellEnd"/>
      <w:r w:rsidRPr="00DB426E">
        <w:t xml:space="preserve"> programmai bija netieša ietekme uz privāto ieguldījumu R&amp;D veikšanu. </w:t>
      </w:r>
      <w:proofErr w:type="spellStart"/>
      <w:r w:rsidRPr="00DB426E">
        <w:t>Grantu</w:t>
      </w:r>
      <w:proofErr w:type="spellEnd"/>
      <w:r w:rsidRPr="00DB426E">
        <w:t xml:space="preserve"> varēja saņemt arī ražošanas tehnoloģiju iegādei, kas netieši ir saistīts ar R&amp;D aktivitātēm. </w:t>
      </w:r>
    </w:p>
    <w:p w:rsidR="00BF6B8C" w:rsidRPr="00DB426E" w:rsidRDefault="00BF6B8C" w:rsidP="00BF6B8C">
      <w:pPr>
        <w:pStyle w:val="ListParagraph"/>
        <w:numPr>
          <w:ilvl w:val="0"/>
          <w:numId w:val="0"/>
        </w:numPr>
        <w:ind w:left="720"/>
        <w:rPr>
          <w:b/>
          <w:lang w:val="lv-LV"/>
        </w:rPr>
      </w:pPr>
      <w:r w:rsidRPr="00DB426E">
        <w:rPr>
          <w:b/>
          <w:lang w:val="lv-LV"/>
        </w:rPr>
        <w:t>R&amp;D grants.</w:t>
      </w:r>
    </w:p>
    <w:p w:rsidR="00BF6B8C" w:rsidRPr="00DB426E" w:rsidRDefault="00BF6B8C" w:rsidP="00BF6B8C">
      <w:r w:rsidRPr="00DB426E">
        <w:t xml:space="preserve">Atbalsta instrumenta mērķis bija inovāciju attīstība. </w:t>
      </w:r>
      <w:proofErr w:type="spellStart"/>
      <w:r w:rsidRPr="00DB426E">
        <w:t>Grantu</w:t>
      </w:r>
      <w:proofErr w:type="spellEnd"/>
      <w:r w:rsidRPr="00DB426E">
        <w:t xml:space="preserve"> komersanti novērtēja kā ļoti efektīvu. Tā rezultātā uzņēmumos uzlabojās tādi rādītāji kā apgrozījums, pievienotā vērtība uz darbinieku, darbaspēka izmaksas un ieņēmumi no eksporta. Savukārt uzņēmumu peļņa samazinājās. Vairums atbalsta saņēmēju atzina, ka bez šāda atbalsta tie nebūtu īstenojuši projekta aktivitātes. Sasniegtie rezultāti – peļņas samazināšanās komersantiem – var liecināt par iespējamajiem brīvo konkurenci ierobežojošiem nosacījumiem. </w:t>
      </w:r>
    </w:p>
    <w:p w:rsidR="00BF6B8C" w:rsidRPr="00DB426E" w:rsidRDefault="00BF6B8C" w:rsidP="00BF6B8C">
      <w:proofErr w:type="spellStart"/>
      <w:r w:rsidRPr="00DB426E">
        <w:t>Grantu</w:t>
      </w:r>
      <w:proofErr w:type="spellEnd"/>
      <w:r w:rsidRPr="00DB426E">
        <w:t xml:space="preserve"> programmai bija tieša ietekme uz privāto ieguldījumu R&amp;D veikšanu. </w:t>
      </w:r>
    </w:p>
    <w:p w:rsidR="00BF6B8C" w:rsidRPr="00DB426E" w:rsidRDefault="00BF6B8C" w:rsidP="00BF6B8C">
      <w:pPr>
        <w:pStyle w:val="ListParagraph"/>
        <w:numPr>
          <w:ilvl w:val="0"/>
          <w:numId w:val="0"/>
        </w:numPr>
        <w:ind w:left="720"/>
        <w:rPr>
          <w:b/>
          <w:lang w:val="lv-LV"/>
        </w:rPr>
      </w:pPr>
      <w:r w:rsidRPr="00DB426E">
        <w:rPr>
          <w:b/>
          <w:lang w:val="lv-LV"/>
        </w:rPr>
        <w:t xml:space="preserve">Tūrisma grants. </w:t>
      </w:r>
    </w:p>
    <w:p w:rsidR="00BF6B8C" w:rsidRPr="00DB426E" w:rsidRDefault="00BF6B8C" w:rsidP="00BF6B8C">
      <w:proofErr w:type="spellStart"/>
      <w:r w:rsidRPr="00DB426E">
        <w:t>Grantam</w:t>
      </w:r>
      <w:proofErr w:type="spellEnd"/>
      <w:r w:rsidRPr="00DB426E">
        <w:t xml:space="preserve"> nav ietekmes uz privātajiem ieguldījumiem R&amp;D. Tā īstenošana neparedz ar pētniecību un attīstību saistītu mērķu sasniegšanu.</w:t>
      </w:r>
    </w:p>
    <w:p w:rsidR="00BF6B8C" w:rsidRPr="00DB426E" w:rsidRDefault="00BF6B8C" w:rsidP="00BF6B8C">
      <w:r w:rsidRPr="00DB426E">
        <w:t xml:space="preserve">Igaunijas atbalsta pasākumi uzņēmējiem būtiski atšķiras no Latvijas un citām Eiropas valstīm. Dominējošais atbalsta veids ir granti. Lai gan Igaunijā eksistē arī valsts garantētie kredīti (to starpnieks ir </w:t>
      </w:r>
      <w:proofErr w:type="spellStart"/>
      <w:r w:rsidRPr="00DB426E">
        <w:t>KredEx</w:t>
      </w:r>
      <w:proofErr w:type="spellEnd"/>
      <w:r w:rsidRPr="00DB426E">
        <w:t>), u. c. atbalsta instrumenti, tie tieši neietekmē investīciju veikšanu R&amp;D, un to mērķi neparedz R&amp;D sekmēšanu. Tiešu PTA stimulēšanas instrumentu izmantošana, iespējams, vislabāk sekmē R&amp;D attīstību un privāto investīciju veikšanu, jo tieši valstis ar šādu atbalsta sniegšanas sistēmu ir ES inovāciju līderi un sekotāji.</w:t>
      </w:r>
    </w:p>
    <w:p w:rsidR="00BF6B8C" w:rsidRPr="00DB426E" w:rsidRDefault="00BF6B8C" w:rsidP="00BF6B8C">
      <w:pPr>
        <w:pStyle w:val="Heading3"/>
        <w:numPr>
          <w:ilvl w:val="2"/>
          <w:numId w:val="4"/>
        </w:numPr>
      </w:pPr>
      <w:bookmarkStart w:id="393" w:name="_Toc356472849"/>
      <w:bookmarkStart w:id="394" w:name="_Toc358978781"/>
      <w:r w:rsidRPr="00DB426E">
        <w:t>Grieķija</w:t>
      </w:r>
      <w:bookmarkEnd w:id="393"/>
      <w:bookmarkEnd w:id="394"/>
    </w:p>
    <w:p w:rsidR="00BF6B8C" w:rsidRPr="00DB426E" w:rsidRDefault="00BF6B8C" w:rsidP="00BF6B8C">
      <w:r w:rsidRPr="00DB426E">
        <w:t xml:space="preserve">Grieķija ietilpst mēreno </w:t>
      </w:r>
      <w:proofErr w:type="spellStart"/>
      <w:r w:rsidRPr="00DB426E">
        <w:t>inovatoru</w:t>
      </w:r>
      <w:proofErr w:type="spellEnd"/>
      <w:r w:rsidRPr="00DB426E">
        <w:t xml:space="preserve"> kategorijā, un tās inovāciju rādītāji ir zemāki par vidējo rādītāju ES. Vadošās Grieķijas nozares ir tūrisms, kuģniecība, pārtikas ražošana un tabakas izstrādājumu ražošana. Tās būtiski atšķiras no Baltijas valstu tradicionālajām nozarēm. 2013. gadā oficiālais bezdarba līmenis valstī bija 27% - krietni virs vidējā ES līmeņa.</w:t>
      </w:r>
      <w:r w:rsidRPr="00DB426E">
        <w:rPr>
          <w:rStyle w:val="FootnoteReference"/>
        </w:rPr>
        <w:footnoteReference w:id="43"/>
      </w:r>
    </w:p>
    <w:p w:rsidR="00BF6B8C" w:rsidRPr="00DB426E" w:rsidRDefault="00BF6B8C" w:rsidP="00BF6B8C">
      <w:r w:rsidRPr="00DB426E">
        <w:t>Valsts oficiālā investīciju atbalsta aģentūra ir „</w:t>
      </w:r>
      <w:proofErr w:type="spellStart"/>
      <w:r w:rsidRPr="00DB426E">
        <w:t>Invest</w:t>
      </w:r>
      <w:proofErr w:type="spellEnd"/>
      <w:r w:rsidRPr="00DB426E">
        <w:t xml:space="preserve"> </w:t>
      </w:r>
      <w:proofErr w:type="spellStart"/>
      <w:r w:rsidRPr="00DB426E">
        <w:t>in</w:t>
      </w:r>
      <w:proofErr w:type="spellEnd"/>
      <w:r w:rsidRPr="00DB426E">
        <w:t xml:space="preserve"> </w:t>
      </w:r>
      <w:proofErr w:type="spellStart"/>
      <w:r w:rsidRPr="00DB426E">
        <w:t>Greece</w:t>
      </w:r>
      <w:proofErr w:type="spellEnd"/>
      <w:r w:rsidRPr="00DB426E">
        <w:t>”</w:t>
      </w:r>
      <w:r w:rsidRPr="00DB426E">
        <w:rPr>
          <w:rStyle w:val="FootnoteReference"/>
        </w:rPr>
        <w:footnoteReference w:id="44"/>
      </w:r>
      <w:r w:rsidRPr="00DB426E">
        <w:t>. Privāto investīciju veikšanu Grieķijā regulē likums „Stratēģisko investīciju pieejamības un caurskatāmības likums”, par kura ieviešanu arī atbildīga ir aģentūra „</w:t>
      </w:r>
      <w:proofErr w:type="spellStart"/>
      <w:r w:rsidRPr="00DB426E">
        <w:t>Invest</w:t>
      </w:r>
      <w:proofErr w:type="spellEnd"/>
      <w:r w:rsidRPr="00DB426E">
        <w:t xml:space="preserve"> </w:t>
      </w:r>
      <w:proofErr w:type="spellStart"/>
      <w:r w:rsidRPr="00DB426E">
        <w:t>in</w:t>
      </w:r>
      <w:proofErr w:type="spellEnd"/>
      <w:r w:rsidRPr="00DB426E">
        <w:t xml:space="preserve"> </w:t>
      </w:r>
      <w:proofErr w:type="spellStart"/>
      <w:r w:rsidRPr="00DB426E">
        <w:t>Greece</w:t>
      </w:r>
      <w:proofErr w:type="spellEnd"/>
      <w:r w:rsidRPr="00DB426E">
        <w:t xml:space="preserve">”. </w:t>
      </w:r>
    </w:p>
    <w:p w:rsidR="00BF6B8C" w:rsidRPr="00DB426E" w:rsidRDefault="00BF6B8C" w:rsidP="00BF6B8C">
      <w:r w:rsidRPr="00DB426E">
        <w:t>Aģentūras sniegtie pakalpojumi ir:</w:t>
      </w:r>
    </w:p>
    <w:p w:rsidR="00BF6B8C" w:rsidRPr="00DB426E" w:rsidRDefault="00BF6B8C" w:rsidP="006C3F27">
      <w:pPr>
        <w:numPr>
          <w:ilvl w:val="0"/>
          <w:numId w:val="58"/>
        </w:numPr>
        <w:ind w:left="714" w:hanging="357"/>
        <w:contextualSpacing/>
      </w:pPr>
      <w:r w:rsidRPr="00DB426E">
        <w:t>Investīciju iespēju apzināšana;</w:t>
      </w:r>
    </w:p>
    <w:p w:rsidR="00BF6B8C" w:rsidRPr="00DB426E" w:rsidRDefault="00BF6B8C" w:rsidP="006C3F27">
      <w:pPr>
        <w:numPr>
          <w:ilvl w:val="0"/>
          <w:numId w:val="58"/>
        </w:numPr>
        <w:ind w:left="714" w:hanging="357"/>
        <w:contextualSpacing/>
      </w:pPr>
      <w:r w:rsidRPr="00DB426E">
        <w:t>Konsultāciju sniegšana uzņēmējiem par atbalsta pieejamību;</w:t>
      </w:r>
    </w:p>
    <w:p w:rsidR="00BF6B8C" w:rsidRPr="00DB426E" w:rsidRDefault="00BF6B8C" w:rsidP="006C3F27">
      <w:pPr>
        <w:numPr>
          <w:ilvl w:val="0"/>
          <w:numId w:val="58"/>
        </w:numPr>
        <w:ind w:left="714" w:hanging="357"/>
        <w:contextualSpacing/>
      </w:pPr>
      <w:r w:rsidRPr="00DB426E">
        <w:t>Potenciālo sadarbības partneru apzināšana;</w:t>
      </w:r>
    </w:p>
    <w:p w:rsidR="00BF6B8C" w:rsidRPr="00DB426E" w:rsidRDefault="00BF6B8C" w:rsidP="006C3F27">
      <w:pPr>
        <w:numPr>
          <w:ilvl w:val="0"/>
          <w:numId w:val="58"/>
        </w:numPr>
        <w:ind w:left="714" w:hanging="357"/>
        <w:contextualSpacing/>
      </w:pPr>
      <w:r w:rsidRPr="00DB426E">
        <w:t>Juridisko konsultāciju sniegšana;</w:t>
      </w:r>
    </w:p>
    <w:p w:rsidR="00BF6B8C" w:rsidRPr="00DB426E" w:rsidRDefault="00BF6B8C" w:rsidP="006C3F27">
      <w:pPr>
        <w:numPr>
          <w:ilvl w:val="0"/>
          <w:numId w:val="58"/>
        </w:numPr>
        <w:ind w:left="714" w:hanging="357"/>
        <w:contextualSpacing/>
      </w:pPr>
      <w:r w:rsidRPr="00DB426E">
        <w:t>Atbalsta saņemšanas nosacījumu definēšana.</w:t>
      </w:r>
    </w:p>
    <w:p w:rsidR="00BF6B8C" w:rsidRPr="00DB426E" w:rsidRDefault="00BF6B8C" w:rsidP="00BF6B8C">
      <w:r w:rsidRPr="00DB426E">
        <w:t>Visi pakalpojumi ir bezmaksas.</w:t>
      </w:r>
    </w:p>
    <w:p w:rsidR="00BF6B8C" w:rsidRPr="00DB426E" w:rsidRDefault="00BF6B8C" w:rsidP="00BF6B8C">
      <w:r w:rsidRPr="00DB426E">
        <w:t xml:space="preserve">Grieķijā 2013. gadā tika ieviests jauns likums „Investīciju stimulēšanas likums”, kura mērķis ir palielināt likviditāti, veicināt investīciju procedūru, veicināt godīgu konkurenci un nodrošināt investīciju caurskatāmību. </w:t>
      </w:r>
    </w:p>
    <w:p w:rsidR="00BF6B8C" w:rsidRPr="00DB426E" w:rsidRDefault="00BF6B8C" w:rsidP="00BF6B8C">
      <w:r w:rsidRPr="00DB426E">
        <w:t>Par stratēģiskajām investīcijām likuma kontekstā tiek uzskatītas šādas investīcijas:</w:t>
      </w:r>
    </w:p>
    <w:p w:rsidR="00BF6B8C" w:rsidRPr="00DB426E" w:rsidRDefault="00BF6B8C" w:rsidP="006C3F27">
      <w:pPr>
        <w:numPr>
          <w:ilvl w:val="0"/>
          <w:numId w:val="59"/>
        </w:numPr>
        <w:ind w:left="714" w:hanging="357"/>
        <w:contextualSpacing/>
      </w:pPr>
      <w:r w:rsidRPr="00DB426E">
        <w:t>Kopējais investīciju apjoms pārsniedz 100 miljonus eiro, neatkarīgi no investīciju veida;</w:t>
      </w:r>
    </w:p>
    <w:p w:rsidR="00BF6B8C" w:rsidRPr="00DB426E" w:rsidRDefault="00BF6B8C" w:rsidP="006C3F27">
      <w:pPr>
        <w:numPr>
          <w:ilvl w:val="0"/>
          <w:numId w:val="59"/>
        </w:numPr>
        <w:ind w:left="714" w:hanging="357"/>
        <w:contextualSpacing/>
      </w:pPr>
      <w:r w:rsidRPr="00DB426E">
        <w:t>Kopējais industriālo investīciju apjoms uzņēmumos ar jau izveidotu infrastruktūru pārsniedz 15 miljonus eiro (industriālās zonas, industriālie parki);</w:t>
      </w:r>
    </w:p>
    <w:p w:rsidR="00BF6B8C" w:rsidRPr="00DB426E" w:rsidRDefault="00BF6B8C" w:rsidP="006C3F27">
      <w:pPr>
        <w:numPr>
          <w:ilvl w:val="0"/>
          <w:numId w:val="59"/>
        </w:numPr>
        <w:ind w:left="714" w:hanging="357"/>
        <w:contextualSpacing/>
      </w:pPr>
      <w:r w:rsidRPr="00DB426E">
        <w:t>Kopējais investīciju apjoms iniciatīvā „</w:t>
      </w:r>
      <w:proofErr w:type="spellStart"/>
      <w:r w:rsidRPr="00DB426E">
        <w:t>Jessica</w:t>
      </w:r>
      <w:proofErr w:type="spellEnd"/>
      <w:r w:rsidRPr="00DB426E">
        <w:t>” pārsniedz 3 miljonus eiro;</w:t>
      </w:r>
    </w:p>
    <w:p w:rsidR="00BF6B8C" w:rsidRPr="00DB426E" w:rsidRDefault="00BF6B8C" w:rsidP="006C3F27">
      <w:pPr>
        <w:numPr>
          <w:ilvl w:val="0"/>
          <w:numId w:val="59"/>
        </w:numPr>
        <w:ind w:left="714" w:hanging="357"/>
        <w:contextualSpacing/>
      </w:pPr>
      <w:r w:rsidRPr="00DB426E">
        <w:t>Kopējais investīciju apjoms pārsniedz 40 miljonus eiro un tiek radītas vismaz 120 jaunas darba vietas;</w:t>
      </w:r>
    </w:p>
    <w:p w:rsidR="00BF6B8C" w:rsidRPr="00DB426E" w:rsidRDefault="00BF6B8C" w:rsidP="006C3F27">
      <w:pPr>
        <w:numPr>
          <w:ilvl w:val="0"/>
          <w:numId w:val="59"/>
        </w:numPr>
        <w:ind w:left="714" w:hanging="357"/>
        <w:contextualSpacing/>
      </w:pPr>
      <w:r w:rsidRPr="00DB426E">
        <w:t xml:space="preserve">Biznesa parku attīstībai paredzētais kopējais investīciju apjoms pārsniedz 5 miljonus eiro. </w:t>
      </w:r>
    </w:p>
    <w:p w:rsidR="00BF6B8C" w:rsidRPr="00DB426E" w:rsidRDefault="00BF6B8C" w:rsidP="00BF6B8C">
      <w:pPr>
        <w:spacing w:before="240"/>
      </w:pPr>
      <w:r w:rsidRPr="00DB426E">
        <w:t>„Investīciju stimulēšanas likuma” ieviešanas rezultātā ir plānots veikt šādus uzdevumus:</w:t>
      </w:r>
    </w:p>
    <w:p w:rsidR="00BF6B8C" w:rsidRPr="00DB426E" w:rsidRDefault="00BF6B8C" w:rsidP="006C3F27">
      <w:pPr>
        <w:numPr>
          <w:ilvl w:val="0"/>
          <w:numId w:val="60"/>
        </w:numPr>
        <w:ind w:left="714" w:hanging="357"/>
        <w:contextualSpacing/>
      </w:pPr>
      <w:r w:rsidRPr="00DB426E">
        <w:t>Atbalstīt ienesīgus investīciju projektus;</w:t>
      </w:r>
    </w:p>
    <w:p w:rsidR="00BF6B8C" w:rsidRPr="00DB426E" w:rsidRDefault="00BF6B8C" w:rsidP="006C3F27">
      <w:pPr>
        <w:numPr>
          <w:ilvl w:val="0"/>
          <w:numId w:val="60"/>
        </w:numPr>
        <w:ind w:left="714" w:hanging="357"/>
        <w:contextualSpacing/>
      </w:pPr>
      <w:r w:rsidRPr="00DB426E">
        <w:t>Atbalstīt inovāciju un augsto tehnoloģiju projektus;</w:t>
      </w:r>
    </w:p>
    <w:p w:rsidR="00BF6B8C" w:rsidRPr="00DB426E" w:rsidRDefault="00BF6B8C" w:rsidP="006C3F27">
      <w:pPr>
        <w:numPr>
          <w:ilvl w:val="0"/>
          <w:numId w:val="60"/>
        </w:numPr>
        <w:ind w:left="714" w:hanging="357"/>
        <w:contextualSpacing/>
      </w:pPr>
      <w:r w:rsidRPr="00DB426E">
        <w:t>Mazināt reģionu atpalicību;</w:t>
      </w:r>
    </w:p>
    <w:p w:rsidR="00BF6B8C" w:rsidRPr="00DB426E" w:rsidRDefault="00BF6B8C" w:rsidP="006C3F27">
      <w:pPr>
        <w:numPr>
          <w:ilvl w:val="0"/>
          <w:numId w:val="60"/>
        </w:numPr>
        <w:ind w:left="714" w:hanging="357"/>
        <w:contextualSpacing/>
      </w:pPr>
      <w:r w:rsidRPr="00DB426E">
        <w:t>Stiprināt sociālo kohēziju;</w:t>
      </w:r>
    </w:p>
    <w:p w:rsidR="00BF6B8C" w:rsidRPr="00DB426E" w:rsidRDefault="00BF6B8C" w:rsidP="006C3F27">
      <w:pPr>
        <w:numPr>
          <w:ilvl w:val="0"/>
          <w:numId w:val="60"/>
        </w:numPr>
        <w:ind w:left="714" w:hanging="357"/>
        <w:contextualSpacing/>
      </w:pPr>
      <w:r w:rsidRPr="00DB426E">
        <w:t>Veicināt klasteru izveidi;</w:t>
      </w:r>
    </w:p>
    <w:p w:rsidR="00BF6B8C" w:rsidRPr="00DB426E" w:rsidRDefault="00BF6B8C" w:rsidP="006C3F27">
      <w:pPr>
        <w:numPr>
          <w:ilvl w:val="0"/>
          <w:numId w:val="60"/>
        </w:numPr>
        <w:ind w:left="714" w:hanging="357"/>
        <w:contextualSpacing/>
      </w:pPr>
      <w:r w:rsidRPr="00DB426E">
        <w:t>Veicināt esošo uzņēmumu restrukturizāciju;</w:t>
      </w:r>
    </w:p>
    <w:p w:rsidR="00BF6B8C" w:rsidRPr="00DB426E" w:rsidRDefault="00BF6B8C" w:rsidP="006C3F27">
      <w:pPr>
        <w:numPr>
          <w:ilvl w:val="0"/>
          <w:numId w:val="60"/>
        </w:numPr>
        <w:ind w:left="714" w:hanging="357"/>
        <w:contextualSpacing/>
      </w:pPr>
      <w:r w:rsidRPr="00DB426E">
        <w:t>Piesaistīt liela apjoma investīcijas;</w:t>
      </w:r>
    </w:p>
    <w:p w:rsidR="00BF6B8C" w:rsidRPr="00DB426E" w:rsidRDefault="00BF6B8C" w:rsidP="006C3F27">
      <w:pPr>
        <w:numPr>
          <w:ilvl w:val="0"/>
          <w:numId w:val="60"/>
        </w:numPr>
        <w:ind w:left="714" w:hanging="357"/>
        <w:contextualSpacing/>
      </w:pPr>
      <w:r w:rsidRPr="00DB426E">
        <w:t>Veicināt jaunu uzņēmumu veidošanos;</w:t>
      </w:r>
    </w:p>
    <w:p w:rsidR="00BF6B8C" w:rsidRPr="00DB426E" w:rsidRDefault="00BF6B8C" w:rsidP="006C3F27">
      <w:pPr>
        <w:numPr>
          <w:ilvl w:val="0"/>
          <w:numId w:val="60"/>
        </w:numPr>
        <w:ind w:left="714" w:hanging="357"/>
        <w:contextualSpacing/>
      </w:pPr>
      <w:r w:rsidRPr="00DB426E">
        <w:t>Veicināt jauniešu uzņēmējdarbību;</w:t>
      </w:r>
    </w:p>
    <w:p w:rsidR="00BF6B8C" w:rsidRPr="00DB426E" w:rsidRDefault="00BF6B8C" w:rsidP="006C3F27">
      <w:pPr>
        <w:numPr>
          <w:ilvl w:val="0"/>
          <w:numId w:val="60"/>
        </w:numPr>
        <w:ind w:left="714" w:hanging="357"/>
        <w:contextualSpacing/>
      </w:pPr>
      <w:r w:rsidRPr="00DB426E">
        <w:t>Celt uzņēmumu konkurētspēju;</w:t>
      </w:r>
    </w:p>
    <w:p w:rsidR="00BF6B8C" w:rsidRPr="00DB426E" w:rsidRDefault="00BF6B8C" w:rsidP="006C3F27">
      <w:pPr>
        <w:numPr>
          <w:ilvl w:val="0"/>
          <w:numId w:val="60"/>
        </w:numPr>
        <w:ind w:left="714" w:hanging="357"/>
        <w:contextualSpacing/>
      </w:pPr>
      <w:r w:rsidRPr="00DB426E">
        <w:t>Veicināt publiskā finansējuma godīgu pārdali.</w:t>
      </w:r>
      <w:r w:rsidRPr="00DB426E">
        <w:rPr>
          <w:rStyle w:val="FootnoteReference"/>
        </w:rPr>
        <w:footnoteReference w:id="45"/>
      </w:r>
    </w:p>
    <w:p w:rsidR="00BF6B8C" w:rsidRPr="00DB426E" w:rsidRDefault="00BF6B8C" w:rsidP="00BF6B8C">
      <w:pPr>
        <w:spacing w:before="240"/>
      </w:pPr>
      <w:r w:rsidRPr="00DB426E">
        <w:t>Likumam ir tieša ietekme uz privāto investīciju veikšanu R&amp;D; tas regulē investīciju veikšanu inovāciju un augsto tehnoloģiju projektos un veicina klasteru izveidi, kas pēc būtības ir vērsta uz pētniecības veicināšanu.</w:t>
      </w:r>
    </w:p>
    <w:p w:rsidR="00BF6B8C" w:rsidRPr="00DB426E" w:rsidRDefault="00BF6B8C" w:rsidP="00BF6B8C">
      <w:r w:rsidRPr="00DB426E">
        <w:t>„Investīciju stimulēšanas likums” paredz četru veidu valsts finanšu atbalsta instrumentus:</w:t>
      </w:r>
    </w:p>
    <w:p w:rsidR="00BF6B8C" w:rsidRPr="00DB426E" w:rsidRDefault="00BF6B8C" w:rsidP="006C3F27">
      <w:pPr>
        <w:numPr>
          <w:ilvl w:val="0"/>
          <w:numId w:val="61"/>
        </w:numPr>
        <w:ind w:left="714" w:hanging="357"/>
        <w:contextualSpacing/>
      </w:pPr>
      <w:r w:rsidRPr="00DB426E">
        <w:t>Nodokļu atvieglojumi;</w:t>
      </w:r>
    </w:p>
    <w:p w:rsidR="00BF6B8C" w:rsidRPr="00DB426E" w:rsidRDefault="00BF6B8C" w:rsidP="006C3F27">
      <w:pPr>
        <w:numPr>
          <w:ilvl w:val="0"/>
          <w:numId w:val="61"/>
        </w:numPr>
        <w:ind w:left="714" w:hanging="357"/>
        <w:contextualSpacing/>
      </w:pPr>
      <w:r w:rsidRPr="00DB426E">
        <w:t>Granti;</w:t>
      </w:r>
    </w:p>
    <w:p w:rsidR="00BF6B8C" w:rsidRPr="00DB426E" w:rsidRDefault="00BF6B8C" w:rsidP="006C3F27">
      <w:pPr>
        <w:numPr>
          <w:ilvl w:val="0"/>
          <w:numId w:val="61"/>
        </w:numPr>
        <w:ind w:left="714" w:hanging="357"/>
        <w:contextualSpacing/>
      </w:pPr>
      <w:r w:rsidRPr="00DB426E">
        <w:t>Valsts aizdevumi;</w:t>
      </w:r>
    </w:p>
    <w:p w:rsidR="00BF6B8C" w:rsidRPr="00DB426E" w:rsidRDefault="00BF6B8C" w:rsidP="006C3F27">
      <w:pPr>
        <w:numPr>
          <w:ilvl w:val="0"/>
          <w:numId w:val="61"/>
        </w:numPr>
        <w:ind w:left="714" w:hanging="357"/>
        <w:contextualSpacing/>
      </w:pPr>
      <w:r w:rsidRPr="00DB426E">
        <w:t>Līzinga subsīdijas.</w:t>
      </w:r>
    </w:p>
    <w:p w:rsidR="00BF6B8C" w:rsidRPr="00DB426E" w:rsidRDefault="00BF6B8C" w:rsidP="00BF6B8C">
      <w:r w:rsidRPr="00DB426E">
        <w:t>Lai panāktu likumā noteikto reģionu atpalicības mazināšanu, visa veida atbalstu intensitāte ir atkarīga no diviem faktoriem: 1) uzņēmumu lieluma; 2) atrašanās vietas: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603"/>
        <w:gridCol w:w="1746"/>
        <w:gridCol w:w="1889"/>
        <w:gridCol w:w="1815"/>
      </w:tblGrid>
      <w:tr w:rsidR="00BF6B8C" w:rsidRPr="00DB426E" w:rsidTr="00BF6B8C">
        <w:trPr>
          <w:trHeight w:val="245"/>
          <w:jc w:val="center"/>
        </w:trPr>
        <w:tc>
          <w:tcPr>
            <w:tcW w:w="0" w:type="auto"/>
            <w:shd w:val="clear" w:color="auto" w:fill="F2F2F2"/>
            <w:hideMark/>
          </w:tcPr>
          <w:p w:rsidR="00BF6B8C" w:rsidRPr="00475128" w:rsidRDefault="00BF6B8C" w:rsidP="00BF6B8C">
            <w:pPr>
              <w:pStyle w:val="ListParagraph"/>
              <w:numPr>
                <w:ilvl w:val="0"/>
                <w:numId w:val="0"/>
              </w:numPr>
              <w:spacing w:after="60" w:line="276" w:lineRule="auto"/>
              <w:jc w:val="center"/>
              <w:rPr>
                <w:sz w:val="20"/>
                <w:szCs w:val="20"/>
                <w:lang w:val="lv-LV"/>
              </w:rPr>
            </w:pPr>
            <w:r w:rsidRPr="00475128">
              <w:rPr>
                <w:b/>
                <w:bCs/>
                <w:sz w:val="20"/>
                <w:szCs w:val="20"/>
                <w:lang w:val="lv-LV"/>
              </w:rPr>
              <w:t>Zona</w:t>
            </w:r>
          </w:p>
        </w:tc>
        <w:tc>
          <w:tcPr>
            <w:tcW w:w="0" w:type="auto"/>
            <w:shd w:val="clear" w:color="auto" w:fill="F2F2F2"/>
            <w:hideMark/>
          </w:tcPr>
          <w:p w:rsidR="00BF6B8C" w:rsidRPr="00475128" w:rsidRDefault="00BF6B8C" w:rsidP="00BF6B8C">
            <w:pPr>
              <w:pStyle w:val="ListParagraph"/>
              <w:numPr>
                <w:ilvl w:val="0"/>
                <w:numId w:val="0"/>
              </w:numPr>
              <w:spacing w:after="60" w:line="276" w:lineRule="auto"/>
              <w:jc w:val="center"/>
              <w:rPr>
                <w:sz w:val="20"/>
                <w:szCs w:val="20"/>
                <w:lang w:val="lv-LV"/>
              </w:rPr>
            </w:pPr>
            <w:r w:rsidRPr="00475128">
              <w:rPr>
                <w:b/>
                <w:bCs/>
                <w:sz w:val="20"/>
                <w:szCs w:val="20"/>
                <w:lang w:val="lv-LV"/>
              </w:rPr>
              <w:t>Lielais komersants</w:t>
            </w:r>
          </w:p>
        </w:tc>
        <w:tc>
          <w:tcPr>
            <w:tcW w:w="0" w:type="auto"/>
            <w:shd w:val="clear" w:color="auto" w:fill="F2F2F2"/>
            <w:hideMark/>
          </w:tcPr>
          <w:p w:rsidR="00BF6B8C" w:rsidRPr="00475128" w:rsidRDefault="00BF6B8C" w:rsidP="00BF6B8C">
            <w:pPr>
              <w:pStyle w:val="ListParagraph"/>
              <w:numPr>
                <w:ilvl w:val="0"/>
                <w:numId w:val="0"/>
              </w:numPr>
              <w:spacing w:after="60" w:line="276" w:lineRule="auto"/>
              <w:jc w:val="center"/>
              <w:rPr>
                <w:sz w:val="20"/>
                <w:szCs w:val="20"/>
                <w:lang w:val="lv-LV"/>
              </w:rPr>
            </w:pPr>
            <w:r w:rsidRPr="00475128">
              <w:rPr>
                <w:b/>
                <w:bCs/>
                <w:sz w:val="20"/>
                <w:szCs w:val="20"/>
                <w:lang w:val="lv-LV"/>
              </w:rPr>
              <w:t>Vidējais komersants</w:t>
            </w:r>
          </w:p>
        </w:tc>
        <w:tc>
          <w:tcPr>
            <w:tcW w:w="0" w:type="auto"/>
            <w:shd w:val="clear" w:color="auto" w:fill="F2F2F2"/>
            <w:hideMark/>
          </w:tcPr>
          <w:p w:rsidR="00BF6B8C" w:rsidRPr="00475128" w:rsidRDefault="00BF6B8C" w:rsidP="00BF6B8C">
            <w:pPr>
              <w:pStyle w:val="ListParagraph"/>
              <w:numPr>
                <w:ilvl w:val="0"/>
                <w:numId w:val="0"/>
              </w:numPr>
              <w:spacing w:after="60" w:line="276" w:lineRule="auto"/>
              <w:jc w:val="center"/>
              <w:rPr>
                <w:sz w:val="20"/>
                <w:szCs w:val="20"/>
                <w:lang w:val="lv-LV"/>
              </w:rPr>
            </w:pPr>
            <w:r w:rsidRPr="00475128">
              <w:rPr>
                <w:b/>
                <w:bCs/>
                <w:sz w:val="20"/>
                <w:szCs w:val="20"/>
                <w:lang w:val="lv-LV"/>
              </w:rPr>
              <w:t>Mazais komersants</w:t>
            </w:r>
          </w:p>
        </w:tc>
      </w:tr>
      <w:tr w:rsidR="00BF6B8C" w:rsidRPr="00DB426E" w:rsidTr="00BF6B8C">
        <w:trPr>
          <w:trHeight w:val="277"/>
          <w:jc w:val="center"/>
        </w:trPr>
        <w:tc>
          <w:tcPr>
            <w:tcW w:w="0" w:type="auto"/>
            <w:hideMark/>
          </w:tcPr>
          <w:p w:rsidR="00BF6B8C" w:rsidRPr="00475128" w:rsidRDefault="00BF6B8C" w:rsidP="00BF6B8C">
            <w:pPr>
              <w:pStyle w:val="ListParagraph"/>
              <w:spacing w:after="60" w:line="276" w:lineRule="auto"/>
              <w:ind w:left="0" w:hanging="357"/>
              <w:rPr>
                <w:sz w:val="20"/>
                <w:szCs w:val="20"/>
                <w:lang w:val="lv-LV"/>
              </w:rPr>
            </w:pPr>
            <w:proofErr w:type="spellStart"/>
            <w:r w:rsidRPr="00475128">
              <w:rPr>
                <w:b/>
                <w:bCs/>
                <w:sz w:val="20"/>
                <w:szCs w:val="20"/>
                <w:lang w:val="lv-LV"/>
              </w:rPr>
              <w:t>Attica</w:t>
            </w:r>
            <w:proofErr w:type="spellEnd"/>
          </w:p>
          <w:p w:rsidR="00BF6B8C" w:rsidRPr="00475128" w:rsidRDefault="00BF6B8C" w:rsidP="00BF6B8C">
            <w:pPr>
              <w:pStyle w:val="ListParagraph"/>
              <w:spacing w:after="60" w:line="276" w:lineRule="auto"/>
              <w:ind w:left="0" w:hanging="357"/>
              <w:rPr>
                <w:sz w:val="20"/>
                <w:szCs w:val="20"/>
                <w:lang w:val="lv-LV"/>
              </w:rPr>
            </w:pPr>
            <w:r w:rsidRPr="00475128">
              <w:rPr>
                <w:i/>
                <w:iCs/>
                <w:sz w:val="20"/>
                <w:szCs w:val="20"/>
                <w:lang w:val="lv-LV"/>
              </w:rPr>
              <w:t>A Zona</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15%</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20%</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25%</w:t>
            </w:r>
          </w:p>
        </w:tc>
      </w:tr>
      <w:tr w:rsidR="00BF6B8C" w:rsidRPr="00DB426E" w:rsidTr="00BF6B8C">
        <w:trPr>
          <w:trHeight w:val="213"/>
          <w:jc w:val="center"/>
        </w:trPr>
        <w:tc>
          <w:tcPr>
            <w:tcW w:w="0" w:type="auto"/>
            <w:hideMark/>
          </w:tcPr>
          <w:p w:rsidR="00BF6B8C" w:rsidRPr="00475128" w:rsidRDefault="00BF6B8C" w:rsidP="00BF6B8C">
            <w:pPr>
              <w:pStyle w:val="ListParagraph"/>
              <w:spacing w:after="60" w:line="276" w:lineRule="auto"/>
              <w:ind w:left="0" w:hanging="357"/>
              <w:rPr>
                <w:sz w:val="20"/>
                <w:szCs w:val="20"/>
                <w:lang w:val="lv-LV"/>
              </w:rPr>
            </w:pPr>
            <w:proofErr w:type="spellStart"/>
            <w:r w:rsidRPr="00475128">
              <w:rPr>
                <w:b/>
                <w:bCs/>
                <w:sz w:val="20"/>
                <w:szCs w:val="20"/>
                <w:lang w:val="lv-LV"/>
              </w:rPr>
              <w:t>Thessaloniki</w:t>
            </w:r>
            <w:proofErr w:type="spellEnd"/>
          </w:p>
          <w:p w:rsidR="00BF6B8C" w:rsidRPr="00475128" w:rsidRDefault="00BF6B8C" w:rsidP="00BF6B8C">
            <w:pPr>
              <w:pStyle w:val="ListParagraph"/>
              <w:spacing w:after="60" w:line="276" w:lineRule="auto"/>
              <w:ind w:left="0" w:hanging="357"/>
              <w:rPr>
                <w:sz w:val="20"/>
                <w:szCs w:val="20"/>
                <w:lang w:val="lv-LV"/>
              </w:rPr>
            </w:pPr>
            <w:r w:rsidRPr="00475128">
              <w:rPr>
                <w:i/>
                <w:iCs/>
                <w:sz w:val="20"/>
                <w:szCs w:val="20"/>
                <w:lang w:val="lv-LV"/>
              </w:rPr>
              <w:t>B Zona</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30%</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35%</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40%</w:t>
            </w:r>
          </w:p>
        </w:tc>
      </w:tr>
      <w:tr w:rsidR="00BF6B8C" w:rsidRPr="00DB426E" w:rsidTr="00BF6B8C">
        <w:trPr>
          <w:trHeight w:val="135"/>
          <w:jc w:val="center"/>
        </w:trPr>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b/>
                <w:bCs/>
                <w:sz w:val="20"/>
                <w:szCs w:val="20"/>
                <w:lang w:val="lv-LV"/>
              </w:rPr>
              <w:t>Tripoli</w:t>
            </w:r>
          </w:p>
          <w:p w:rsidR="00BF6B8C" w:rsidRPr="00475128" w:rsidRDefault="00BF6B8C" w:rsidP="00BF6B8C">
            <w:pPr>
              <w:pStyle w:val="ListParagraph"/>
              <w:spacing w:after="60" w:line="276" w:lineRule="auto"/>
              <w:ind w:left="0" w:hanging="357"/>
              <w:rPr>
                <w:sz w:val="20"/>
                <w:szCs w:val="20"/>
                <w:lang w:val="lv-LV"/>
              </w:rPr>
            </w:pPr>
            <w:r w:rsidRPr="00475128">
              <w:rPr>
                <w:i/>
                <w:iCs/>
                <w:sz w:val="20"/>
                <w:szCs w:val="20"/>
                <w:lang w:val="lv-LV"/>
              </w:rPr>
              <w:t>C Zona</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30%</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35%</w:t>
            </w:r>
          </w:p>
        </w:tc>
        <w:tc>
          <w:tcPr>
            <w:tcW w:w="0" w:type="auto"/>
            <w:hideMark/>
          </w:tcPr>
          <w:p w:rsidR="00BF6B8C" w:rsidRPr="00475128" w:rsidRDefault="00BF6B8C" w:rsidP="00BF6B8C">
            <w:pPr>
              <w:pStyle w:val="ListParagraph"/>
              <w:spacing w:after="60" w:line="276" w:lineRule="auto"/>
              <w:ind w:left="0" w:hanging="357"/>
              <w:rPr>
                <w:sz w:val="20"/>
                <w:szCs w:val="20"/>
                <w:lang w:val="lv-LV"/>
              </w:rPr>
            </w:pPr>
            <w:r w:rsidRPr="00475128">
              <w:rPr>
                <w:sz w:val="20"/>
                <w:szCs w:val="20"/>
                <w:lang w:val="lv-LV"/>
              </w:rPr>
              <w:t>40%</w:t>
            </w:r>
          </w:p>
        </w:tc>
      </w:tr>
    </w:tbl>
    <w:p w:rsidR="00BF6B8C" w:rsidRPr="00DB426E" w:rsidRDefault="00BF6B8C" w:rsidP="00BF6B8C">
      <w:r w:rsidRPr="00DB426E">
        <w:t>Pēc atrašanās vietas Grieķija sadalīta trīs zonās:</w:t>
      </w:r>
    </w:p>
    <w:p w:rsidR="00BF6B8C" w:rsidRPr="00DB426E" w:rsidRDefault="00BF6B8C" w:rsidP="006C3F27">
      <w:pPr>
        <w:numPr>
          <w:ilvl w:val="0"/>
          <w:numId w:val="62"/>
        </w:numPr>
        <w:ind w:left="714" w:hanging="357"/>
        <w:contextualSpacing/>
      </w:pPr>
      <w:r w:rsidRPr="00DB426E">
        <w:t xml:space="preserve">A – </w:t>
      </w:r>
      <w:proofErr w:type="spellStart"/>
      <w:r w:rsidRPr="00DB426E">
        <w:t>Attica</w:t>
      </w:r>
      <w:proofErr w:type="spellEnd"/>
      <w:r w:rsidRPr="00DB426E">
        <w:t xml:space="preserve"> un </w:t>
      </w:r>
      <w:proofErr w:type="spellStart"/>
      <w:r w:rsidRPr="00DB426E">
        <w:t>Viotia</w:t>
      </w:r>
      <w:proofErr w:type="spellEnd"/>
      <w:r w:rsidRPr="00DB426E">
        <w:t xml:space="preserve"> prefektūras (attīstītākā Grieķijas dienvidu administratīvā teritorija);</w:t>
      </w:r>
    </w:p>
    <w:p w:rsidR="00BF6B8C" w:rsidRPr="00DB426E" w:rsidRDefault="00BF6B8C" w:rsidP="006C3F27">
      <w:pPr>
        <w:numPr>
          <w:ilvl w:val="0"/>
          <w:numId w:val="62"/>
        </w:numPr>
        <w:ind w:left="714" w:hanging="357"/>
        <w:contextualSpacing/>
      </w:pPr>
      <w:r w:rsidRPr="00DB426E">
        <w:t xml:space="preserve">B – prefektūras, kurās IKP per </w:t>
      </w:r>
      <w:proofErr w:type="spellStart"/>
      <w:r w:rsidRPr="00DB426E">
        <w:t>capita</w:t>
      </w:r>
      <w:proofErr w:type="spellEnd"/>
      <w:r w:rsidRPr="00DB426E">
        <w:t xml:space="preserve"> pārsniedz 75% no Grieķijas vidējā rādītāja;</w:t>
      </w:r>
    </w:p>
    <w:p w:rsidR="00BF6B8C" w:rsidRPr="00DB426E" w:rsidRDefault="00BF6B8C" w:rsidP="006C3F27">
      <w:pPr>
        <w:numPr>
          <w:ilvl w:val="0"/>
          <w:numId w:val="62"/>
        </w:numPr>
        <w:ind w:left="714" w:hanging="357"/>
        <w:contextualSpacing/>
      </w:pPr>
      <w:r w:rsidRPr="00DB426E">
        <w:t xml:space="preserve">C – prefektūras, kurās IKP per </w:t>
      </w:r>
      <w:proofErr w:type="spellStart"/>
      <w:r w:rsidRPr="00DB426E">
        <w:t>capita</w:t>
      </w:r>
      <w:proofErr w:type="spellEnd"/>
      <w:r w:rsidRPr="00DB426E">
        <w:t xml:space="preserve"> nepārsniedz 75% no Grieķijas vidējā rādītāja.</w:t>
      </w:r>
    </w:p>
    <w:p w:rsidR="00BF6B8C" w:rsidRPr="00DB426E" w:rsidRDefault="00BF6B8C" w:rsidP="00BF6B8C">
      <w:pPr>
        <w:spacing w:before="240"/>
      </w:pPr>
      <w:r w:rsidRPr="00DB426E">
        <w:t>Tādā veidā tiek efektīvi mazināts brīvās konkurences ierobežošanas risks: lielāks atbalsta apjoms tiek sniegts mazo uzņēmumu attīstībai, kā arī reģionos, kuros attīstības līmenis ir zemāks. Savukārt industriālajās zonās atbalsta apjoms var sasniegt pat 50%.</w:t>
      </w:r>
    </w:p>
    <w:p w:rsidR="00BF6B8C" w:rsidRPr="00DB426E" w:rsidRDefault="00BF6B8C" w:rsidP="00BF6B8C">
      <w:r w:rsidRPr="00DB426E">
        <w:t>Atbalsta saņemšanai investīciju projektiem ir noteikta samērā augsta investīciju kopējā apjoma prasība, lai tie atbilstu atbalsta saņemšanas nosacījumiem:</w:t>
      </w:r>
    </w:p>
    <w:p w:rsidR="00BF6B8C" w:rsidRPr="00DB426E" w:rsidRDefault="00BF6B8C" w:rsidP="006C3F27">
      <w:pPr>
        <w:numPr>
          <w:ilvl w:val="0"/>
          <w:numId w:val="63"/>
        </w:numPr>
        <w:ind w:left="714" w:hanging="357"/>
        <w:contextualSpacing/>
      </w:pPr>
      <w:r w:rsidRPr="00DB426E">
        <w:t>Lielajiem komersantiem – 1 miljons eiro;</w:t>
      </w:r>
    </w:p>
    <w:p w:rsidR="00BF6B8C" w:rsidRPr="00DB426E" w:rsidRDefault="00BF6B8C" w:rsidP="006C3F27">
      <w:pPr>
        <w:numPr>
          <w:ilvl w:val="0"/>
          <w:numId w:val="63"/>
        </w:numPr>
        <w:ind w:left="714" w:hanging="357"/>
        <w:contextualSpacing/>
      </w:pPr>
      <w:r w:rsidRPr="00DB426E">
        <w:t>Vidējiem uzņēmumiem – 0,5 miljoni eiro;</w:t>
      </w:r>
    </w:p>
    <w:p w:rsidR="00BF6B8C" w:rsidRPr="00DB426E" w:rsidRDefault="00BF6B8C" w:rsidP="006C3F27">
      <w:pPr>
        <w:numPr>
          <w:ilvl w:val="0"/>
          <w:numId w:val="63"/>
        </w:numPr>
        <w:ind w:left="714" w:hanging="357"/>
        <w:contextualSpacing/>
      </w:pPr>
      <w:r w:rsidRPr="00DB426E">
        <w:t>Mazajiem uzņēmumiem – 0,3 miljoni eiro;</w:t>
      </w:r>
    </w:p>
    <w:p w:rsidR="00BF6B8C" w:rsidRPr="00DB426E" w:rsidRDefault="00BF6B8C" w:rsidP="006C3F27">
      <w:pPr>
        <w:numPr>
          <w:ilvl w:val="0"/>
          <w:numId w:val="63"/>
        </w:numPr>
        <w:ind w:left="714" w:hanging="357"/>
        <w:contextualSpacing/>
      </w:pPr>
      <w:proofErr w:type="spellStart"/>
      <w:r w:rsidRPr="00DB426E">
        <w:t>Mikro</w:t>
      </w:r>
      <w:proofErr w:type="spellEnd"/>
      <w:r w:rsidRPr="00DB426E">
        <w:t xml:space="preserve"> uzņēmumiem – 0,2 miljoni eiro.</w:t>
      </w:r>
    </w:p>
    <w:p w:rsidR="00BF6B8C" w:rsidRPr="00DB426E" w:rsidRDefault="00BF6B8C" w:rsidP="006C3F27">
      <w:pPr>
        <w:numPr>
          <w:ilvl w:val="0"/>
          <w:numId w:val="63"/>
        </w:numPr>
        <w:ind w:left="714" w:hanging="357"/>
        <w:contextualSpacing/>
      </w:pPr>
      <w:r w:rsidRPr="00DB426E">
        <w:t>Likmes ir zemākas jaunajiem uzņēmējiem.</w:t>
      </w:r>
    </w:p>
    <w:p w:rsidR="00BF6B8C" w:rsidRPr="00DB426E" w:rsidRDefault="00BF6B8C" w:rsidP="00BF6B8C">
      <w:pPr>
        <w:spacing w:before="240"/>
      </w:pPr>
      <w:r w:rsidRPr="00DB426E">
        <w:t>Attiecināmās izmaksas ir iekārtu un aprīkojuma iegāde, būvniecība, ēku iegāde, kvalitātes vadības sistēmas, programmatūra, tehnoloģiju pārneses mehānismu izmaksas, intelektuālā īpašuma tiesību objekti, kā arī visas ar R&amp;D aktivitātēm saistītās izmaksas neatkarīgi no to veida.</w:t>
      </w:r>
    </w:p>
    <w:p w:rsidR="00BF6B8C" w:rsidRPr="00DB426E" w:rsidRDefault="00BF6B8C" w:rsidP="00BF6B8C">
      <w:r w:rsidRPr="00DB426E">
        <w:t xml:space="preserve">Viens no uzņēmuma un investīciju projekta novērtēšanas kritērijiem pirms atbalsta piešķiršanas ir R&amp;D ieguldījumu veikšanas apjoms tajā. Tāpat tiek vērtēts </w:t>
      </w:r>
      <w:proofErr w:type="spellStart"/>
      <w:r w:rsidRPr="00DB426E">
        <w:rPr>
          <w:i/>
        </w:rPr>
        <w:t>know-how</w:t>
      </w:r>
      <w:proofErr w:type="spellEnd"/>
      <w:r w:rsidRPr="00DB426E">
        <w:t xml:space="preserve"> ieguldījumu apjoms, ieguldījumi kvalitātes kontroles vadības sistēmās, u. c. uz pētniecību un attīstību vērsti ieguldījumi.</w:t>
      </w:r>
      <w:r w:rsidRPr="00DB426E">
        <w:rPr>
          <w:rStyle w:val="FootnoteReference"/>
        </w:rPr>
        <w:footnoteReference w:id="46"/>
      </w:r>
    </w:p>
    <w:p w:rsidR="00BF6B8C" w:rsidRPr="00DB426E" w:rsidRDefault="00BF6B8C" w:rsidP="00BF6B8C">
      <w:r w:rsidRPr="00DB426E">
        <w:t>Grieķijas R&amp;D atbalsta pasākumu raksturīgākās iezīmes ir tās skaidri definētās prioritātes: reģionālās sabalansētības veicināšana, atbalsts MVU, atbalsts jaunajiem uzņēmumiem un jauniešu uzņēmējdarbības veicināšana. Ņemot vērā to, ka investīciju likumdošana paredz īpaša atbalsta sniegšanu R&amp;D aktivitātēm, augsto tehnoloģiju projektiem un industriālajām zonām, privāto investīciju veicināšana R&amp;D ir viena no Grieķijas galvenajām prioritātēm. Pozitīvi vērtējama arī detalizētu normatīvo aktu izstrāde un izmantošana godīgas un caurskatāmas investīciju veicināšanas politikas izstrādē.</w:t>
      </w:r>
    </w:p>
    <w:p w:rsidR="00BF6B8C" w:rsidRPr="00DB426E" w:rsidRDefault="00BF6B8C" w:rsidP="00BF6B8C">
      <w:pPr>
        <w:pStyle w:val="Heading3"/>
        <w:numPr>
          <w:ilvl w:val="2"/>
          <w:numId w:val="4"/>
        </w:numPr>
      </w:pPr>
      <w:bookmarkStart w:id="395" w:name="_Toc356472850"/>
      <w:bookmarkStart w:id="396" w:name="_Toc358978782"/>
      <w:r w:rsidRPr="00DB426E">
        <w:t>Spānija</w:t>
      </w:r>
      <w:bookmarkEnd w:id="395"/>
      <w:bookmarkEnd w:id="396"/>
    </w:p>
    <w:p w:rsidR="00BF6B8C" w:rsidRPr="00DB426E" w:rsidRDefault="00BF6B8C" w:rsidP="00BF6B8C">
      <w:r w:rsidRPr="00DB426E">
        <w:t xml:space="preserve">Spānija pieder pie mēreno </w:t>
      </w:r>
      <w:proofErr w:type="spellStart"/>
      <w:r w:rsidRPr="00DB426E">
        <w:t>inovatoru</w:t>
      </w:r>
      <w:proofErr w:type="spellEnd"/>
      <w:r w:rsidRPr="00DB426E">
        <w:t xml:space="preserve"> kategorijas, un tās inovāciju līmenis ir zemāks par vidējo ES dalībvalstīs. Attīstītākās Spānijas nozares ar augstu pievienoto vērtību ir </w:t>
      </w:r>
      <w:proofErr w:type="spellStart"/>
      <w:r w:rsidRPr="00DB426E">
        <w:t>aerokosmosa</w:t>
      </w:r>
      <w:proofErr w:type="spellEnd"/>
      <w:r w:rsidRPr="00DB426E">
        <w:t xml:space="preserve"> inženierija, mašīnbūve, enerģētika, kas vērsta uz atjaunojamajiem energoresursiem, IT, biotehnoloģijas un farmācija. Bezdarba līmenis 2013. gadā bija 27%.</w:t>
      </w:r>
    </w:p>
    <w:p w:rsidR="00BF6B8C" w:rsidRPr="00DB426E" w:rsidRDefault="00BF6B8C" w:rsidP="00BF6B8C">
      <w:r w:rsidRPr="00DB426E">
        <w:t>Par privāto investīciju piesaisti uzņēmumiem Spānijā atbild valsts aģentūra „</w:t>
      </w:r>
      <w:proofErr w:type="spellStart"/>
      <w:r w:rsidRPr="00DB426E">
        <w:t>Invest</w:t>
      </w:r>
      <w:proofErr w:type="spellEnd"/>
      <w:r w:rsidRPr="00DB426E">
        <w:t xml:space="preserve"> </w:t>
      </w:r>
      <w:proofErr w:type="spellStart"/>
      <w:r w:rsidRPr="00DB426E">
        <w:t>in</w:t>
      </w:r>
      <w:proofErr w:type="spellEnd"/>
      <w:r w:rsidRPr="00DB426E">
        <w:t xml:space="preserve"> </w:t>
      </w:r>
      <w:proofErr w:type="spellStart"/>
      <w:r w:rsidRPr="00DB426E">
        <w:t>Spain</w:t>
      </w:r>
      <w:proofErr w:type="spellEnd"/>
      <w:r w:rsidRPr="00DB426E">
        <w:t>”. Tās mērķis ir veicināt privāto, t. sk. ārvalstu finansējuma piesaisti uzņēmumiem, sniegt biznesa un juridiskās konsultācijas investoriem, veicināt Spānijas uzņēmumu konkurētspējas celšanos un nodrošināt investīciju procesa caurskatāmību.</w:t>
      </w:r>
    </w:p>
    <w:p w:rsidR="00BF6B8C" w:rsidRPr="00DB426E" w:rsidRDefault="00BF6B8C" w:rsidP="00BF6B8C">
      <w:r w:rsidRPr="00DB426E">
        <w:t>Spānijā R&amp;D investīcijām iespējams saņemt šādus valsts atbalsta veidus:</w:t>
      </w:r>
    </w:p>
    <w:p w:rsidR="00BF6B8C" w:rsidRPr="00DB426E" w:rsidRDefault="00BF6B8C" w:rsidP="006C3F27">
      <w:pPr>
        <w:numPr>
          <w:ilvl w:val="0"/>
          <w:numId w:val="64"/>
        </w:numPr>
        <w:ind w:left="714" w:hanging="357"/>
        <w:contextualSpacing/>
      </w:pPr>
      <w:r w:rsidRPr="00DB426E">
        <w:t>Atmaksājamās subsīdijas;</w:t>
      </w:r>
    </w:p>
    <w:p w:rsidR="00BF6B8C" w:rsidRPr="00DB426E" w:rsidRDefault="00BF6B8C" w:rsidP="006C3F27">
      <w:pPr>
        <w:numPr>
          <w:ilvl w:val="0"/>
          <w:numId w:val="64"/>
        </w:numPr>
        <w:ind w:left="714" w:hanging="357"/>
        <w:contextualSpacing/>
      </w:pPr>
      <w:r w:rsidRPr="00DB426E">
        <w:t>Valsts aizdevumi;</w:t>
      </w:r>
    </w:p>
    <w:p w:rsidR="00BF6B8C" w:rsidRPr="00DB426E" w:rsidRDefault="00BF6B8C" w:rsidP="006C3F27">
      <w:pPr>
        <w:numPr>
          <w:ilvl w:val="0"/>
          <w:numId w:val="64"/>
        </w:numPr>
        <w:ind w:left="714" w:hanging="357"/>
        <w:contextualSpacing/>
      </w:pPr>
      <w:r w:rsidRPr="00DB426E">
        <w:t>Atvieglojumi.</w:t>
      </w:r>
    </w:p>
    <w:p w:rsidR="00BF6B8C" w:rsidRPr="00DB426E" w:rsidRDefault="00BF6B8C" w:rsidP="00BF6B8C">
      <w:r w:rsidRPr="00DB426E">
        <w:t>Atbalsta saņēmēji, kuriem saskaņā ar Spānijas likumdošanu pienākas atbalsts R&amp;D aktivitātēm, ir:</w:t>
      </w:r>
    </w:p>
    <w:p w:rsidR="00BF6B8C" w:rsidRPr="00DB426E" w:rsidRDefault="00BF6B8C" w:rsidP="006C3F27">
      <w:pPr>
        <w:numPr>
          <w:ilvl w:val="0"/>
          <w:numId w:val="65"/>
        </w:numPr>
        <w:ind w:left="714" w:hanging="357"/>
        <w:contextualSpacing/>
      </w:pPr>
      <w:r w:rsidRPr="00DB426E">
        <w:t>Uzņēmumi;</w:t>
      </w:r>
    </w:p>
    <w:p w:rsidR="00BF6B8C" w:rsidRPr="00DB426E" w:rsidRDefault="00BF6B8C" w:rsidP="006C3F27">
      <w:pPr>
        <w:numPr>
          <w:ilvl w:val="0"/>
          <w:numId w:val="65"/>
        </w:numPr>
        <w:ind w:left="714" w:hanging="357"/>
        <w:contextualSpacing/>
      </w:pPr>
      <w:r w:rsidRPr="00DB426E">
        <w:t>Nacionālie tehnoloģiju centri;</w:t>
      </w:r>
    </w:p>
    <w:p w:rsidR="00BF6B8C" w:rsidRPr="00DB426E" w:rsidRDefault="00BF6B8C" w:rsidP="006C3F27">
      <w:pPr>
        <w:numPr>
          <w:ilvl w:val="0"/>
          <w:numId w:val="65"/>
        </w:numPr>
        <w:ind w:left="714" w:hanging="357"/>
        <w:contextualSpacing/>
      </w:pPr>
      <w:r w:rsidRPr="00DB426E">
        <w:t>Nacionālie tehnoloģisko inovāciju atbalsta centri;</w:t>
      </w:r>
    </w:p>
    <w:p w:rsidR="00BF6B8C" w:rsidRPr="00DB426E" w:rsidRDefault="00BF6B8C" w:rsidP="006C3F27">
      <w:pPr>
        <w:numPr>
          <w:ilvl w:val="0"/>
          <w:numId w:val="65"/>
        </w:numPr>
        <w:ind w:left="714" w:hanging="357"/>
        <w:contextualSpacing/>
      </w:pPr>
      <w:r w:rsidRPr="00DB426E">
        <w:t>Nacionālo augstskolu tehnoloģisko inovāciju atbalsta centri;</w:t>
      </w:r>
    </w:p>
    <w:p w:rsidR="00BF6B8C" w:rsidRPr="00DB426E" w:rsidRDefault="00BF6B8C" w:rsidP="006C3F27">
      <w:pPr>
        <w:numPr>
          <w:ilvl w:val="0"/>
          <w:numId w:val="65"/>
        </w:numPr>
        <w:ind w:left="714" w:hanging="357"/>
        <w:contextualSpacing/>
      </w:pPr>
      <w:r w:rsidRPr="00DB426E">
        <w:t>Privāto augstskolu pētniecības un attīstības centri;</w:t>
      </w:r>
    </w:p>
    <w:p w:rsidR="00BF6B8C" w:rsidRPr="00DB426E" w:rsidRDefault="00BF6B8C" w:rsidP="006C3F27">
      <w:pPr>
        <w:numPr>
          <w:ilvl w:val="0"/>
          <w:numId w:val="65"/>
        </w:numPr>
        <w:ind w:left="714" w:hanging="357"/>
        <w:contextualSpacing/>
      </w:pPr>
      <w:r w:rsidRPr="00DB426E">
        <w:t>Privātie bezpeļņas pētniecības un attīstības centri;</w:t>
      </w:r>
    </w:p>
    <w:p w:rsidR="00BF6B8C" w:rsidRPr="00DB426E" w:rsidRDefault="00BF6B8C" w:rsidP="006C3F27">
      <w:pPr>
        <w:numPr>
          <w:ilvl w:val="0"/>
          <w:numId w:val="65"/>
        </w:numPr>
        <w:ind w:left="714" w:hanging="357"/>
        <w:contextualSpacing/>
      </w:pPr>
      <w:r w:rsidRPr="00DB426E">
        <w:t>Publiskās pētniecības iestādes, kas ir Zinātnes attīstības un tehnoloģiskās izpētes likuma subjekti;</w:t>
      </w:r>
    </w:p>
    <w:p w:rsidR="00BF6B8C" w:rsidRPr="00DB426E" w:rsidRDefault="00BF6B8C" w:rsidP="006C3F27">
      <w:pPr>
        <w:numPr>
          <w:ilvl w:val="0"/>
          <w:numId w:val="65"/>
        </w:numPr>
        <w:ind w:left="714" w:hanging="357"/>
        <w:contextualSpacing/>
      </w:pPr>
      <w:r w:rsidRPr="00DB426E">
        <w:t>Publiskās augstskolas, to departamenti un augstskolu institūti, kas ir juridiskās personas;</w:t>
      </w:r>
    </w:p>
    <w:p w:rsidR="00BF6B8C" w:rsidRPr="00DB426E" w:rsidRDefault="00BF6B8C" w:rsidP="006C3F27">
      <w:pPr>
        <w:numPr>
          <w:ilvl w:val="0"/>
          <w:numId w:val="65"/>
        </w:numPr>
        <w:ind w:left="714" w:hanging="357"/>
        <w:contextualSpacing/>
      </w:pPr>
      <w:r w:rsidRPr="00DB426E">
        <w:t>Publiskie pētniecības un attīstības centri;</w:t>
      </w:r>
    </w:p>
    <w:p w:rsidR="00BF6B8C" w:rsidRPr="00DB426E" w:rsidRDefault="00BF6B8C" w:rsidP="006C3F27">
      <w:pPr>
        <w:numPr>
          <w:ilvl w:val="0"/>
          <w:numId w:val="65"/>
        </w:numPr>
        <w:ind w:left="714" w:hanging="357"/>
        <w:contextualSpacing/>
      </w:pPr>
      <w:r w:rsidRPr="00DB426E">
        <w:t>Privātās bezpeļņas organizācijas (nodibinājumi, asociācijas, u.c.), kuru dibināšanas dokumenti paredz ar zinātnes, tehnoloģijām, pētniecību un inovācijām saistītu attīstības, vadības un starpniecības darbību veikšanu;</w:t>
      </w:r>
    </w:p>
    <w:p w:rsidR="00BF6B8C" w:rsidRPr="00DB426E" w:rsidRDefault="00BF6B8C" w:rsidP="006C3F27">
      <w:pPr>
        <w:numPr>
          <w:ilvl w:val="0"/>
          <w:numId w:val="65"/>
        </w:numPr>
        <w:ind w:left="714" w:hanging="357"/>
        <w:contextualSpacing/>
      </w:pPr>
      <w:r w:rsidRPr="00DB426E">
        <w:t>Citas publiskas juridiskās personas un privātās bezpeļņas organizācijas;</w:t>
      </w:r>
    </w:p>
    <w:p w:rsidR="00BF6B8C" w:rsidRPr="00DB426E" w:rsidRDefault="00BF6B8C" w:rsidP="006C3F27">
      <w:pPr>
        <w:numPr>
          <w:ilvl w:val="0"/>
          <w:numId w:val="65"/>
        </w:numPr>
        <w:ind w:left="714" w:hanging="357"/>
        <w:contextualSpacing/>
      </w:pPr>
      <w:r w:rsidRPr="00DB426E">
        <w:t xml:space="preserve">Asociācijas, kas ir: </w:t>
      </w:r>
      <w:proofErr w:type="spellStart"/>
      <w:r w:rsidRPr="00DB426E">
        <w:t>inter</w:t>
      </w:r>
      <w:proofErr w:type="spellEnd"/>
      <w:r w:rsidRPr="00DB426E">
        <w:t xml:space="preserve"> </w:t>
      </w:r>
      <w:proofErr w:type="spellStart"/>
      <w:r w:rsidRPr="00DB426E">
        <w:t>alia</w:t>
      </w:r>
      <w:proofErr w:type="spellEnd"/>
      <w:r w:rsidRPr="00DB426E">
        <w:t xml:space="preserve">, kopuzņēmumi, ekonomisko interešu grupas, starpnozaru bezpeļņas biznesa asociācijas. </w:t>
      </w:r>
    </w:p>
    <w:p w:rsidR="00BF6B8C" w:rsidRPr="00DB426E" w:rsidRDefault="00BF6B8C" w:rsidP="00BF6B8C">
      <w:r w:rsidRPr="00DB426E">
        <w:t>Atbalstāmās darbības un izmaksas atbalsta saņemšanai R&amp;D:</w:t>
      </w:r>
    </w:p>
    <w:p w:rsidR="00BF6B8C" w:rsidRPr="00DB426E" w:rsidRDefault="00BF6B8C" w:rsidP="006C3F27">
      <w:pPr>
        <w:numPr>
          <w:ilvl w:val="0"/>
          <w:numId w:val="66"/>
        </w:numPr>
        <w:ind w:left="714" w:hanging="357"/>
        <w:contextualSpacing/>
      </w:pPr>
      <w:r w:rsidRPr="00DB426E">
        <w:t>Pasākumi, kas paredzēti pētniecības rezultātu popularizēšanai vai publiskā un privātā sektora aktivitātes konkrētās nozarēs;</w:t>
      </w:r>
    </w:p>
    <w:p w:rsidR="00BF6B8C" w:rsidRPr="00DB426E" w:rsidRDefault="00BF6B8C" w:rsidP="006C3F27">
      <w:pPr>
        <w:numPr>
          <w:ilvl w:val="0"/>
          <w:numId w:val="66"/>
        </w:numPr>
        <w:ind w:left="714" w:hanging="357"/>
        <w:contextualSpacing/>
      </w:pPr>
      <w:r w:rsidRPr="00DB426E">
        <w:t>Forumu organizēšanas izmaksas informācijas izplatīšanai vai saistītajām pusēm sniegto konsultāciju izmaksas par tehnoloģiju politiku;</w:t>
      </w:r>
    </w:p>
    <w:p w:rsidR="00BF6B8C" w:rsidRPr="00DB426E" w:rsidRDefault="00BF6B8C" w:rsidP="006C3F27">
      <w:pPr>
        <w:numPr>
          <w:ilvl w:val="0"/>
          <w:numId w:val="66"/>
        </w:numPr>
        <w:ind w:left="714" w:hanging="357"/>
        <w:contextualSpacing/>
      </w:pPr>
      <w:r w:rsidRPr="00DB426E">
        <w:t>Aktivitātes, kas vērstas uz sadarbības veicināšanu pētniecības attīstības projektos, tehnoloģijas attīstības projektos un inovāciju projektos;</w:t>
      </w:r>
    </w:p>
    <w:p w:rsidR="00BF6B8C" w:rsidRPr="00DB426E" w:rsidRDefault="00BF6B8C" w:rsidP="006C3F27">
      <w:pPr>
        <w:numPr>
          <w:ilvl w:val="0"/>
          <w:numId w:val="66"/>
        </w:numPr>
        <w:ind w:left="714" w:hanging="357"/>
        <w:contextualSpacing/>
      </w:pPr>
      <w:r w:rsidRPr="00DB426E">
        <w:t>Pētniecības rezultātā veikto atklājumu popularizēšanas, analīzes un turpmākās plānošanas aktivitāšu (konferences, darba grupas, lekcijas, publikācijas un atskaites) izmaksas.</w:t>
      </w:r>
    </w:p>
    <w:p w:rsidR="00BF6B8C" w:rsidRPr="00DB426E" w:rsidRDefault="00BF6B8C" w:rsidP="00BF6B8C">
      <w:r w:rsidRPr="00DB426E">
        <w:t>Pieteikšanās formāts:</w:t>
      </w:r>
    </w:p>
    <w:p w:rsidR="00BF6B8C" w:rsidRPr="00DB426E" w:rsidRDefault="00BF6B8C" w:rsidP="00BF6B8C">
      <w:pPr>
        <w:pStyle w:val="ListParagraph"/>
        <w:ind w:hanging="1014"/>
        <w:rPr>
          <w:lang w:val="lv-LV"/>
        </w:rPr>
      </w:pPr>
      <w:r w:rsidRPr="00DB426E">
        <w:rPr>
          <w:lang w:val="lv-LV"/>
        </w:rPr>
        <w:t>Individuālie projekti vai aktivitātes;</w:t>
      </w:r>
    </w:p>
    <w:p w:rsidR="00BF6B8C" w:rsidRPr="00DB426E" w:rsidRDefault="00BF6B8C" w:rsidP="00BF6B8C">
      <w:pPr>
        <w:pStyle w:val="ListParagraph"/>
        <w:ind w:hanging="1014"/>
        <w:rPr>
          <w:lang w:val="lv-LV"/>
        </w:rPr>
      </w:pPr>
      <w:r w:rsidRPr="00DB426E">
        <w:rPr>
          <w:lang w:val="lv-LV"/>
        </w:rPr>
        <w:t>Sadarbības projekti.</w:t>
      </w:r>
    </w:p>
    <w:p w:rsidR="00BF6B8C" w:rsidRPr="00DB426E" w:rsidRDefault="00BF6B8C" w:rsidP="00BF6B8C">
      <w:pPr>
        <w:spacing w:before="240"/>
      </w:pPr>
      <w:r w:rsidRPr="00DB426E">
        <w:t>R&amp;D investīciju attīstības politika nosaka to, ka atbalsta saņemšana tieši R&amp;D aktivitātēm nav paredzēta šo aktivitāšu komercializācijai. Galvenie atbalstāmo izmaksu veidi ir pētījuma rezultātu popularizēšana, tālākas izpētes plānošana, u.tml. aktivitātes.</w:t>
      </w:r>
    </w:p>
    <w:p w:rsidR="00BF6B8C" w:rsidRPr="00DB426E" w:rsidRDefault="00BF6B8C" w:rsidP="00BF6B8C">
      <w:r w:rsidRPr="00DB426E">
        <w:t xml:space="preserve"> R&amp;D&amp;I aktivitāšu atbalsta saņemšanai IT jomā Spānijā tika izstrādāts AVANZA2 plāns, un pašlaik notiek plāna otrās kārtas realizācija. Šī plāna ietvaros atbalsta sniegšana ir paredzēta šādām prioritātēm:</w:t>
      </w:r>
    </w:p>
    <w:p w:rsidR="00BF6B8C" w:rsidRPr="00DB426E" w:rsidRDefault="00BF6B8C" w:rsidP="006C3F27">
      <w:pPr>
        <w:numPr>
          <w:ilvl w:val="0"/>
          <w:numId w:val="67"/>
        </w:numPr>
        <w:ind w:left="714" w:hanging="357"/>
        <w:contextualSpacing/>
      </w:pPr>
      <w:r w:rsidRPr="00DB426E">
        <w:t>IKT sektora attīstība ar fokusu uz MVU attīstību. Galvenokārt vērsta uz jaunu produktu izveidi, tādu kā jauni IT procesi, aplikācijas un pakalpojumi. Šīs prioritātes mērķis ir veicināt Spānijas uzņēmumu dalību pasaules „Nākotnes Interneta” izveidē, un digitālu risinājumu izstrādē.</w:t>
      </w:r>
    </w:p>
    <w:p w:rsidR="00BF6B8C" w:rsidRPr="00DB426E" w:rsidRDefault="00BF6B8C" w:rsidP="006C3F27">
      <w:pPr>
        <w:numPr>
          <w:ilvl w:val="0"/>
          <w:numId w:val="67"/>
        </w:numPr>
        <w:ind w:left="714" w:hanging="357"/>
        <w:contextualSpacing/>
      </w:pPr>
      <w:r w:rsidRPr="00DB426E">
        <w:t>Digitālie publiskie pakalpojumi: šīs prioritātes mērķis ir uzlabot valsts iestāžu sniegto digitālo pakalpojumu kvalitāti ar uzsvaru uz pašvaldībām, nacionālo elektronisko identitātes karšu kvalitātes uzlabošanas veikšana, kā arī starptautiskās sadarbības veicināšana. Šīs prioritātes ietvaros ir plānots arī izstrādāt jaunu elektronisko platformu veselības aprūpes un izglītības pakalpojumu sniegšanai.</w:t>
      </w:r>
    </w:p>
    <w:p w:rsidR="00BF6B8C" w:rsidRPr="00DB426E" w:rsidRDefault="00BF6B8C" w:rsidP="006C3F27">
      <w:pPr>
        <w:numPr>
          <w:ilvl w:val="0"/>
          <w:numId w:val="67"/>
        </w:numPr>
        <w:ind w:left="714" w:hanging="357"/>
        <w:contextualSpacing/>
      </w:pPr>
      <w:r w:rsidRPr="00DB426E">
        <w:t>Apmācības IKT jomā. Prioritātes mērķis – turpināt iedzīvotāju un uzņēmumu sadarbību Informācijas Sabiedrībā. Mērķa grupa galvenokārt ir MVU un to darbinieki, kā arī sociālās atstumtības riska grupas, piemēram, iedzīvotāji ar invaliditāti, gados veci iedzīvotāji, u. c.</w:t>
      </w:r>
    </w:p>
    <w:p w:rsidR="00BF6B8C" w:rsidRPr="00DB426E" w:rsidRDefault="00BF6B8C" w:rsidP="006C3F27">
      <w:pPr>
        <w:numPr>
          <w:ilvl w:val="0"/>
          <w:numId w:val="67"/>
        </w:numPr>
        <w:ind w:left="714" w:hanging="357"/>
        <w:contextualSpacing/>
      </w:pPr>
      <w:r w:rsidRPr="00DB426E">
        <w:t>Infrastruktūras: galvenie mērķi ir Informācijas Sabiedrības attīstība un ieviešana pašvaldībās, publisko elektronisko pakalpojumu saņemšanas kvalitātes uzlabošana gan uzņēmumiem, gan iedzīvotājiem.</w:t>
      </w:r>
    </w:p>
    <w:p w:rsidR="00BF6B8C" w:rsidRPr="00DB426E" w:rsidRDefault="00BF6B8C" w:rsidP="006C3F27">
      <w:pPr>
        <w:numPr>
          <w:ilvl w:val="0"/>
          <w:numId w:val="67"/>
        </w:numPr>
        <w:ind w:left="714" w:hanging="357"/>
        <w:contextualSpacing/>
      </w:pPr>
      <w:r w:rsidRPr="00DB426E">
        <w:t xml:space="preserve">Uzticība un drošība. Prioritātes mērķis ir iedzīvotāju un uzņēmumu uzticēšanās veicināšana IT risinājumiem, publiskās informācijas nodošana par drošības pasākumiem IT jomā. </w:t>
      </w:r>
      <w:r w:rsidRPr="00DB426E">
        <w:rPr>
          <w:rStyle w:val="FootnoteReference"/>
        </w:rPr>
        <w:footnoteReference w:id="47"/>
      </w:r>
    </w:p>
    <w:p w:rsidR="00BF6B8C" w:rsidRPr="00DB426E" w:rsidRDefault="00BF6B8C" w:rsidP="00BF6B8C">
      <w:r w:rsidRPr="00DB426E">
        <w:t>Spānijas R&amp;D atbalsta politikai raksturīgi daudzveidīgi atbalsta veidi, taču granti kā atbalsta veids nav izplatīts. Pārsvarā atbalsts tiek piešķirts nodokļu atvieglojumu, atmaksājamo subsīdiju un aizdevumu veidā. Atšķirībā no citām valstīm, atbalsts R&amp;D aktivitātēm Spānijā ir atsevišķa prioritāte, nevis atbalstāmo nozaru izmaksu veids. Nav pamata uzskatīt, ka kāds no R&amp;D investīciju atbalsta veidiem var radīt tirgu kropļojošus efektus – pirmkārt, atbalsts tiek sniegts atmaksājamu finanšu līdzekļu veidā, otrkārt, atbalsta saņēmēju loks ir plašs – to vidū ir privātie uzņēmumi, privātie un valsts pētniecības centri, biznesa organizācijas, klasteri, kompetences centri un citas juridiskās personas. Atbalsts tiek mērķēts uz būtiskākajām tautsaimniecības nozarēm ar augstu pievienoto vērtību – IT, veselības aprūpi, atjaunojamo enerģiju, kā arī sociālajiem pakalpojumiem.</w:t>
      </w:r>
    </w:p>
    <w:p w:rsidR="00BF6B8C" w:rsidRPr="00DB426E" w:rsidRDefault="00BF6B8C" w:rsidP="00BF6B8C">
      <w:pPr>
        <w:pStyle w:val="Heading3"/>
        <w:numPr>
          <w:ilvl w:val="2"/>
          <w:numId w:val="4"/>
        </w:numPr>
      </w:pPr>
      <w:bookmarkStart w:id="397" w:name="_Toc356472851"/>
      <w:bookmarkStart w:id="398" w:name="_Toc358978783"/>
      <w:r w:rsidRPr="00DB426E">
        <w:t>Itālija</w:t>
      </w:r>
      <w:bookmarkEnd w:id="397"/>
      <w:bookmarkEnd w:id="398"/>
    </w:p>
    <w:p w:rsidR="00BF6B8C" w:rsidRPr="00DB426E" w:rsidRDefault="00BF6B8C" w:rsidP="00BF6B8C">
      <w:r w:rsidRPr="00DB426E">
        <w:t>Itālija ir mērenais novators, un tās inovāciju līmenis ir zem vidējā ES rādītāja. Attīstītākās nozares Itālijas tautsaimniecībā ir tūrisms, mašīnbūve, ķīmiskā ražošana, metalurģija, tekstilrūpniecība un pārtikas rūpniecība.</w:t>
      </w:r>
    </w:p>
    <w:p w:rsidR="00BF6B8C" w:rsidRPr="00DB426E" w:rsidRDefault="00BF6B8C" w:rsidP="00BF6B8C">
      <w:r w:rsidRPr="00DB426E">
        <w:t>Valsts aģentūra, kas Itālijā atbild par publiskā finansējuma pārdali un atbalsta saņēmēju informēšanu, ir aģentūra „</w:t>
      </w:r>
      <w:proofErr w:type="spellStart"/>
      <w:r w:rsidRPr="00DB426E">
        <w:t>Invitalia</w:t>
      </w:r>
      <w:proofErr w:type="spellEnd"/>
      <w:r w:rsidRPr="00DB426E">
        <w:t>”. Tās mērķis ir atbalsta saņēmēju un investoru informēšana par finanšu pieejamību, atbalsta nosacījumiem, biznesa un juridisko konsultāciju sniegšana Itālijas uzņēmumiem.</w:t>
      </w:r>
    </w:p>
    <w:p w:rsidR="00BF6B8C" w:rsidRPr="00DB426E" w:rsidRDefault="00BF6B8C" w:rsidP="00BF6B8C">
      <w:r w:rsidRPr="00DB426E">
        <w:t xml:space="preserve">Valsts finanšu atbalsta instrumentu izmantošanai Itālijā ir izstrādāts informatīvs materiāls „Atbalsta programmas”. Pārskatā iekļauti visi valsts finanšu atbalsta instrumenti, kā arī ES struktūrfondu aktivitātes. </w:t>
      </w:r>
    </w:p>
    <w:p w:rsidR="00BF6B8C" w:rsidRPr="00DB426E" w:rsidRDefault="00BF6B8C" w:rsidP="00BF6B8C">
      <w:r w:rsidRPr="00DB426E">
        <w:t>Itālijā 2007. – 2013. gadam tika uzstādītas trīs galvenās prioritātes, kas jāattīsta, izmantojot ES struktūrfondus, valsts finanšu atbalsta instrumentus un pārrobežu programmas:</w:t>
      </w:r>
    </w:p>
    <w:p w:rsidR="00BF6B8C" w:rsidRPr="00DB426E" w:rsidRDefault="00BF6B8C" w:rsidP="006C3F27">
      <w:pPr>
        <w:numPr>
          <w:ilvl w:val="0"/>
          <w:numId w:val="68"/>
        </w:numPr>
        <w:ind w:left="714" w:hanging="357"/>
        <w:contextualSpacing/>
      </w:pPr>
      <w:r w:rsidRPr="00DB426E">
        <w:t>Jaunu ražotņu izveide (rezultatīvais rādītājs – jaunu ražotņu skaits) un esošo ražotņu paplašināšana (rezultatīvais rādītājs – paplašināto ražotņu skaits);</w:t>
      </w:r>
    </w:p>
    <w:p w:rsidR="00BF6B8C" w:rsidRPr="00DB426E" w:rsidRDefault="00BF6B8C" w:rsidP="006C3F27">
      <w:pPr>
        <w:numPr>
          <w:ilvl w:val="0"/>
          <w:numId w:val="68"/>
        </w:numPr>
        <w:ind w:left="714" w:hanging="357"/>
        <w:contextualSpacing/>
      </w:pPr>
      <w:r w:rsidRPr="00DB426E">
        <w:t>Investīciju veikšana industriālo zonu atjaunošanai (rezultatīvais rādītājs – atjaunoto industriālo zonu skaits;</w:t>
      </w:r>
    </w:p>
    <w:p w:rsidR="00BF6B8C" w:rsidRPr="00DB426E" w:rsidRDefault="00BF6B8C" w:rsidP="006C3F27">
      <w:pPr>
        <w:numPr>
          <w:ilvl w:val="0"/>
          <w:numId w:val="68"/>
        </w:numPr>
        <w:ind w:left="714" w:hanging="357"/>
        <w:contextualSpacing/>
      </w:pPr>
      <w:r w:rsidRPr="00DB426E">
        <w:t>Tehnoloģiju, pētniecības un inovāciju attīstība (rezultatīvais rādītājs – ieguldījumi tehnoloģijās, pētniecībā un inovācijās, EUR).</w:t>
      </w:r>
    </w:p>
    <w:p w:rsidR="00BF6B8C" w:rsidRPr="00DB426E" w:rsidRDefault="00BF6B8C" w:rsidP="00BF6B8C">
      <w:r w:rsidRPr="00DB426E">
        <w:t>Daļa no šīm prioritātēm attiecas tikai uz ražojošo uzņēmumu attīstību, un prioritāšu programmu un aktivitāšu specifiskie mērķi nav R&amp;D attīstības sekmēšana un investīciju palielināšana. Līdzīgi kā Grieķijā, arī Itālijas publiskā finansējuma pārdales politika nosaka atšķirīgus atbalsta nosacījumus atkarībā no uzņēmumu lieluma, prioritāri atbalstot MVU, un atkarībā no administratīvi teritoriālās vienības izaugsmes rādītājiem, primāri atbalstot mazāk attīstītos reģionus un tādējādi veicot tirgus izlīdzināšanu.</w:t>
      </w:r>
    </w:p>
    <w:p w:rsidR="00BF6B8C" w:rsidRPr="00DB426E" w:rsidRDefault="00BF6B8C" w:rsidP="00BF6B8C">
      <w:r w:rsidRPr="00DB426E">
        <w:t>Itālijā eksistē trīs veidu atbalsta piešķiršanas procedūras:</w:t>
      </w:r>
    </w:p>
    <w:p w:rsidR="00BF6B8C" w:rsidRPr="00DB426E" w:rsidRDefault="00BF6B8C" w:rsidP="00BF6B8C">
      <w:r w:rsidRPr="00DB426E">
        <w:t>Automātiskā procedūra. Netiek vērtēti projekta pieteicēja finanšu un ekonomiskie rādītāji. Tiek veikta tikai atbalsta saņemšanas atbilstības kritēriju pārbaude, uz kuras pamata tiek sniegts atbalsts. Piemēram, nodokļu atlaides.</w:t>
      </w:r>
    </w:p>
    <w:p w:rsidR="00BF6B8C" w:rsidRPr="00DB426E" w:rsidRDefault="00BF6B8C" w:rsidP="006C3F27">
      <w:pPr>
        <w:numPr>
          <w:ilvl w:val="0"/>
          <w:numId w:val="69"/>
        </w:numPr>
        <w:ind w:left="714" w:hanging="357"/>
        <w:contextualSpacing/>
      </w:pPr>
      <w:r w:rsidRPr="00DB426E">
        <w:t>Uz novērtējumu bāzēta procedūra. Tiek vērtēta tehniskā, ekonomiskā un finanšu informācija, sasniedzamie finanšu rādītāji, sasniedzamie mērķi, u. c. Pārsvarā tiek pielietota ES struktūrfondu aktivitātēs. Projekti tiek apstiprināti prioritārā kārtībā atkarībā no uzrādītajiem sasniedzamajiem rādītājiem, vai arī kamēr finansējums tiek izsmelts.</w:t>
      </w:r>
    </w:p>
    <w:p w:rsidR="00BF6B8C" w:rsidRPr="00DB426E" w:rsidRDefault="00BF6B8C" w:rsidP="006C3F27">
      <w:pPr>
        <w:numPr>
          <w:ilvl w:val="0"/>
          <w:numId w:val="69"/>
        </w:numPr>
        <w:ind w:left="714" w:hanging="357"/>
        <w:contextualSpacing/>
      </w:pPr>
      <w:r w:rsidRPr="00DB426E">
        <w:t xml:space="preserve">Pārrunu procedūra. Tiek veikta detalizēta klātienes projekta analīze un izvērtēta projekta ilgtspēja un atbalsta veids un apjoms. Šādu mehānismu izmanto, piemēram, attīstības līgumu ar valsti slēgšanas gadījumos. </w:t>
      </w:r>
    </w:p>
    <w:p w:rsidR="00BF6B8C" w:rsidRPr="00DB426E" w:rsidRDefault="00BF6B8C" w:rsidP="00BF6B8C">
      <w:r w:rsidRPr="00DB426E">
        <w:t>2007. – 2013. g. plānošanas periodā 29,5% pieejamā ES struktūrfonda ERAF finansējuma tika novirzīts R&amp;D aktivitāšu veicināšanai. Specifiski R&amp;D attīstībai ir definēti trīs atbalsta sniegšanas virzieni:</w:t>
      </w:r>
    </w:p>
    <w:p w:rsidR="00BF6B8C" w:rsidRPr="00DB426E" w:rsidRDefault="00BF6B8C" w:rsidP="00BF6B8C">
      <w:pPr>
        <w:pStyle w:val="ListParagraph"/>
        <w:numPr>
          <w:ilvl w:val="0"/>
          <w:numId w:val="0"/>
        </w:numPr>
        <w:ind w:left="720"/>
        <w:rPr>
          <w:b/>
          <w:lang w:val="lv-LV"/>
        </w:rPr>
      </w:pPr>
      <w:r w:rsidRPr="00DB426E">
        <w:rPr>
          <w:b/>
          <w:lang w:val="lv-LV"/>
        </w:rPr>
        <w:t xml:space="preserve">Industriālie inovāciju projekti. </w:t>
      </w:r>
    </w:p>
    <w:p w:rsidR="00BF6B8C" w:rsidRPr="00DB426E" w:rsidRDefault="00BF6B8C" w:rsidP="00BF6B8C">
      <w:r w:rsidRPr="00DB426E">
        <w:t>Tiek sniegts augsti inovatīvo projektu atbalsts stratēģiski nozīmīgās nozarēs – energoefektivitāte, ilgtspējīga mobilitāte, jaunās tehnoloģijas dzīvošanai, jaunas tehnoloģijas galvenajām eksporta nozarēm, inovācijas kultūras mantojuma saglabāšanas jomā.</w:t>
      </w:r>
    </w:p>
    <w:p w:rsidR="00BF6B8C" w:rsidRPr="00DB426E" w:rsidRDefault="00BF6B8C" w:rsidP="00BF6B8C">
      <w:pPr>
        <w:pStyle w:val="ListParagraph"/>
        <w:numPr>
          <w:ilvl w:val="0"/>
          <w:numId w:val="0"/>
        </w:numPr>
        <w:ind w:left="720"/>
        <w:rPr>
          <w:b/>
          <w:lang w:val="lv-LV"/>
        </w:rPr>
      </w:pPr>
      <w:r w:rsidRPr="00DB426E">
        <w:rPr>
          <w:b/>
          <w:lang w:val="lv-LV"/>
        </w:rPr>
        <w:t>Uzņēmumu tīkli.</w:t>
      </w:r>
    </w:p>
    <w:p w:rsidR="00BF6B8C" w:rsidRPr="00DB426E" w:rsidRDefault="00BF6B8C" w:rsidP="00BF6B8C">
      <w:r w:rsidRPr="00DB426E">
        <w:t>Mērķa grupa ir MVU, kuriem atbalsts tiek sniegts kooperācijas projektu izstrādes gadījumā. Mērķis ir veicināt MVU tirgus daļas apgūšanu kooperācijas ceļā, nevis atsevišķu uzņēmumu attīstības rezultātā.</w:t>
      </w:r>
    </w:p>
    <w:p w:rsidR="00BF6B8C" w:rsidRPr="00DB426E" w:rsidRDefault="00BF6B8C" w:rsidP="00BF6B8C">
      <w:pPr>
        <w:pStyle w:val="ListParagraph"/>
        <w:numPr>
          <w:ilvl w:val="0"/>
          <w:numId w:val="0"/>
        </w:numPr>
        <w:ind w:left="720"/>
        <w:rPr>
          <w:b/>
          <w:lang w:val="lv-LV"/>
        </w:rPr>
      </w:pPr>
      <w:r w:rsidRPr="00DB426E">
        <w:rPr>
          <w:b/>
          <w:lang w:val="lv-LV"/>
        </w:rPr>
        <w:t xml:space="preserve">Korporatīvo finanšu fonds. </w:t>
      </w:r>
    </w:p>
    <w:p w:rsidR="00BF6B8C" w:rsidRPr="00DB426E" w:rsidRDefault="00BF6B8C" w:rsidP="00BF6B8C">
      <w:r w:rsidRPr="00DB426E">
        <w:t xml:space="preserve">Mērķis ir atvieglot aizdevumu un riska kapitāla investīciju apgūšanu MVU. Atbalsts tiek sniegts īpaši inovatīviem MVU ar augstu riska pakāpi. Atbalsta saņemšanas kritērijus ir definējusi Itālijas Republikas Ekonomikas attīstības ministrija, un atbalsta izsniegšanai ir piesaistīti starpnieki (aģentūras, riska kapitāla fondi). </w:t>
      </w:r>
    </w:p>
    <w:p w:rsidR="00BF6B8C" w:rsidRPr="00DB426E" w:rsidRDefault="00BF6B8C" w:rsidP="00BF6B8C">
      <w:r w:rsidRPr="00DB426E">
        <w:t xml:space="preserve">Atbalsts pārsvarā tiek sniegts ar rūpniecisko pētījumu un eksperimentālo izstrādņu saistītiem izdevumiem. </w:t>
      </w:r>
    </w:p>
    <w:p w:rsidR="00BF6B8C" w:rsidRPr="00DB426E" w:rsidRDefault="00BF6B8C" w:rsidP="00BF6B8C">
      <w:r w:rsidRPr="00DB426E">
        <w:t>Programmas, aktivitātes, un pasākumi, kuru ietvaros finansējums tiek sniegts R&amp;D atbalstam, ir:</w:t>
      </w:r>
    </w:p>
    <w:p w:rsidR="00BF6B8C" w:rsidRPr="00DB426E" w:rsidRDefault="00BF6B8C" w:rsidP="00BF6B8C">
      <w:pPr>
        <w:pStyle w:val="ListParagraph"/>
        <w:numPr>
          <w:ilvl w:val="0"/>
          <w:numId w:val="0"/>
        </w:numPr>
        <w:ind w:left="720"/>
        <w:rPr>
          <w:b/>
          <w:lang w:val="lv-LV"/>
        </w:rPr>
      </w:pPr>
      <w:r w:rsidRPr="00DB426E">
        <w:rPr>
          <w:b/>
          <w:lang w:val="lv-LV"/>
        </w:rPr>
        <w:t>Teritoriālā R&amp;D veicināšanas programma</w:t>
      </w:r>
    </w:p>
    <w:p w:rsidR="00BF6B8C" w:rsidRPr="00DB426E" w:rsidRDefault="00BF6B8C" w:rsidP="00BF6B8C">
      <w:r w:rsidRPr="00DB426E">
        <w:t>Mērķis ir augstas eksportspējas produktu konkurētspējas uzlabošana dažādos reģionos, ar mērķi stiprināt tehnoloģiskos, ražošanas un inovāciju procesus.</w:t>
      </w:r>
    </w:p>
    <w:p w:rsidR="00BF6B8C" w:rsidRPr="00DB426E" w:rsidRDefault="00BF6B8C" w:rsidP="00BF6B8C">
      <w:r w:rsidRPr="00DB426E">
        <w:t xml:space="preserve">Tā rezultātā Itālijas valdība izstrādāja teritoriālās industriālās zonas, balstoties uz katra reģiona stiprajām pusēm, un attīstot reģionos konkrētas nozares, kas veicina valsts attīstību, piemēram, nanotehnoloģijas, bezvadu tehnoloģijas, biotehnoloģijas, loģistika, kultūras mantojums, </w:t>
      </w:r>
      <w:proofErr w:type="spellStart"/>
      <w:r w:rsidRPr="00DB426E">
        <w:t>mehatronika</w:t>
      </w:r>
      <w:proofErr w:type="spellEnd"/>
      <w:r w:rsidRPr="00DB426E">
        <w:t>.</w:t>
      </w:r>
    </w:p>
    <w:p w:rsidR="00BF6B8C" w:rsidRPr="00DB426E" w:rsidRDefault="00BF6B8C" w:rsidP="00BF6B8C">
      <w:pPr>
        <w:pStyle w:val="ListParagraph"/>
        <w:numPr>
          <w:ilvl w:val="0"/>
          <w:numId w:val="0"/>
        </w:numPr>
        <w:ind w:left="720"/>
        <w:rPr>
          <w:b/>
          <w:lang w:val="lv-LV"/>
        </w:rPr>
      </w:pPr>
      <w:r w:rsidRPr="00DB426E">
        <w:rPr>
          <w:b/>
          <w:lang w:val="lv-LV"/>
        </w:rPr>
        <w:t>Apmācību veicināšana</w:t>
      </w:r>
    </w:p>
    <w:p w:rsidR="00BF6B8C" w:rsidRPr="00DB426E" w:rsidRDefault="00BF6B8C" w:rsidP="00BF6B8C">
      <w:r w:rsidRPr="00DB426E">
        <w:t>Programmas mērķis ir sniegt apmācības uzņēmumu darbiniekiem un veicināt cilvēkkapitāla izaugsmi labāku R&amp;D mērķu sasniegšanai.</w:t>
      </w:r>
    </w:p>
    <w:p w:rsidR="00BF6B8C" w:rsidRPr="00DB426E" w:rsidRDefault="00BF6B8C" w:rsidP="00BF6B8C">
      <w:pPr>
        <w:pStyle w:val="ListParagraph"/>
        <w:numPr>
          <w:ilvl w:val="0"/>
          <w:numId w:val="0"/>
        </w:numPr>
        <w:ind w:left="720"/>
        <w:rPr>
          <w:b/>
          <w:lang w:val="lv-LV"/>
        </w:rPr>
      </w:pPr>
      <w:r w:rsidRPr="00DB426E">
        <w:rPr>
          <w:b/>
          <w:lang w:val="lv-LV"/>
        </w:rPr>
        <w:t>Likums 236/93</w:t>
      </w:r>
    </w:p>
    <w:p w:rsidR="00BF6B8C" w:rsidRPr="00DB426E" w:rsidRDefault="00BF6B8C" w:rsidP="00BF6B8C">
      <w:r w:rsidRPr="00DB426E">
        <w:t xml:space="preserve">Likums paredz individuālu un partnerībā plānotu apmācību veikšanu visā Itālijā. Tas paredz gan apmācību veikšanu uzņēmumā tā specifisko mērķu sasniegšanai, gan vispārējo apmācību veikšanai personīgo prasmju papildināšanai. Atbalstāmas ir apmācības vides aizsardzības, drošības, kvalitātes vadības, tehnoloģiju un inovāciju jomā. Apmācību mērķis ir celt uzņēmumu konkurētspēju un uzlabot darbaspēka kvalitāti. </w:t>
      </w:r>
    </w:p>
    <w:p w:rsidR="00BF6B8C" w:rsidRPr="00DB426E" w:rsidRDefault="00BF6B8C" w:rsidP="00BF6B8C">
      <w:pPr>
        <w:pStyle w:val="ListParagraph"/>
        <w:numPr>
          <w:ilvl w:val="0"/>
          <w:numId w:val="0"/>
        </w:numPr>
        <w:ind w:left="720"/>
        <w:rPr>
          <w:b/>
          <w:lang w:val="lv-LV"/>
        </w:rPr>
      </w:pPr>
      <w:r w:rsidRPr="00DB426E">
        <w:rPr>
          <w:b/>
          <w:lang w:val="lv-LV"/>
        </w:rPr>
        <w:t>Eiropas Sociālais fonds</w:t>
      </w:r>
    </w:p>
    <w:p w:rsidR="00BF6B8C" w:rsidRPr="00DB426E" w:rsidRDefault="00BF6B8C" w:rsidP="00BF6B8C">
      <w:r w:rsidRPr="00DB426E">
        <w:t xml:space="preserve">Tiek izsludināti projektu konkursi programmās, apakšprogrammās un aktivitātēs, katrā no tām – ar atšķirīgiem mērķiem un pieteikšanās nosacījumiem. </w:t>
      </w:r>
    </w:p>
    <w:p w:rsidR="00BF6B8C" w:rsidRPr="00DB426E" w:rsidRDefault="00BF6B8C" w:rsidP="00BF6B8C">
      <w:r w:rsidRPr="00DB426E">
        <w:t>Itālijas uzņēmējiem pieejamie nodokļu atvieglojumi, kas stimulē R&amp;D attīstību, ir:</w:t>
      </w:r>
    </w:p>
    <w:p w:rsidR="00BF6B8C" w:rsidRPr="00DB426E" w:rsidRDefault="00BF6B8C" w:rsidP="006C3F27">
      <w:pPr>
        <w:numPr>
          <w:ilvl w:val="0"/>
          <w:numId w:val="70"/>
        </w:numPr>
        <w:ind w:left="714" w:hanging="357"/>
        <w:contextualSpacing/>
      </w:pPr>
      <w:r w:rsidRPr="00DB426E">
        <w:t>Nodokļu kredīts par algas un sociālā nodokļa izmaksām augsti kvalificētiem pētniekiem: 35%;</w:t>
      </w:r>
    </w:p>
    <w:p w:rsidR="00BF6B8C" w:rsidRPr="00DB426E" w:rsidRDefault="00BF6B8C" w:rsidP="006C3F27">
      <w:pPr>
        <w:numPr>
          <w:ilvl w:val="0"/>
          <w:numId w:val="70"/>
        </w:numPr>
        <w:ind w:left="714" w:hanging="357"/>
        <w:contextualSpacing/>
      </w:pPr>
      <w:r w:rsidRPr="00DB426E">
        <w:t>IRAP apliekamā ienākuma samazinājums par algu un sociālā nodokļa izmaksām: 100%;</w:t>
      </w:r>
    </w:p>
    <w:p w:rsidR="00BF6B8C" w:rsidRPr="00DB426E" w:rsidRDefault="00BF6B8C" w:rsidP="006C3F27">
      <w:pPr>
        <w:numPr>
          <w:ilvl w:val="0"/>
          <w:numId w:val="70"/>
        </w:numPr>
        <w:ind w:left="714" w:hanging="357"/>
        <w:contextualSpacing/>
      </w:pPr>
      <w:r w:rsidRPr="00DB426E">
        <w:t>Nodokļu kredīts R&amp;D izmaksu pieauguma gadījumā: 90% no izmaksu pieauguma;</w:t>
      </w:r>
    </w:p>
    <w:p w:rsidR="00BF6B8C" w:rsidRPr="00DB426E" w:rsidRDefault="00BF6B8C" w:rsidP="006C3F27">
      <w:pPr>
        <w:numPr>
          <w:ilvl w:val="0"/>
          <w:numId w:val="70"/>
        </w:numPr>
        <w:ind w:left="714" w:hanging="357"/>
        <w:contextualSpacing/>
      </w:pPr>
      <w:r w:rsidRPr="00DB426E">
        <w:t>Atvieglojumi par investīcijām jaunos R&amp;D uzņēmumos;</w:t>
      </w:r>
    </w:p>
    <w:p w:rsidR="00BF6B8C" w:rsidRPr="00DB426E" w:rsidRDefault="00BF6B8C" w:rsidP="006C3F27">
      <w:pPr>
        <w:numPr>
          <w:ilvl w:val="0"/>
          <w:numId w:val="70"/>
        </w:numPr>
        <w:ind w:left="714" w:hanging="357"/>
        <w:contextualSpacing/>
      </w:pPr>
      <w:r w:rsidRPr="00DB426E">
        <w:t>Nodokļu kredīts par telemātikas platformu izstrādes izmaksām: 25%.</w:t>
      </w:r>
    </w:p>
    <w:p w:rsidR="00BF6B8C" w:rsidRPr="00DB426E" w:rsidRDefault="00BF6B8C" w:rsidP="00BF6B8C">
      <w:pPr>
        <w:spacing w:before="240"/>
      </w:pPr>
      <w:r w:rsidRPr="00DB426E">
        <w:t>Arī Itālijā, līdzīgi kā Spānijā, galvenokārt ir pieejamas nodokļu atlaides, nekā cita veida atvieglojumi. Lielāks uzsvars ir likts uz atbalstu zinātnē iesaistīto darbinieku atalgojumam; to paredz divi no pieciem nodokļu atvieglojumu nosacījumiem.</w:t>
      </w:r>
    </w:p>
    <w:p w:rsidR="00BF6B8C" w:rsidRPr="00DB426E" w:rsidRDefault="00BF6B8C" w:rsidP="00BF6B8C">
      <w:r w:rsidRPr="00DB426E">
        <w:t xml:space="preserve">Finanšu atbalsta instrumenti Itālijā atšķirībā no citām valstīm uzrāda divas būtiskas tendences: pirmkārt, liela nozīme privāto investīciju R&amp;D sekmēšanai ir darbaspēka attīstībai. Atbalsts darbaspēkam tie sniegts </w:t>
      </w:r>
      <w:proofErr w:type="spellStart"/>
      <w:r w:rsidRPr="00DB426E">
        <w:t>daudzskaitlīgu</w:t>
      </w:r>
      <w:proofErr w:type="spellEnd"/>
      <w:r w:rsidRPr="00DB426E">
        <w:t xml:space="preserve"> apmācību programmu veidā, kā arī vairākiem nodokļu atvieglojumiem, kas saistīti ar darbaspēka izmaksu samazināšanu uzņēmējiem. Otrkārt, liela nozīme tiek piešķirta vides pētniecībai, t. sk. R&amp;D aktivitātēm kultūrvēsturiskā mantojuma saglabāšanas jomā un vides tehnoloģiju jomā. Šie abi faktori ir valsts ilgtspējīgas attīstības pamatā, un tāpēc R&amp;D investīciju veicināšanas politika īpaši labi palīdz uzlabot uzņēmumu konkurētspēju. </w:t>
      </w:r>
    </w:p>
    <w:p w:rsidR="00BF6B8C" w:rsidRPr="00DB426E" w:rsidRDefault="00BF6B8C" w:rsidP="00BF6B8C">
      <w:pPr>
        <w:pStyle w:val="Heading3"/>
        <w:numPr>
          <w:ilvl w:val="2"/>
          <w:numId w:val="4"/>
        </w:numPr>
      </w:pPr>
      <w:bookmarkStart w:id="399" w:name="_Toc356472852"/>
      <w:bookmarkStart w:id="400" w:name="_Toc358978784"/>
      <w:r w:rsidRPr="00DB426E">
        <w:t>Zviedrija</w:t>
      </w:r>
      <w:bookmarkEnd w:id="399"/>
      <w:bookmarkEnd w:id="400"/>
    </w:p>
    <w:p w:rsidR="00BF6B8C" w:rsidRPr="00DB426E" w:rsidRDefault="00BF6B8C" w:rsidP="00BF6B8C">
      <w:r w:rsidRPr="00DB426E">
        <w:t xml:space="preserve">Zviedrija ir ES inovāciju līderis, un tās inovāciju rādītāji ir vieni no augstākajiem ES. Līdzīgi kā Igaunija, Zviedrija izmanto tiešus PTA stimulēšanas instrumentus - budžeta finansējumu, </w:t>
      </w:r>
      <w:proofErr w:type="spellStart"/>
      <w:r w:rsidRPr="00DB426E">
        <w:t>grantus</w:t>
      </w:r>
      <w:proofErr w:type="spellEnd"/>
      <w:r w:rsidRPr="00DB426E">
        <w:t>, valsts iepirkumus un tml. Vadošās nozares Zviedrijas tautsaimniecībā ir telekomunikācijas, mežizstrāde, farmācija un metalurģija.</w:t>
      </w:r>
    </w:p>
    <w:p w:rsidR="00BF6B8C" w:rsidRPr="00DB426E" w:rsidRDefault="00BF6B8C" w:rsidP="00BF6B8C">
      <w:r w:rsidRPr="00DB426E">
        <w:t xml:space="preserve">Zviedrija pētniecībā un attīstībā investē ap 3% no IKP, kas ir viens no augstākajiem rādītājiem pasaulē. Arī Zviedrijas valdība par saviem līdzekļiem finansē pētniecības aktivitātes, galvenokārt ar medicīnu, bioloģiju, klimata pārmaiņām un tehnoloģijām saistītos pētniecības virzienos. </w:t>
      </w:r>
    </w:p>
    <w:p w:rsidR="00BF6B8C" w:rsidRPr="00DB426E" w:rsidRDefault="00BF6B8C" w:rsidP="00BF6B8C">
      <w:r w:rsidRPr="00DB426E">
        <w:t xml:space="preserve"> Tas tiek veikts ar vairāku valsts institūciju palīdzību, kas bez pētījumu finansēšanas, veic arī koordinējošas funkcijas. Zviedrijas prioritātes izpētē šobrīd ir saistītas ar medicīnu, bioloģiju, tehnoloģiju un klimatu. Šīs prioritātes laika gaitā mainās, bet noteiktā laika posmā tās tiek pietiekami konkrēti noteiktas, balstoties uz tautsaimniecības attīstības vajadzībām un valsts iespējām. Zviedrijas inovāciju valsts aģentūra „</w:t>
      </w:r>
      <w:proofErr w:type="spellStart"/>
      <w:r w:rsidRPr="00DB426E">
        <w:t>Vinnova</w:t>
      </w:r>
      <w:proofErr w:type="spellEnd"/>
      <w:r w:rsidRPr="00DB426E">
        <w:t xml:space="preserve">” ir atbildīga par inovācijas projektu finansēšanu, valsts finanšu instrumentu līdzekļu pārdali, kā arī uzņēmumu, universitāšu, pētniecības institūtu un publiskā sektora sadarbības sekmēšanu inovāciju jomā. </w:t>
      </w:r>
    </w:p>
    <w:p w:rsidR="00BF6B8C" w:rsidRPr="00DB426E" w:rsidRDefault="00BF6B8C" w:rsidP="00BF6B8C">
      <w:r w:rsidRPr="00DB426E">
        <w:t>Pašlaik Zviedrijā ir identificēti 11 stratēģiskie virzieni valsts atbalsta saņemšanai, kas pārsvarā ir orientēts uz R&amp;D attīstību:</w:t>
      </w:r>
    </w:p>
    <w:p w:rsidR="00BF6B8C" w:rsidRPr="00DB426E" w:rsidRDefault="00BF6B8C" w:rsidP="00BF6B8C">
      <w:pPr>
        <w:pStyle w:val="ListParagraph"/>
        <w:rPr>
          <w:lang w:val="lv-LV"/>
        </w:rPr>
      </w:pPr>
      <w:r w:rsidRPr="00DB426E">
        <w:rPr>
          <w:lang w:val="lv-LV"/>
        </w:rPr>
        <w:t>Biotehnoloģija;</w:t>
      </w:r>
    </w:p>
    <w:p w:rsidR="00BF6B8C" w:rsidRPr="00DB426E" w:rsidRDefault="00BF6B8C" w:rsidP="00BF6B8C">
      <w:pPr>
        <w:pStyle w:val="ListParagraph"/>
        <w:rPr>
          <w:lang w:val="lv-LV"/>
        </w:rPr>
      </w:pPr>
      <w:r w:rsidRPr="00DB426E">
        <w:rPr>
          <w:lang w:val="lv-LV"/>
        </w:rPr>
        <w:t>Vides un enerģētikas tehnoloģijas;</w:t>
      </w:r>
    </w:p>
    <w:p w:rsidR="00BF6B8C" w:rsidRPr="00DB426E" w:rsidRDefault="00BF6B8C" w:rsidP="00BF6B8C">
      <w:pPr>
        <w:pStyle w:val="ListParagraph"/>
        <w:rPr>
          <w:lang w:val="lv-LV"/>
        </w:rPr>
      </w:pPr>
      <w:r w:rsidRPr="00DB426E">
        <w:rPr>
          <w:lang w:val="lv-LV"/>
        </w:rPr>
        <w:t>Dzimumattiecības;</w:t>
      </w:r>
    </w:p>
    <w:p w:rsidR="00BF6B8C" w:rsidRPr="00DB426E" w:rsidRDefault="00BF6B8C" w:rsidP="00BF6B8C">
      <w:pPr>
        <w:pStyle w:val="ListParagraph"/>
        <w:rPr>
          <w:lang w:val="lv-LV"/>
        </w:rPr>
      </w:pPr>
      <w:r w:rsidRPr="00DB426E">
        <w:rPr>
          <w:lang w:val="lv-LV"/>
        </w:rPr>
        <w:t>Veselība;</w:t>
      </w:r>
    </w:p>
    <w:p w:rsidR="00BF6B8C" w:rsidRPr="00DB426E" w:rsidRDefault="00BF6B8C" w:rsidP="00BF6B8C">
      <w:pPr>
        <w:pStyle w:val="ListParagraph"/>
        <w:rPr>
          <w:lang w:val="lv-LV"/>
        </w:rPr>
      </w:pPr>
      <w:r w:rsidRPr="00DB426E">
        <w:rPr>
          <w:lang w:val="lv-LV"/>
        </w:rPr>
        <w:t>Informācijas un komunikāciju tehnoloģija (IKT);</w:t>
      </w:r>
    </w:p>
    <w:p w:rsidR="00BF6B8C" w:rsidRPr="00DB426E" w:rsidRDefault="00BF6B8C" w:rsidP="00BF6B8C">
      <w:pPr>
        <w:pStyle w:val="ListParagraph"/>
        <w:rPr>
          <w:lang w:val="lv-LV"/>
        </w:rPr>
      </w:pPr>
      <w:r w:rsidRPr="00DB426E">
        <w:rPr>
          <w:lang w:val="lv-LV"/>
        </w:rPr>
        <w:t>Informātikas ieviešana;</w:t>
      </w:r>
    </w:p>
    <w:p w:rsidR="00BF6B8C" w:rsidRPr="00DB426E" w:rsidRDefault="00BF6B8C" w:rsidP="00BF6B8C">
      <w:pPr>
        <w:pStyle w:val="ListParagraph"/>
        <w:rPr>
          <w:lang w:val="lv-LV"/>
        </w:rPr>
      </w:pPr>
      <w:r w:rsidRPr="00DB426E">
        <w:rPr>
          <w:lang w:val="lv-LV"/>
        </w:rPr>
        <w:t>Materiāli;</w:t>
      </w:r>
    </w:p>
    <w:p w:rsidR="00BF6B8C" w:rsidRPr="00DB426E" w:rsidRDefault="00BF6B8C" w:rsidP="00BF6B8C">
      <w:pPr>
        <w:pStyle w:val="ListParagraph"/>
        <w:rPr>
          <w:lang w:val="lv-LV"/>
        </w:rPr>
      </w:pPr>
      <w:r w:rsidRPr="00DB426E">
        <w:rPr>
          <w:lang w:val="lv-LV"/>
        </w:rPr>
        <w:t>Organizācija un pārvalde;</w:t>
      </w:r>
    </w:p>
    <w:p w:rsidR="00BF6B8C" w:rsidRPr="00DB426E" w:rsidRDefault="00BF6B8C" w:rsidP="00BF6B8C">
      <w:pPr>
        <w:pStyle w:val="ListParagraph"/>
        <w:rPr>
          <w:lang w:val="lv-LV"/>
        </w:rPr>
      </w:pPr>
      <w:r w:rsidRPr="00DB426E">
        <w:rPr>
          <w:lang w:val="lv-LV"/>
        </w:rPr>
        <w:t>Produktu realizācija;</w:t>
      </w:r>
    </w:p>
    <w:p w:rsidR="00BF6B8C" w:rsidRPr="00DB426E" w:rsidRDefault="00BF6B8C" w:rsidP="00BF6B8C">
      <w:pPr>
        <w:pStyle w:val="ListParagraph"/>
        <w:rPr>
          <w:lang w:val="lv-LV"/>
        </w:rPr>
      </w:pPr>
      <w:r w:rsidRPr="00DB426E">
        <w:rPr>
          <w:lang w:val="lv-LV"/>
        </w:rPr>
        <w:t>Drošība;</w:t>
      </w:r>
    </w:p>
    <w:p w:rsidR="00BF6B8C" w:rsidRPr="00DB426E" w:rsidRDefault="00BF6B8C" w:rsidP="00BF6B8C">
      <w:pPr>
        <w:pStyle w:val="ListParagraph"/>
        <w:rPr>
          <w:lang w:val="lv-LV"/>
        </w:rPr>
      </w:pPr>
      <w:r w:rsidRPr="00DB426E">
        <w:rPr>
          <w:lang w:val="lv-LV"/>
        </w:rPr>
        <w:t>Pakalpojumi;</w:t>
      </w:r>
    </w:p>
    <w:p w:rsidR="00BF6B8C" w:rsidRPr="00DB426E" w:rsidRDefault="00BF6B8C" w:rsidP="00BF6B8C">
      <w:pPr>
        <w:pStyle w:val="ListParagraph"/>
        <w:rPr>
          <w:lang w:val="lv-LV"/>
        </w:rPr>
      </w:pPr>
      <w:r w:rsidRPr="00DB426E">
        <w:rPr>
          <w:lang w:val="lv-LV"/>
        </w:rPr>
        <w:t>Transports.</w:t>
      </w:r>
    </w:p>
    <w:p w:rsidR="00BF6B8C" w:rsidRPr="00DB426E" w:rsidRDefault="00BF6B8C" w:rsidP="00BF6B8C">
      <w:pPr>
        <w:spacing w:before="240"/>
      </w:pPr>
      <w:r w:rsidRPr="00DB426E">
        <w:t>Šo virzienu attīstību koordinē „</w:t>
      </w:r>
      <w:proofErr w:type="spellStart"/>
      <w:r w:rsidRPr="00DB426E">
        <w:t>Vinnova</w:t>
      </w:r>
      <w:proofErr w:type="spellEnd"/>
      <w:r w:rsidRPr="00DB426E">
        <w:t>”, un atbalsta saņemšanas mērķgrupas ir:</w:t>
      </w:r>
    </w:p>
    <w:p w:rsidR="00BF6B8C" w:rsidRPr="00DB426E" w:rsidRDefault="00BF6B8C" w:rsidP="00BF6B8C">
      <w:pPr>
        <w:pStyle w:val="ListParagraph"/>
        <w:rPr>
          <w:lang w:val="lv-LV"/>
        </w:rPr>
      </w:pPr>
      <w:r w:rsidRPr="00DB426E">
        <w:rPr>
          <w:lang w:val="lv-LV"/>
        </w:rPr>
        <w:t>Universitātes;</w:t>
      </w:r>
    </w:p>
    <w:p w:rsidR="00BF6B8C" w:rsidRPr="00DB426E" w:rsidRDefault="00BF6B8C" w:rsidP="00BF6B8C">
      <w:pPr>
        <w:pStyle w:val="ListParagraph"/>
        <w:rPr>
          <w:lang w:val="lv-LV"/>
        </w:rPr>
      </w:pPr>
      <w:r w:rsidRPr="00DB426E">
        <w:rPr>
          <w:lang w:val="lv-LV"/>
        </w:rPr>
        <w:t>Mazie un vidējie uzņēmumi;</w:t>
      </w:r>
    </w:p>
    <w:p w:rsidR="00BF6B8C" w:rsidRPr="00DB426E" w:rsidRDefault="00BF6B8C" w:rsidP="00BF6B8C">
      <w:pPr>
        <w:pStyle w:val="ListParagraph"/>
        <w:rPr>
          <w:lang w:val="lv-LV"/>
        </w:rPr>
      </w:pPr>
      <w:r w:rsidRPr="00DB426E">
        <w:rPr>
          <w:lang w:val="lv-LV"/>
        </w:rPr>
        <w:t>Pētniecības institūti;</w:t>
      </w:r>
    </w:p>
    <w:p w:rsidR="00BF6B8C" w:rsidRPr="00DB426E" w:rsidRDefault="00BF6B8C" w:rsidP="00BF6B8C">
      <w:pPr>
        <w:pStyle w:val="ListParagraph"/>
        <w:rPr>
          <w:lang w:val="lv-LV"/>
        </w:rPr>
      </w:pPr>
      <w:r w:rsidRPr="00DB426E">
        <w:rPr>
          <w:lang w:val="lv-LV"/>
        </w:rPr>
        <w:t>Pašvaldības;</w:t>
      </w:r>
    </w:p>
    <w:p w:rsidR="00BF6B8C" w:rsidRPr="00DB426E" w:rsidRDefault="00BF6B8C" w:rsidP="00BF6B8C">
      <w:pPr>
        <w:pStyle w:val="ListParagraph"/>
        <w:rPr>
          <w:lang w:val="lv-LV"/>
        </w:rPr>
      </w:pPr>
      <w:r w:rsidRPr="00DB426E">
        <w:rPr>
          <w:lang w:val="lv-LV"/>
        </w:rPr>
        <w:t>Individuāli pētnieki.</w:t>
      </w:r>
      <w:r w:rsidRPr="00DB426E">
        <w:rPr>
          <w:rStyle w:val="FootnoteReference"/>
          <w:rFonts w:cs="Arial"/>
          <w:color w:val="000000"/>
          <w:lang w:val="lv-LV"/>
        </w:rPr>
        <w:footnoteReference w:id="48"/>
      </w:r>
    </w:p>
    <w:p w:rsidR="00BF6B8C" w:rsidRPr="00DB426E" w:rsidRDefault="00BF6B8C" w:rsidP="00BF6B8C">
      <w:pPr>
        <w:spacing w:before="240"/>
      </w:pPr>
      <w:r w:rsidRPr="00DB426E">
        <w:t>Specifiski uz investīciju piesaisti R&amp;D ir vērsti šādi fondi, programmas un atbalsta veidi:</w:t>
      </w:r>
    </w:p>
    <w:p w:rsidR="00BF6B8C" w:rsidRPr="00DB426E" w:rsidRDefault="00BF6B8C" w:rsidP="00BF6B8C">
      <w:pPr>
        <w:pStyle w:val="NormalWeb"/>
        <w:shd w:val="clear" w:color="auto" w:fill="FFFFFF"/>
        <w:ind w:firstLine="720"/>
        <w:rPr>
          <w:rFonts w:ascii="Calibri" w:hAnsi="Calibri" w:cs="Arial"/>
          <w:b/>
          <w:color w:val="000000"/>
          <w:sz w:val="22"/>
          <w:szCs w:val="22"/>
          <w:lang w:val="lv-LV"/>
        </w:rPr>
      </w:pPr>
      <w:r w:rsidRPr="00DB426E">
        <w:rPr>
          <w:rFonts w:ascii="Calibri" w:hAnsi="Calibri" w:cs="Arial"/>
          <w:b/>
          <w:color w:val="000000"/>
          <w:sz w:val="22"/>
          <w:szCs w:val="22"/>
          <w:lang w:val="lv-LV"/>
        </w:rPr>
        <w:t xml:space="preserve">„Nordic </w:t>
      </w:r>
      <w:proofErr w:type="spellStart"/>
      <w:r w:rsidRPr="00DB426E">
        <w:rPr>
          <w:rFonts w:ascii="Calibri" w:hAnsi="Calibri" w:cs="Arial"/>
          <w:b/>
          <w:color w:val="000000"/>
          <w:sz w:val="22"/>
          <w:szCs w:val="22"/>
          <w:lang w:val="lv-LV"/>
        </w:rPr>
        <w:t>funding</w:t>
      </w:r>
      <w:proofErr w:type="spellEnd"/>
      <w:r w:rsidRPr="00DB426E">
        <w:rPr>
          <w:rFonts w:ascii="Calibri" w:hAnsi="Calibri" w:cs="Arial"/>
          <w:b/>
          <w:color w:val="000000"/>
          <w:sz w:val="22"/>
          <w:szCs w:val="22"/>
          <w:lang w:val="lv-LV"/>
        </w:rPr>
        <w:t>”</w:t>
      </w:r>
    </w:p>
    <w:p w:rsidR="00BF6B8C" w:rsidRPr="00DB426E" w:rsidRDefault="00BF6B8C" w:rsidP="00BF6B8C">
      <w:pPr>
        <w:pStyle w:val="ListParagraph"/>
        <w:rPr>
          <w:lang w:val="lv-LV"/>
        </w:rPr>
      </w:pPr>
      <w:r w:rsidRPr="00DB426E">
        <w:rPr>
          <w:lang w:val="lv-LV"/>
        </w:rPr>
        <w:t>Ziemeļu inovāciju projektu programma visās nozarēs;</w:t>
      </w:r>
    </w:p>
    <w:p w:rsidR="00BF6B8C" w:rsidRPr="00DB426E" w:rsidRDefault="00BF6B8C" w:rsidP="00BF6B8C">
      <w:pPr>
        <w:pStyle w:val="ListParagraph"/>
        <w:rPr>
          <w:lang w:val="lv-LV"/>
        </w:rPr>
      </w:pPr>
      <w:r w:rsidRPr="00DB426E">
        <w:rPr>
          <w:lang w:val="lv-LV"/>
        </w:rPr>
        <w:t>Ziemeļu Baltijas mobilitātes un biznesa un industrijas tīkla attīstība visās nozarēs;</w:t>
      </w:r>
    </w:p>
    <w:p w:rsidR="00BF6B8C" w:rsidRPr="00DB426E" w:rsidRDefault="00BF6B8C" w:rsidP="00BF6B8C">
      <w:pPr>
        <w:pStyle w:val="ListParagraph"/>
        <w:rPr>
          <w:lang w:val="lv-LV"/>
        </w:rPr>
      </w:pPr>
      <w:proofErr w:type="spellStart"/>
      <w:r w:rsidRPr="00DB426E">
        <w:rPr>
          <w:lang w:val="lv-LV"/>
        </w:rPr>
        <w:t>Nopef</w:t>
      </w:r>
      <w:proofErr w:type="spellEnd"/>
      <w:r w:rsidRPr="00DB426E">
        <w:rPr>
          <w:lang w:val="lv-LV"/>
        </w:rPr>
        <w:t xml:space="preserve"> fonds internacionalizācijas priekšizpētei;</w:t>
      </w:r>
    </w:p>
    <w:p w:rsidR="00BF6B8C" w:rsidRPr="00DB426E" w:rsidRDefault="00BF6B8C" w:rsidP="00BF6B8C">
      <w:pPr>
        <w:pStyle w:val="ListParagraph"/>
        <w:rPr>
          <w:lang w:val="lv-LV"/>
        </w:rPr>
      </w:pPr>
      <w:r w:rsidRPr="00DB426E">
        <w:rPr>
          <w:lang w:val="lv-LV"/>
        </w:rPr>
        <w:t>Fonds „Ūdens ekosistēmas” darba grupai pilotprojekta „Tīrs Ūdens” ietvaros;</w:t>
      </w:r>
    </w:p>
    <w:p w:rsidR="00BF6B8C" w:rsidRPr="00DB426E" w:rsidRDefault="00BF6B8C" w:rsidP="00BF6B8C">
      <w:pPr>
        <w:pStyle w:val="ListParagraph"/>
        <w:rPr>
          <w:lang w:val="lv-LV"/>
        </w:rPr>
      </w:pPr>
      <w:r w:rsidRPr="00DB426E">
        <w:rPr>
          <w:lang w:val="lv-LV"/>
        </w:rPr>
        <w:t>Ziemeļatlantijas sadarbība (NORA) (piemēram, IKT projekti);</w:t>
      </w:r>
    </w:p>
    <w:p w:rsidR="00BF6B8C" w:rsidRPr="00DB426E" w:rsidRDefault="00BF6B8C" w:rsidP="00BF6B8C">
      <w:pPr>
        <w:pStyle w:val="ListParagraph"/>
        <w:rPr>
          <w:lang w:val="lv-LV"/>
        </w:rPr>
      </w:pPr>
      <w:r w:rsidRPr="00DB426E">
        <w:rPr>
          <w:lang w:val="lv-LV"/>
        </w:rPr>
        <w:t xml:space="preserve">Ziemeļu inovācijas reprezentācijas programma A4Life pilotprojektam un </w:t>
      </w:r>
      <w:proofErr w:type="spellStart"/>
      <w:r w:rsidRPr="00DB426E">
        <w:rPr>
          <w:lang w:val="lv-LV"/>
        </w:rPr>
        <w:t>Interreg</w:t>
      </w:r>
      <w:proofErr w:type="spellEnd"/>
      <w:r w:rsidRPr="00DB426E">
        <w:rPr>
          <w:lang w:val="lv-LV"/>
        </w:rPr>
        <w:t xml:space="preserve"> projektam ar Āziju.</w:t>
      </w:r>
    </w:p>
    <w:p w:rsidR="00BF6B8C" w:rsidRPr="00DB426E" w:rsidRDefault="00BF6B8C" w:rsidP="00BF6B8C">
      <w:pPr>
        <w:pStyle w:val="ListParagraph"/>
        <w:rPr>
          <w:lang w:val="lv-LV"/>
        </w:rPr>
      </w:pPr>
      <w:proofErr w:type="spellStart"/>
      <w:r w:rsidRPr="00DB426E">
        <w:rPr>
          <w:lang w:val="lv-LV"/>
        </w:rPr>
        <w:t>Interreg</w:t>
      </w:r>
      <w:proofErr w:type="spellEnd"/>
      <w:r w:rsidRPr="00DB426E">
        <w:rPr>
          <w:lang w:val="lv-LV"/>
        </w:rPr>
        <w:t xml:space="preserve"> projekti: mazie projekti līdz 125 000 SEK sadarbības </w:t>
      </w:r>
      <w:proofErr w:type="spellStart"/>
      <w:r w:rsidRPr="00DB426E">
        <w:rPr>
          <w:lang w:val="lv-LV"/>
        </w:rPr>
        <w:t>priekšizpēšu</w:t>
      </w:r>
      <w:proofErr w:type="spellEnd"/>
      <w:r w:rsidRPr="00DB426E">
        <w:rPr>
          <w:lang w:val="lv-LV"/>
        </w:rPr>
        <w:t xml:space="preserve"> finansēšanai. </w:t>
      </w:r>
    </w:p>
    <w:p w:rsidR="00BF6B8C" w:rsidRPr="00DB426E" w:rsidRDefault="00BF6B8C" w:rsidP="00BF6B8C">
      <w:r w:rsidRPr="00DB426E">
        <w:t>Zviedrijā darbojas asociācija „Zviedrijas biznesa inkubatori un tehnoloģiju parki”, kas apvieno 62 dažādas inovāciju organizācijas 80 vietās visā Zviedrijā. Organizācijā ir iesaistīti vairāk nekā 5 000 uzņēmumu un vairāk nekā 72 000 darbinieku. Sešiem labākajiem biznesa inkubatoriem un tehnoloģiju parkiem, kuri uzrāda visaugstākos rezultātus, tiek piešķirts papildus finansējums (2012. gadā 10 miljonu Zviedrijas kronu apmērā).</w:t>
      </w:r>
      <w:r w:rsidRPr="00DB426E">
        <w:rPr>
          <w:rStyle w:val="FootnoteReference"/>
          <w:rFonts w:cs="Arial"/>
          <w:color w:val="000000"/>
        </w:rPr>
        <w:footnoteReference w:id="49"/>
      </w:r>
    </w:p>
    <w:p w:rsidR="00BF6B8C" w:rsidRPr="00DB426E" w:rsidRDefault="00BF6B8C" w:rsidP="00BF6B8C">
      <w:r w:rsidRPr="00DB426E">
        <w:t xml:space="preserve">Zviedrijā valsts atbalstu saņem astoņi riska kapitāla fondi, kuru kopējais finansējums ir gandrīz 750 miljoni kronu. Riska kapitāla fondi nav koncentrēti vienā vietā, bet gan katrs no tiem darbojas citā ģeogrāfiskajā teritorijā, tādējādi radot vienlīdzīgas iespējas visiem Zviedrijas novatoriem. </w:t>
      </w:r>
    </w:p>
    <w:p w:rsidR="00BF6B8C" w:rsidRPr="00DB426E" w:rsidRDefault="00BF6B8C" w:rsidP="00BF6B8C">
      <w:r w:rsidRPr="00DB426E">
        <w:t>Pieejams ir arī ES struktūrfondu finansējums, ko arī koordinē „</w:t>
      </w:r>
      <w:proofErr w:type="spellStart"/>
      <w:r w:rsidRPr="00DB426E">
        <w:t>Vinnoa</w:t>
      </w:r>
      <w:proofErr w:type="spellEnd"/>
      <w:r w:rsidRPr="00DB426E">
        <w:t xml:space="preserve">”. Finansējumu R&amp;D aktivitāšu veicināšanai un finansējuma piesaistei iespējams saņemt no ERAF, kura ietvaros tiek izsludināta pieteikšanās fonda programmās, līdzīgi kā tas ir visās citās atbalsta programmās Zviedrijā. Gan ERAF, gan citu fondu gadījumos projekta pieteicējam ir iespēja saņemt neatmaksājamo </w:t>
      </w:r>
      <w:proofErr w:type="spellStart"/>
      <w:r w:rsidRPr="00DB426E">
        <w:t>grantu</w:t>
      </w:r>
      <w:proofErr w:type="spellEnd"/>
      <w:r w:rsidRPr="00DB426E">
        <w:t xml:space="preserve"> atbalstāmo aktivitāšu īstenošanai. Valsts aizdevumu, garantiju u.tml. atbalsta instrumentu izmantošana Zviedrijā nav populāra. Tas saistīts ar specifisko atbalsta sniegšanas sistēmu, kas paredz tiešo stimulēšanas instrumentu izmantošanu. </w:t>
      </w:r>
    </w:p>
    <w:p w:rsidR="00BF6B8C" w:rsidRPr="00DB426E" w:rsidRDefault="00BF6B8C" w:rsidP="00BF6B8C">
      <w:r w:rsidRPr="00DB426E">
        <w:t>Atbalsta saņemšanai Zviedrijā var pieteikties pēc tam, kad „</w:t>
      </w:r>
      <w:proofErr w:type="spellStart"/>
      <w:r w:rsidRPr="00DB426E">
        <w:t>Vinnova</w:t>
      </w:r>
      <w:proofErr w:type="spellEnd"/>
      <w:r w:rsidRPr="00DB426E">
        <w:t xml:space="preserve">” ir izsludinājusi jaunu pieteikšanās kārtu kādā no programmām. Daļa šo sludinājumu ir starptautiskā mērogā. Nolikums un piedāvājums parasti ir standarta formā, izmantojot standarta veidlapas, kas palīdz nodrošināt pieteikšanās caurskatāmību un ierobežot negodīgu konkurenci projektu pieteikumu iesniegšanas laikā. Tāpat programmu pieteikšanās rezultāti ir pieejami plašai sabiedrībai, tādējādi palīdzot labāk saprast inovācijas procesus un aktualitātes. Pieteikšanās atbalstam notiek elektroniski. </w:t>
      </w:r>
    </w:p>
    <w:p w:rsidR="00BF6B8C" w:rsidRPr="00DB426E" w:rsidRDefault="00BF6B8C" w:rsidP="00BF6B8C">
      <w:r w:rsidRPr="00DB426E">
        <w:t xml:space="preserve">Atšķirībā no daudzām citām valstīm, Zviedrija paredz arī atbalsta sniegšanu individuāliem pētniekiem. Lai gan tas nesekmē sadarbības veidošanos starp zinātniekiem un institūcijām, šāda atbalsta sniegšana viennozīmīgi sekmē jaunu inovāciju rašanos un zinātnes attīstību arī ārpus lieliem industriālajiem parkiem, klasteriem un kompetences centriem. Vienas valsts aģentūras piesaiste atbalsta koordinēšanai, kā arī caurskatāmais pieteikšanās process un rezultātu publicēšana, ļauj padarīt atbalsta saņemšanu Zviedrijā vienkāršu un godīgu, kā arī veicināt iedzīvotāju izpratnes veicināšanu par inovāciju procesiem. Inovāciju līderim nav mazsvarīga visu iedzīvotāju iesaiste inovācijas procesos. </w:t>
      </w:r>
    </w:p>
    <w:p w:rsidR="00BF6B8C" w:rsidRPr="00DB426E" w:rsidRDefault="00BF6B8C" w:rsidP="00BF6B8C">
      <w:pPr>
        <w:pStyle w:val="Heading3"/>
        <w:numPr>
          <w:ilvl w:val="2"/>
          <w:numId w:val="4"/>
        </w:numPr>
      </w:pPr>
      <w:bookmarkStart w:id="401" w:name="_Toc356472853"/>
      <w:bookmarkStart w:id="402" w:name="_Toc358978785"/>
      <w:r w:rsidRPr="00DB426E">
        <w:t>Vācija</w:t>
      </w:r>
      <w:bookmarkEnd w:id="401"/>
      <w:bookmarkEnd w:id="402"/>
    </w:p>
    <w:p w:rsidR="00BF6B8C" w:rsidRPr="00DB426E" w:rsidRDefault="00BF6B8C" w:rsidP="00BF6B8C">
      <w:r w:rsidRPr="00DB426E">
        <w:t xml:space="preserve">Vācija ir viens no ES inovāciju līderiem, kas, tāpat kā Zviedrija, izmanto tiešos PTA stimulēšanas instrumentus - budžeta finansējumu, </w:t>
      </w:r>
      <w:proofErr w:type="spellStart"/>
      <w:r w:rsidRPr="00DB426E">
        <w:t>grantus</w:t>
      </w:r>
      <w:proofErr w:type="spellEnd"/>
      <w:r w:rsidRPr="00DB426E">
        <w:t xml:space="preserve">, u. c. Vācijas attīstītākās tautsaimniecības nozares ir mašīnbūve, metālapstrāde, farmācija, ķīmiskā rūpniecība, u. c. Ik gadus R&amp;D attīstībai Vācija tērē ap 3% no visiem izdevumiem, jeb ap 70 miljardiem eiro. </w:t>
      </w:r>
    </w:p>
    <w:p w:rsidR="00BF6B8C" w:rsidRPr="00DB426E" w:rsidRDefault="00BF6B8C" w:rsidP="00BF6B8C">
      <w:r w:rsidRPr="00DB426E">
        <w:t>„</w:t>
      </w:r>
      <w:proofErr w:type="spellStart"/>
      <w:r w:rsidRPr="00DB426E">
        <w:t>Germany</w:t>
      </w:r>
      <w:proofErr w:type="spellEnd"/>
      <w:r w:rsidRPr="00DB426E">
        <w:t xml:space="preserve"> </w:t>
      </w:r>
      <w:proofErr w:type="spellStart"/>
      <w:r w:rsidRPr="00DB426E">
        <w:t>Trade</w:t>
      </w:r>
      <w:proofErr w:type="spellEnd"/>
      <w:r w:rsidRPr="00DB426E">
        <w:t xml:space="preserve"> &amp; </w:t>
      </w:r>
      <w:proofErr w:type="spellStart"/>
      <w:r w:rsidRPr="00DB426E">
        <w:t>Investment</w:t>
      </w:r>
      <w:proofErr w:type="spellEnd"/>
      <w:r w:rsidRPr="00DB426E">
        <w:t xml:space="preserve">” ir valsts aģentūra, kas sekmē investīciju piesaisti Vācijas uzņēmumiem un sniedz uzņēmējiem atbalsta saņemšanas iespēju konsultācijas. </w:t>
      </w:r>
    </w:p>
    <w:p w:rsidR="00BF6B8C" w:rsidRPr="00DB426E" w:rsidRDefault="00BF6B8C" w:rsidP="00BF6B8C">
      <w:r w:rsidRPr="00DB426E">
        <w:t>Vācijā atbalsta sniegšana R&amp;D aktivitātēm notiek trīs līmeņos: 1) Eiropas Komisijas programmas; 2) Vācijas valdības programmas, 3) Vācijas federālo zemju programmas.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BF6B8C" w:rsidRPr="00DB426E" w:rsidTr="00BF6B8C">
        <w:tc>
          <w:tcPr>
            <w:tcW w:w="8522" w:type="dxa"/>
            <w:gridSpan w:val="2"/>
            <w:shd w:val="clear" w:color="auto" w:fill="F2F2F2"/>
          </w:tcPr>
          <w:p w:rsidR="00BF6B8C" w:rsidRPr="00DB426E" w:rsidRDefault="00BF6B8C" w:rsidP="00BF6B8C">
            <w:pPr>
              <w:spacing w:after="60"/>
              <w:jc w:val="center"/>
              <w:rPr>
                <w:sz w:val="20"/>
                <w:szCs w:val="20"/>
              </w:rPr>
            </w:pPr>
            <w:r w:rsidRPr="00DB426E">
              <w:rPr>
                <w:sz w:val="20"/>
                <w:szCs w:val="20"/>
              </w:rPr>
              <w:t>1. Eiropas Komisijas programmas</w:t>
            </w:r>
          </w:p>
        </w:tc>
      </w:tr>
      <w:tr w:rsidR="00BF6B8C" w:rsidRPr="00DB426E" w:rsidTr="00BF6B8C">
        <w:tc>
          <w:tcPr>
            <w:tcW w:w="8522" w:type="dxa"/>
            <w:gridSpan w:val="2"/>
          </w:tcPr>
          <w:p w:rsidR="00BF6B8C" w:rsidRPr="00DB426E" w:rsidRDefault="00BF6B8C" w:rsidP="00BF6B8C">
            <w:pPr>
              <w:spacing w:after="60"/>
              <w:jc w:val="center"/>
              <w:rPr>
                <w:sz w:val="20"/>
                <w:szCs w:val="20"/>
              </w:rPr>
            </w:pPr>
            <w:r w:rsidRPr="00DB426E">
              <w:rPr>
                <w:sz w:val="20"/>
                <w:szCs w:val="20"/>
              </w:rPr>
              <w:t>7. ietvarprogramma</w:t>
            </w:r>
          </w:p>
        </w:tc>
      </w:tr>
      <w:tr w:rsidR="00BF6B8C" w:rsidRPr="00DB426E" w:rsidTr="00BF6B8C">
        <w:tc>
          <w:tcPr>
            <w:tcW w:w="4261" w:type="dxa"/>
          </w:tcPr>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R&amp;D atbalsta programmas ar specifisku tehnoloģiju fokusu</w:t>
            </w:r>
          </w:p>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(sadarbība ir obligāta)</w:t>
            </w:r>
          </w:p>
        </w:tc>
        <w:tc>
          <w:tcPr>
            <w:tcW w:w="4261" w:type="dxa"/>
          </w:tcPr>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Tehnoloģiju attīstības programmas MVU atbalstam (sadarbība ir obligāta)</w:t>
            </w:r>
          </w:p>
        </w:tc>
      </w:tr>
      <w:tr w:rsidR="00BF6B8C" w:rsidRPr="00DB426E" w:rsidTr="00BF6B8C">
        <w:tc>
          <w:tcPr>
            <w:tcW w:w="8522" w:type="dxa"/>
            <w:gridSpan w:val="2"/>
            <w:shd w:val="clear" w:color="auto" w:fill="F2F2F2"/>
          </w:tcPr>
          <w:p w:rsidR="00BF6B8C" w:rsidRPr="00DB426E" w:rsidRDefault="00BF6B8C" w:rsidP="00BF6B8C">
            <w:pPr>
              <w:spacing w:after="60"/>
              <w:jc w:val="center"/>
              <w:rPr>
                <w:sz w:val="20"/>
                <w:szCs w:val="20"/>
              </w:rPr>
            </w:pPr>
            <w:r w:rsidRPr="00DB426E">
              <w:rPr>
                <w:sz w:val="20"/>
                <w:szCs w:val="20"/>
              </w:rPr>
              <w:t>2. Vācijas valdības programmas</w:t>
            </w:r>
          </w:p>
        </w:tc>
      </w:tr>
      <w:tr w:rsidR="00BF6B8C" w:rsidRPr="00DB426E" w:rsidTr="00BF6B8C">
        <w:tc>
          <w:tcPr>
            <w:tcW w:w="8522" w:type="dxa"/>
            <w:gridSpan w:val="2"/>
            <w:shd w:val="clear" w:color="auto" w:fill="FFFFFF"/>
          </w:tcPr>
          <w:p w:rsidR="00BF6B8C" w:rsidRPr="00DB426E" w:rsidRDefault="00BF6B8C" w:rsidP="00BF6B8C">
            <w:pPr>
              <w:spacing w:after="60"/>
              <w:jc w:val="center"/>
              <w:rPr>
                <w:sz w:val="20"/>
                <w:szCs w:val="20"/>
              </w:rPr>
            </w:pPr>
            <w:r w:rsidRPr="00DB426E">
              <w:rPr>
                <w:sz w:val="20"/>
                <w:szCs w:val="20"/>
              </w:rPr>
              <w:t>Augsto tehnoloģiju stratēģija</w:t>
            </w:r>
          </w:p>
        </w:tc>
      </w:tr>
      <w:tr w:rsidR="00BF6B8C" w:rsidRPr="00DB426E" w:rsidTr="00BF6B8C">
        <w:tc>
          <w:tcPr>
            <w:tcW w:w="4261" w:type="dxa"/>
          </w:tcPr>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Programmas ar specifisko fokusēšanos uz tehnoloģiju attīstību (sadarbība pārsvarā nepieciešama)</w:t>
            </w:r>
          </w:p>
        </w:tc>
        <w:tc>
          <w:tcPr>
            <w:tcW w:w="4261" w:type="dxa"/>
          </w:tcPr>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Vispārīgas tehnoloģiju attīstības programmas (sadarbība nav obligāta, bet ir iespējama)</w:t>
            </w:r>
          </w:p>
        </w:tc>
      </w:tr>
      <w:tr w:rsidR="00BF6B8C" w:rsidRPr="00DB426E" w:rsidTr="00BF6B8C">
        <w:tc>
          <w:tcPr>
            <w:tcW w:w="8522" w:type="dxa"/>
            <w:gridSpan w:val="2"/>
            <w:shd w:val="clear" w:color="auto" w:fill="F2F2F2"/>
          </w:tcPr>
          <w:p w:rsidR="00BF6B8C" w:rsidRPr="00DB426E" w:rsidRDefault="00BF6B8C" w:rsidP="00BF6B8C">
            <w:pPr>
              <w:spacing w:after="60"/>
              <w:jc w:val="center"/>
              <w:rPr>
                <w:sz w:val="20"/>
                <w:szCs w:val="20"/>
              </w:rPr>
            </w:pPr>
            <w:r w:rsidRPr="00DB426E">
              <w:rPr>
                <w:sz w:val="20"/>
                <w:szCs w:val="20"/>
              </w:rPr>
              <w:t>3. Vācijas federālo zemju programmas</w:t>
            </w:r>
          </w:p>
        </w:tc>
      </w:tr>
      <w:tr w:rsidR="00BF6B8C" w:rsidRPr="00DB426E" w:rsidTr="00BF6B8C">
        <w:tc>
          <w:tcPr>
            <w:tcW w:w="8522" w:type="dxa"/>
            <w:gridSpan w:val="2"/>
          </w:tcPr>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Individuālas programmas</w:t>
            </w:r>
          </w:p>
        </w:tc>
      </w:tr>
      <w:tr w:rsidR="00BF6B8C" w:rsidRPr="00DB426E" w:rsidTr="00BF6B8C">
        <w:tc>
          <w:tcPr>
            <w:tcW w:w="8522" w:type="dxa"/>
            <w:gridSpan w:val="2"/>
          </w:tcPr>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Tehnoloģiju fokuss atkarībā no programmas.</w:t>
            </w:r>
          </w:p>
          <w:p w:rsidR="00BF6B8C" w:rsidRPr="00475128" w:rsidRDefault="00BF6B8C" w:rsidP="00BF6B8C">
            <w:pPr>
              <w:pStyle w:val="ListParagraph"/>
              <w:spacing w:after="60" w:line="276" w:lineRule="auto"/>
              <w:ind w:left="0"/>
              <w:jc w:val="center"/>
              <w:rPr>
                <w:sz w:val="20"/>
                <w:szCs w:val="20"/>
                <w:lang w:val="lv-LV"/>
              </w:rPr>
            </w:pPr>
            <w:r w:rsidRPr="00475128">
              <w:rPr>
                <w:sz w:val="20"/>
                <w:szCs w:val="20"/>
                <w:lang w:val="lv-LV"/>
              </w:rPr>
              <w:t>(Sadarbība nav obligāta, bet ir iespējama)</w:t>
            </w:r>
          </w:p>
        </w:tc>
      </w:tr>
    </w:tbl>
    <w:p w:rsidR="00BF6B8C" w:rsidRPr="00DB426E" w:rsidRDefault="00BF6B8C" w:rsidP="00BF6B8C">
      <w:pPr>
        <w:spacing w:before="240"/>
      </w:pPr>
      <w:r w:rsidRPr="00DB426E">
        <w:t>R&amp;D atbalsta saņemšanai paredzētās programmas pārsvarā ir vērstas uz tehnoloģiju attīstību. Projektus iespējams īstenot, piesakoties EK administrētajās programmās, Vācijas valdības izsludinātajās programmās saskaņā ar „Augsto tehnoloģiju stratēģiju”, kā arī individuālās Vācijas federālo zemju programmās. R&amp;D aktivitātes ir pamatā vērstas uz jaunu tehnoloģiju izstrādi, attīstību un izmantošanu. Projektu pieteicēji var izvēlēties sev piemērotākos projektu veidus – uz specifiskām tehnoloģijām orientētus projektus, kuri jāīsteno sadarbībā ar citiem komersantiem un zinātniskajām institūcijām, vai vispārīgus tehnoloģiju attīstības projektus bez sadarbības komponentes.</w:t>
      </w:r>
    </w:p>
    <w:p w:rsidR="00BF6B8C" w:rsidRPr="00DB426E" w:rsidRDefault="00BF6B8C" w:rsidP="00BF6B8C">
      <w:pPr>
        <w:pStyle w:val="ListParagraph"/>
        <w:numPr>
          <w:ilvl w:val="0"/>
          <w:numId w:val="0"/>
        </w:numPr>
        <w:ind w:left="1080" w:firstLine="360"/>
        <w:rPr>
          <w:b/>
          <w:lang w:val="lv-LV"/>
        </w:rPr>
      </w:pPr>
      <w:r w:rsidRPr="00DB426E">
        <w:rPr>
          <w:b/>
          <w:lang w:val="lv-LV"/>
        </w:rPr>
        <w:t>Vācijas valdības programmas.</w:t>
      </w:r>
    </w:p>
    <w:p w:rsidR="00BF6B8C" w:rsidRPr="00DB426E" w:rsidRDefault="00BF6B8C" w:rsidP="00BF6B8C">
      <w:r w:rsidRPr="00DB426E">
        <w:t xml:space="preserve">Katru gadu ap 5 miljardiem eiro tiek izsniegti neatmaksājamo </w:t>
      </w:r>
      <w:proofErr w:type="spellStart"/>
      <w:r w:rsidRPr="00DB426E">
        <w:t>grantu</w:t>
      </w:r>
      <w:proofErr w:type="spellEnd"/>
      <w:r w:rsidRPr="00DB426E">
        <w:t xml:space="preserve"> veidā Vācijas valdības programmu ietvaros R&amp;D atbalstam. Visas šī mēroga programmas ir veidotas saskaņā ar „Augsto tehnoloģiju stratēģiju”, kurā ir definēti īpaši atbalstāmie tehnoloģiju veidi, prioritārie tirgi un prioritārās nozares. Atbalsta intensitāte šajās programmās parasti ir 50%, taču to iespējams paaugstināt, ja projekta iesniedzējs ir MVU un ja projektu īsteno partnerībā. Vairumā programmu obligāts nosacījums ir projekta īstenošana partnerībā starp komersantu un zinātnisko institūciju.</w:t>
      </w:r>
    </w:p>
    <w:p w:rsidR="00BF6B8C" w:rsidRPr="00DB426E" w:rsidRDefault="00BF6B8C" w:rsidP="00BF6B8C">
      <w:r w:rsidRPr="00DB426E">
        <w:t xml:space="preserve">Šajā mērogā bieži tiek izsludināti arī labāko ideju konkursi, kur grants tiek piešķirts konkursa kārtībā labāko un </w:t>
      </w:r>
      <w:proofErr w:type="spellStart"/>
      <w:r w:rsidRPr="00DB426E">
        <w:t>inovatīvāko</w:t>
      </w:r>
      <w:proofErr w:type="spellEnd"/>
      <w:r w:rsidRPr="00DB426E">
        <w:t xml:space="preserve"> ideju autoriem (atšķirībā no parastajām programmām, kurās atbalsta saņēmēji ir visi atbilstošie pretendenti līdz finansējuma izsmelšanai).</w:t>
      </w:r>
    </w:p>
    <w:p w:rsidR="00BF6B8C" w:rsidRPr="00DB426E" w:rsidRDefault="00BF6B8C" w:rsidP="00BF6B8C">
      <w:r w:rsidRPr="00DB426E">
        <w:t xml:space="preserve">Centrālās MVU inovāciju programmas ietvaros tiek organizēti projektu konkursu MVU atbalstam, kur atbalstīti tiek arī inovāciju projekti bez specifiskām prasībām uz tehnoloģiju izmantošanu un attīstīšanu saskaņā ar „Augsto tehnoloģiju stratēģiju”. </w:t>
      </w:r>
    </w:p>
    <w:p w:rsidR="00BF6B8C" w:rsidRPr="00DB426E" w:rsidRDefault="00BF6B8C" w:rsidP="00BF6B8C">
      <w:pPr>
        <w:pStyle w:val="ListParagraph"/>
        <w:numPr>
          <w:ilvl w:val="0"/>
          <w:numId w:val="0"/>
        </w:numPr>
        <w:ind w:left="720"/>
        <w:rPr>
          <w:b/>
          <w:lang w:val="lv-LV"/>
        </w:rPr>
      </w:pPr>
      <w:r w:rsidRPr="00DB426E">
        <w:rPr>
          <w:b/>
          <w:lang w:val="lv-LV"/>
        </w:rPr>
        <w:t>Vācijas federālo zemju programmas.</w:t>
      </w:r>
    </w:p>
    <w:p w:rsidR="00BF6B8C" w:rsidRPr="00DB426E" w:rsidRDefault="00BF6B8C" w:rsidP="00BF6B8C">
      <w:r w:rsidRPr="00DB426E">
        <w:t xml:space="preserve">Katra federālā zeme izstrādā projektu konkursus saskaņā ar prioritātēm – uz konkrētām nozarēm vai tehnoloģiskajiem risinājumiem orientētus konkursus. Sadarbība ne vienmēr ir nepieciešama. </w:t>
      </w:r>
    </w:p>
    <w:p w:rsidR="00BF6B8C" w:rsidRPr="00DB426E" w:rsidRDefault="00BF6B8C" w:rsidP="00BF6B8C">
      <w:r w:rsidRPr="00DB426E">
        <w:t>Visu mērogu programmās atbalsta intensitāti iespējams palielināt tad, ja projekts tiek īstenots partnerībā, kā arī, ja projekta pieteicējs ir MVU.</w:t>
      </w:r>
    </w:p>
    <w:p w:rsidR="00BF6B8C" w:rsidRPr="00DB426E" w:rsidRDefault="00BF6B8C" w:rsidP="00BF6B8C">
      <w:r w:rsidRPr="00DB426E">
        <w:t>Populārākie finanšu instrumenti Vācijā R&amp;D sekmēšanai ir:</w:t>
      </w:r>
    </w:p>
    <w:p w:rsidR="00BF6B8C" w:rsidRPr="00DB426E" w:rsidRDefault="00BF6B8C" w:rsidP="00BF6B8C">
      <w:pPr>
        <w:pStyle w:val="ListParagraph"/>
        <w:rPr>
          <w:lang w:val="lv-LV"/>
        </w:rPr>
      </w:pPr>
      <w:r w:rsidRPr="00DB426E">
        <w:rPr>
          <w:lang w:val="lv-LV"/>
        </w:rPr>
        <w:t>Granti;</w:t>
      </w:r>
    </w:p>
    <w:p w:rsidR="00BF6B8C" w:rsidRPr="00DB426E" w:rsidRDefault="00BF6B8C" w:rsidP="00BF6B8C">
      <w:pPr>
        <w:pStyle w:val="ListParagraph"/>
        <w:rPr>
          <w:lang w:val="lv-LV"/>
        </w:rPr>
      </w:pPr>
      <w:r w:rsidRPr="00DB426E">
        <w:rPr>
          <w:lang w:val="lv-LV"/>
        </w:rPr>
        <w:t>Valsts aizdevumi ar pazeminātu procentu likmi;</w:t>
      </w:r>
    </w:p>
    <w:p w:rsidR="00BF6B8C" w:rsidRPr="00DB426E" w:rsidRDefault="00BF6B8C" w:rsidP="00BF6B8C">
      <w:pPr>
        <w:pStyle w:val="ListParagraph"/>
        <w:rPr>
          <w:lang w:val="lv-LV"/>
        </w:rPr>
      </w:pPr>
      <w:r w:rsidRPr="00DB426E">
        <w:rPr>
          <w:lang w:val="lv-LV"/>
        </w:rPr>
        <w:t>Dažāda veida atbalsts partnerībā īstenotiem projektiem.</w:t>
      </w:r>
    </w:p>
    <w:p w:rsidR="00BF6B8C" w:rsidRPr="00DB426E" w:rsidRDefault="00BF6B8C" w:rsidP="00BF6B8C">
      <w:pPr>
        <w:spacing w:before="240"/>
      </w:pPr>
      <w:r w:rsidRPr="00DB426E">
        <w:t xml:space="preserve">Alternatīva </w:t>
      </w:r>
      <w:proofErr w:type="spellStart"/>
      <w:r w:rsidRPr="00DB426E">
        <w:t>grantu</w:t>
      </w:r>
      <w:proofErr w:type="spellEnd"/>
      <w:r w:rsidRPr="00DB426E">
        <w:t xml:space="preserve"> konkursiem ir valsts garantēto aizdevumu izmantošana. To būtiskākās priekšrocības ir pazeminātas kredītprocentu likmes salīdzinājumā ar kredītiestāžu piedāvātajām, neierobežoti pieteikšanās termiņi un finansējuma pieejamība lielākiem projektiem nekā </w:t>
      </w:r>
      <w:proofErr w:type="spellStart"/>
      <w:r w:rsidRPr="00DB426E">
        <w:t>grantu</w:t>
      </w:r>
      <w:proofErr w:type="spellEnd"/>
      <w:r w:rsidRPr="00DB426E">
        <w:t xml:space="preserve"> konkursos atbalstāmajiem. Tāpat valsts aizdevuma saņemšanai parasti nav nepieciešama precīza sakritība ar valstī definētās „Augsto tehnoloģiju stratēģijas mērķiem” – atbalstu aizdevuma veidā var saņemt arī citām R&amp;D aktivitātēm.</w:t>
      </w:r>
    </w:p>
    <w:p w:rsidR="00BF6B8C" w:rsidRPr="00DB426E" w:rsidRDefault="00BF6B8C" w:rsidP="00BF6B8C">
      <w:r w:rsidRPr="00DB426E">
        <w:t xml:space="preserve">Attiecināmās izmaksas, kam parasti tiek atvēlēts visvairāk līdzekļu, ir R&amp;D aktivitātēs iesaistīto darbinieku atalgojums. Un tikai otrajā vietā ir atbalsta novirzīšana iekārtu un aprīkojuma iegādei, ja projekta pieteicējam izdodas pierādīt to savietojamību ar R&amp;D aktivitātēm, nevis izmantošanu komerciālos nolūkos. </w:t>
      </w:r>
    </w:p>
    <w:p w:rsidR="00BF6B8C" w:rsidRPr="00DB426E" w:rsidRDefault="00BF6B8C" w:rsidP="00BF6B8C">
      <w:r w:rsidRPr="00DB426E">
        <w:t>Atbalsts ir pieejams pētnieciskās darbības kategorijām kā: 1) fundamentālie pētījumi, 2) rūpnieciskie pētījumi, 3) eksperimentālās izstrādnes.</w:t>
      </w:r>
    </w:p>
    <w:p w:rsidR="00BF6B8C" w:rsidRPr="00DB426E" w:rsidRDefault="00BF6B8C" w:rsidP="00BF6B8C">
      <w:r w:rsidRPr="00DB426E">
        <w:t>Pieteikšanās projektu konkursos, neatkarīgi no programmas un mēroga, ir tipveida. Piesakoties atbalstam saskaņā ar programmas vadlīnijām, obligāti jānorāda:</w:t>
      </w:r>
    </w:p>
    <w:p w:rsidR="00BF6B8C" w:rsidRPr="00DB426E" w:rsidRDefault="00BF6B8C" w:rsidP="00BF6B8C">
      <w:pPr>
        <w:pStyle w:val="ListParagraph"/>
        <w:rPr>
          <w:lang w:val="lv-LV"/>
        </w:rPr>
      </w:pPr>
      <w:r w:rsidRPr="00DB426E">
        <w:rPr>
          <w:lang w:val="lv-LV"/>
        </w:rPr>
        <w:t>Skaidri definēti uz R&amp;D vērsti projektā sasniedzamie mērķi;</w:t>
      </w:r>
    </w:p>
    <w:p w:rsidR="00BF6B8C" w:rsidRPr="00DB426E" w:rsidRDefault="00BF6B8C" w:rsidP="00BF6B8C">
      <w:pPr>
        <w:pStyle w:val="ListParagraph"/>
        <w:rPr>
          <w:lang w:val="lv-LV"/>
        </w:rPr>
      </w:pPr>
      <w:r w:rsidRPr="00DB426E">
        <w:rPr>
          <w:lang w:val="lv-LV"/>
        </w:rPr>
        <w:t>Fiksēts laika grafiks;</w:t>
      </w:r>
    </w:p>
    <w:p w:rsidR="00BF6B8C" w:rsidRPr="00DB426E" w:rsidRDefault="00BF6B8C" w:rsidP="00BF6B8C">
      <w:pPr>
        <w:pStyle w:val="ListParagraph"/>
        <w:rPr>
          <w:lang w:val="lv-LV"/>
        </w:rPr>
      </w:pPr>
      <w:r w:rsidRPr="00DB426E">
        <w:rPr>
          <w:lang w:val="lv-LV"/>
        </w:rPr>
        <w:t>Detalizēta inovācijas komponente;</w:t>
      </w:r>
    </w:p>
    <w:p w:rsidR="00BF6B8C" w:rsidRPr="00DB426E" w:rsidRDefault="00BF6B8C" w:rsidP="00BF6B8C">
      <w:pPr>
        <w:pStyle w:val="ListParagraph"/>
        <w:rPr>
          <w:lang w:val="lv-LV"/>
        </w:rPr>
      </w:pPr>
      <w:r w:rsidRPr="00DB426E">
        <w:rPr>
          <w:lang w:val="lv-LV"/>
        </w:rPr>
        <w:t>Tehnoloģiskie riski;</w:t>
      </w:r>
    </w:p>
    <w:p w:rsidR="00BF6B8C" w:rsidRPr="00DB426E" w:rsidRDefault="00BF6B8C" w:rsidP="00BF6B8C">
      <w:pPr>
        <w:pStyle w:val="ListParagraph"/>
        <w:rPr>
          <w:lang w:val="lv-LV"/>
        </w:rPr>
      </w:pPr>
      <w:r w:rsidRPr="00DB426E">
        <w:rPr>
          <w:lang w:val="lv-LV"/>
        </w:rPr>
        <w:t>Komercializācijas plāns pēc projekta īstenošanas.</w:t>
      </w:r>
    </w:p>
    <w:p w:rsidR="00BF6B8C" w:rsidRPr="00DB426E" w:rsidRDefault="00BF6B8C" w:rsidP="00BF6B8C">
      <w:pPr>
        <w:spacing w:before="240"/>
      </w:pPr>
      <w:r w:rsidRPr="00DB426E">
        <w:t>Tādējādi Vācijā tiek radīta R&amp;D atbalstam piemērota, sakārtota investīciju vide, tiek nodrošināta augsta atbalsta piešķiršanas caurskatāmības pakāpe, kā arī ir samazināts brīvās konkurences ierobežošanas risks. Savukārt projektu pieteicējiem tas atvieglo atbalsta saņemšanas procedūru un veicina augstu sabiedrības informētības līmeni.</w:t>
      </w:r>
    </w:p>
    <w:p w:rsidR="00BF6B8C" w:rsidRPr="00DB426E" w:rsidRDefault="00BF6B8C" w:rsidP="00BF6B8C">
      <w:pPr>
        <w:pStyle w:val="Heading3"/>
        <w:numPr>
          <w:ilvl w:val="2"/>
          <w:numId w:val="4"/>
        </w:numPr>
      </w:pPr>
      <w:bookmarkStart w:id="403" w:name="_Toc356472854"/>
      <w:bookmarkStart w:id="404" w:name="_Toc358978786"/>
      <w:r w:rsidRPr="00DB426E">
        <w:t>Lielbritānija</w:t>
      </w:r>
      <w:bookmarkEnd w:id="403"/>
      <w:bookmarkEnd w:id="404"/>
    </w:p>
    <w:p w:rsidR="00BF6B8C" w:rsidRPr="00DB426E" w:rsidRDefault="00BF6B8C" w:rsidP="00BF6B8C">
      <w:r w:rsidRPr="00DB426E">
        <w:t>Lielbritānija pieder pie inovācijas sekotājiem, un tās inovāciju līmenis un rādītāji ir virs ES vidējā. Lielbritānijas tautsaimniecības attīstītākās nozares ir mašīnbūve, elektronika, kuģubūve, dzelzceļa rūpniecība, u. c. smagā rūpniecība.</w:t>
      </w:r>
    </w:p>
    <w:p w:rsidR="00BF6B8C" w:rsidRPr="00DB426E" w:rsidRDefault="00BF6B8C" w:rsidP="00BF6B8C">
      <w:r w:rsidRPr="00DB426E">
        <w:t>Biznesa un augstākās izglītības līderības organizācija CIHE kopā ar Lielbritānijas Inovāciju pētījumu centru ir izveidojusi apskatu „Lielbritānijas R&amp;D vide”, kurā tika identificētas vairākas Lielbritānijas pētniecības un attīstības vidi raksturojošas iezīmes:</w:t>
      </w:r>
    </w:p>
    <w:p w:rsidR="00BF6B8C" w:rsidRPr="00DB426E" w:rsidRDefault="00BF6B8C" w:rsidP="00BF6B8C">
      <w:pPr>
        <w:pStyle w:val="ListParagraph"/>
        <w:rPr>
          <w:lang w:val="lv-LV"/>
        </w:rPr>
      </w:pPr>
      <w:r w:rsidRPr="00DB426E">
        <w:rPr>
          <w:lang w:val="lv-LV"/>
        </w:rPr>
        <w:t>Kopš 1990. gada izdevumi R&amp;D kā daļa no IKP samazinās;</w:t>
      </w:r>
    </w:p>
    <w:p w:rsidR="00BF6B8C" w:rsidRPr="00DB426E" w:rsidRDefault="00BF6B8C" w:rsidP="00BF6B8C">
      <w:pPr>
        <w:pStyle w:val="ListParagraph"/>
        <w:rPr>
          <w:lang w:val="lv-LV"/>
        </w:rPr>
      </w:pPr>
      <w:r w:rsidRPr="00DB426E">
        <w:rPr>
          <w:lang w:val="lv-LV"/>
        </w:rPr>
        <w:t>Izdevumi R&amp;D aktivitātēm kā daļa no IKP augstākās izglītības sektorā kopš 1990. gada palielinās;</w:t>
      </w:r>
    </w:p>
    <w:p w:rsidR="00BF6B8C" w:rsidRPr="00DB426E" w:rsidRDefault="00BF6B8C" w:rsidP="00BF6B8C">
      <w:pPr>
        <w:pStyle w:val="ListParagraph"/>
        <w:rPr>
          <w:lang w:val="lv-LV"/>
        </w:rPr>
      </w:pPr>
      <w:r w:rsidRPr="00DB426E">
        <w:rPr>
          <w:lang w:val="lv-LV"/>
        </w:rPr>
        <w:t>Lai gan Lielbritānija ES mērogā ir inovāciju sekotāja, inovāciju eksperti atzīst, ka kopumā situācija R&amp;D aktivitāšu īstenošanā valstī pasliktinās;</w:t>
      </w:r>
    </w:p>
    <w:p w:rsidR="00BF6B8C" w:rsidRPr="00DB426E" w:rsidRDefault="00BF6B8C" w:rsidP="00BF6B8C">
      <w:pPr>
        <w:pStyle w:val="ListParagraph"/>
        <w:rPr>
          <w:lang w:val="lv-LV"/>
        </w:rPr>
      </w:pPr>
      <w:r w:rsidRPr="00DB426E">
        <w:rPr>
          <w:lang w:val="lv-LV"/>
        </w:rPr>
        <w:t>Privātais ieguldījums R&amp;D aktivitātēs saskaņā ar starptautiskiem standartiem ir nepietiekams;</w:t>
      </w:r>
    </w:p>
    <w:p w:rsidR="00BF6B8C" w:rsidRPr="00DB426E" w:rsidRDefault="00BF6B8C" w:rsidP="00BF6B8C">
      <w:pPr>
        <w:pStyle w:val="ListParagraph"/>
        <w:rPr>
          <w:lang w:val="lv-LV"/>
        </w:rPr>
      </w:pPr>
      <w:r w:rsidRPr="00DB426E">
        <w:rPr>
          <w:lang w:val="lv-LV"/>
        </w:rPr>
        <w:t>Vāja ir MVU iesaiste R&amp;D aktivitāšu veicināšanā; visi MVU valstī sniedz tikai 3,5% no kopējiem privātajiem ieguldījumiem R&amp;D aktivitātēs, savukārt 50 lielākie uzņēmumi veic 56% no visiem ieguldījumiem R&amp;D.</w:t>
      </w:r>
    </w:p>
    <w:p w:rsidR="00BF6B8C" w:rsidRPr="00DB426E" w:rsidRDefault="00BF6B8C" w:rsidP="00BF6B8C">
      <w:r w:rsidRPr="00DB426E">
        <w:t>Līdz ar to, lai gan Lielbritānija ir inovāciju sekotājs, valsts eksperti situāciju vērtē kā vāju, bet privāto ieguldījumu veikšanu R&amp;D – kā nepietiekamu un nesabalansētu.</w:t>
      </w:r>
      <w:r w:rsidRPr="00DB426E">
        <w:rPr>
          <w:rStyle w:val="FootnoteReference"/>
        </w:rPr>
        <w:footnoteReference w:id="50"/>
      </w:r>
    </w:p>
    <w:p w:rsidR="00BF6B8C" w:rsidRPr="00DB426E" w:rsidRDefault="00BF6B8C" w:rsidP="00BF6B8C">
      <w:r w:rsidRPr="00DB426E">
        <w:t>Lielbritānijas uzņēmumi var pieteikties atbalsta saņemšanai R&amp;D aktivitātēm, izmantojot šādus informāciju kanālus un finansējuma starpniekus:</w:t>
      </w:r>
    </w:p>
    <w:p w:rsidR="00BF6B8C" w:rsidRPr="00DB426E" w:rsidRDefault="00BF6B8C" w:rsidP="00BF6B8C">
      <w:r w:rsidRPr="00DB426E">
        <w:rPr>
          <w:b/>
        </w:rPr>
        <w:t>Atbalsta instrumenti zināšanu pārnesei</w:t>
      </w:r>
      <w:r w:rsidRPr="00DB426E">
        <w:t xml:space="preserve"> – Zināšanu Pārneses Partnerība, kuras mērķis ir veicināt zināšanu pārnesi no zinātniskajām institūcijām un augstskolām uz uzņēmumiem. Projektu ilgums ir no 3 nedēļām līdz 10 gadiem. Instrumenta mērķis ir veicināt jaunu produktu dizainu izstrādi, jaunu produktu un vadības procesu izstrādi, IT apguvi un informācijas vadības veicināšanu. Atbalsta veids – valsts grants. Atbalstāmās izmaksas ir darbaspēka izmaksas. Atbalsta intensitāte – aptuveni divas trešdaļas no atbalstāmajām izmaksām. MVU pašu finansējums projektā parasti sastāda 20 000 sterliņu mārciņu. Lielajiem komersantiem pašu līdzfinansējums var pieaugt līdz 30 000 sterliņu mārciņu. </w:t>
      </w:r>
    </w:p>
    <w:p w:rsidR="00BF6B8C" w:rsidRPr="00DB426E" w:rsidRDefault="00BF6B8C" w:rsidP="00BF6B8C">
      <w:r w:rsidRPr="00DB426E">
        <w:rPr>
          <w:b/>
        </w:rPr>
        <w:t>Virtuālie atbalsta tīkli.</w:t>
      </w:r>
      <w:r w:rsidRPr="00DB426E">
        <w:t xml:space="preserve"> </w:t>
      </w:r>
      <w:proofErr w:type="spellStart"/>
      <w:r w:rsidRPr="00DB426E">
        <w:t>On-line</w:t>
      </w:r>
      <w:proofErr w:type="spellEnd"/>
      <w:r w:rsidRPr="00DB426E">
        <w:t xml:space="preserve"> portāli, kuri ļauj uzņēmumiem dalīties ar biznesa idejām un meklēt sadarbības partnerus. Portāli paredz atbalsta sniegšanu dažādos specifiskos sektoros, piemēram, konsultācijas inovāciju jomā Skotijā. Šādi </w:t>
      </w:r>
      <w:proofErr w:type="spellStart"/>
      <w:r w:rsidRPr="00DB426E">
        <w:t>on-line</w:t>
      </w:r>
      <w:proofErr w:type="spellEnd"/>
      <w:r w:rsidRPr="00DB426E">
        <w:t xml:space="preserve"> portāli ir izveidoti katrā administratīvi teritoriālajā vienībā un darbojas saskaņā ar vietējā mēroga mērķiem un prioritātēm.</w:t>
      </w:r>
    </w:p>
    <w:p w:rsidR="00BF6B8C" w:rsidRPr="00DB426E" w:rsidRDefault="00BF6B8C" w:rsidP="00BF6B8C">
      <w:r w:rsidRPr="00DB426E">
        <w:rPr>
          <w:b/>
        </w:rPr>
        <w:t>Biznesa inovāciju centri.</w:t>
      </w:r>
      <w:r w:rsidRPr="00DB426E">
        <w:t xml:space="preserve"> Centri sniedz atbalstu īpaši inovatīviem komersantiem, nodrošina ražošanas telpas līdzīgu nozaru uzņēmumiem, nodrošina biznesa un stratēģiskās plānošanas konsultācijas, sadarbības partneru kontaktu iegūšanu, kā arī sniedz apmācību un </w:t>
      </w:r>
      <w:proofErr w:type="spellStart"/>
      <w:r w:rsidRPr="00DB426E">
        <w:t>mentoringa</w:t>
      </w:r>
      <w:proofErr w:type="spellEnd"/>
      <w:r w:rsidRPr="00DB426E">
        <w:t xml:space="preserve"> pakalpojumus. </w:t>
      </w:r>
    </w:p>
    <w:p w:rsidR="00BF6B8C" w:rsidRPr="00DB426E" w:rsidRDefault="00BF6B8C" w:rsidP="00BF6B8C">
      <w:r w:rsidRPr="00DB426E">
        <w:rPr>
          <w:b/>
        </w:rPr>
        <w:t>Zinātnes parki</w:t>
      </w:r>
      <w:r w:rsidRPr="00DB426E">
        <w:t xml:space="preserve"> saved uzņēmumus ar līdzīgiem mērķiem un veicina to sadarbības attīstību. Tie nodrošina uzņēmumu ražošanas telpas, sniedz tehnoloģiju attīstības konsultācijas, palīdz nostiprināt intelektuālā īpašuma tiesības, un sniedz citus pakalpojumus. Tie izmanto vietējos, reģionālos, valsts un ES finanšu atbalsta instrumentus. </w:t>
      </w:r>
    </w:p>
    <w:p w:rsidR="00BF6B8C" w:rsidRPr="00DB426E" w:rsidRDefault="00BF6B8C" w:rsidP="00BF6B8C">
      <w:r w:rsidRPr="00DB426E">
        <w:rPr>
          <w:b/>
        </w:rPr>
        <w:t>Tirdzniecības un rūpniecības kameras</w:t>
      </w:r>
      <w:r w:rsidRPr="00DB426E">
        <w:t xml:space="preserve"> visā Lielbritānijā nodrošina uzņēmumu piekļuvi apmācībām, informācijai, resursiem, sadarbības tīkliem un finansējumam.</w:t>
      </w:r>
    </w:p>
    <w:p w:rsidR="00BF6B8C" w:rsidRPr="00DB426E" w:rsidRDefault="00BF6B8C" w:rsidP="00BF6B8C">
      <w:r w:rsidRPr="00DB426E">
        <w:rPr>
          <w:b/>
        </w:rPr>
        <w:t>Biznesa klasteri.</w:t>
      </w:r>
      <w:r w:rsidRPr="00DB426E">
        <w:t xml:space="preserve"> Lielbritānijas valdība sniedz atbalstu biznesa klasteru izveidei, kuri nodrošina uzņēmumiem piekļuvi augsti kvalificētam darbaspēkam un investīciju kapitālam, kā arī nodrošina sadarbību ar augstskolām, </w:t>
      </w:r>
    </w:p>
    <w:p w:rsidR="00BF6B8C" w:rsidRPr="00DB426E" w:rsidRDefault="00BF6B8C" w:rsidP="00BF6B8C">
      <w:r w:rsidRPr="00DB426E">
        <w:t>Lielbritānijā pieejamie finanšu atbalsta instrumenti uzņēmumiem, kuri iegulda R&amp;D aktivitātēs, ir:</w:t>
      </w:r>
    </w:p>
    <w:p w:rsidR="00BF6B8C" w:rsidRPr="00DB426E" w:rsidRDefault="00BF6B8C" w:rsidP="00BF6B8C">
      <w:r w:rsidRPr="00DB426E">
        <w:rPr>
          <w:b/>
        </w:rPr>
        <w:t xml:space="preserve">Viedie granti </w:t>
      </w:r>
      <w:r w:rsidRPr="00DB426E">
        <w:t>(</w:t>
      </w:r>
      <w:proofErr w:type="spellStart"/>
      <w:r w:rsidRPr="00DB426E">
        <w:t>the</w:t>
      </w:r>
      <w:proofErr w:type="spellEnd"/>
      <w:r w:rsidRPr="00DB426E">
        <w:t xml:space="preserve"> SMART </w:t>
      </w:r>
      <w:proofErr w:type="spellStart"/>
      <w:r w:rsidRPr="00DB426E">
        <w:t>grant</w:t>
      </w:r>
      <w:proofErr w:type="spellEnd"/>
      <w:r w:rsidRPr="00DB426E">
        <w:t xml:space="preserve">), kas paredzēti MVU un kurus pārvalda Tehnoloģiju Stratēģijas organizācija. Šis atbalsta instruments sastāv no trim komponentēm: </w:t>
      </w:r>
    </w:p>
    <w:p w:rsidR="00BF6B8C" w:rsidRPr="00DB426E" w:rsidRDefault="00BF6B8C" w:rsidP="006C3F27">
      <w:pPr>
        <w:numPr>
          <w:ilvl w:val="0"/>
          <w:numId w:val="96"/>
        </w:numPr>
      </w:pPr>
      <w:r w:rsidRPr="00DB426E">
        <w:t xml:space="preserve">Tirgus granti. Tie sniedz iespēju uzņēmumiem novērtēt projekta lietderību, izmantojot tirgus izpētes, konkurentu analīzi, novērtējot pieejamā intelektuālā īpašuma lietderīgumu, kā arī grants palīdz veikt sākotnējo izpēti. Projekta īstenošanas garums ir ne lielāks par 9 mēnešiem, </w:t>
      </w:r>
      <w:proofErr w:type="spellStart"/>
      <w:r w:rsidRPr="00DB426E">
        <w:t>granta</w:t>
      </w:r>
      <w:proofErr w:type="spellEnd"/>
      <w:r w:rsidRPr="00DB426E">
        <w:t xml:space="preserve"> apjoms līdz 25 000 sterliņu mārciņām, atbalsta intensitāte līdz 60% no kopējām attiecināmajām izmaksām.</w:t>
      </w:r>
    </w:p>
    <w:p w:rsidR="00BF6B8C" w:rsidRPr="00DB426E" w:rsidRDefault="00BF6B8C" w:rsidP="006C3F27">
      <w:pPr>
        <w:numPr>
          <w:ilvl w:val="0"/>
          <w:numId w:val="96"/>
        </w:numPr>
      </w:pPr>
      <w:r w:rsidRPr="00DB426E">
        <w:t xml:space="preserve">Konceptuālie granti. Dod MVU iespēju veikt projektu tehniski ekonomiskos pamatojumus un jaunu tehnoloģiju, produktu vai procesu komercializācijas iespējas. Atbalstāmās darbības ir sākotnējais tehniski ekonomiskais pamatojums, bāzes </w:t>
      </w:r>
      <w:proofErr w:type="spellStart"/>
      <w:r w:rsidRPr="00DB426E">
        <w:t>prototipēšana</w:t>
      </w:r>
      <w:proofErr w:type="spellEnd"/>
      <w:r w:rsidRPr="00DB426E">
        <w:t xml:space="preserve">, testēšanas un demonstrācijas aktivitātes, intelektuālā īpašuma tiesību nostiprināšana, produkta izpēte un alternatīvu identificēšana. Projekta ilgums ir līdz 18 mēnešiem, maksimālais </w:t>
      </w:r>
      <w:proofErr w:type="spellStart"/>
      <w:r w:rsidRPr="00DB426E">
        <w:t>granta</w:t>
      </w:r>
      <w:proofErr w:type="spellEnd"/>
      <w:r w:rsidRPr="00DB426E">
        <w:t xml:space="preserve"> apjoms – 100 000 sterliņu mārciņas, atbalsta intensitāte līdz 60%. </w:t>
      </w:r>
    </w:p>
    <w:p w:rsidR="00BF6B8C" w:rsidRPr="00DB426E" w:rsidRDefault="00BF6B8C" w:rsidP="006C3F27">
      <w:pPr>
        <w:numPr>
          <w:ilvl w:val="0"/>
          <w:numId w:val="96"/>
        </w:numPr>
      </w:pPr>
      <w:r w:rsidRPr="00DB426E">
        <w:t xml:space="preserve">Prototipa izstrādes grants. MVU atbalstāmās aktivitātes ir nelielu demonstrāciju veikšana, intelektuālā īpašuma tiesību nostiprināšana, produkta testēšana, tirgus testēšana. Maksimālais projekta īstenošanas laiks ir divi gadi, maksimālais </w:t>
      </w:r>
      <w:proofErr w:type="spellStart"/>
      <w:r w:rsidRPr="00DB426E">
        <w:t>granta</w:t>
      </w:r>
      <w:proofErr w:type="spellEnd"/>
      <w:r w:rsidRPr="00DB426E">
        <w:t xml:space="preserve"> apjoms – 250 000 sterliņu mārciņas. Mazajiem uzņēmumiem atbalsta intensitāte ir 35%, bet vidējiem uzņēmumiem – 45%. </w:t>
      </w:r>
    </w:p>
    <w:p w:rsidR="00BF6B8C" w:rsidRPr="00DB426E" w:rsidRDefault="00BF6B8C" w:rsidP="00BF6B8C">
      <w:pPr>
        <w:spacing w:before="240"/>
      </w:pPr>
      <w:r w:rsidRPr="00DB426E">
        <w:rPr>
          <w:b/>
        </w:rPr>
        <w:t>R&amp;D aktivitātes partnerībā.</w:t>
      </w:r>
      <w:r>
        <w:rPr>
          <w:b/>
        </w:rPr>
        <w:t xml:space="preserve"> </w:t>
      </w:r>
      <w:r w:rsidRPr="00DB426E">
        <w:t>Regulāri tiek izsludināti projektu konkursi sadarbības projektu īstenošanai. Kopējais programmās pieejamais finansējuma apjoms parasti ir ap 1 miljardu sterliņu mārciņu. Projektu konkursi tiek izstrādāti saskaņā ar Tehnoloģiju Stratēģijas organizācijas prioritātēm:</w:t>
      </w:r>
    </w:p>
    <w:p w:rsidR="00BF6B8C" w:rsidRPr="00DB426E" w:rsidRDefault="00BF6B8C" w:rsidP="00BF6B8C">
      <w:pPr>
        <w:pStyle w:val="ListParagraph"/>
        <w:rPr>
          <w:lang w:val="lv-LV"/>
        </w:rPr>
      </w:pPr>
      <w:r w:rsidRPr="00DB426E">
        <w:rPr>
          <w:lang w:val="lv-LV"/>
        </w:rPr>
        <w:t>Izaicinājumu vadīto inovāciju programmas;</w:t>
      </w:r>
    </w:p>
    <w:p w:rsidR="00BF6B8C" w:rsidRPr="00DB426E" w:rsidRDefault="00BF6B8C" w:rsidP="00BF6B8C">
      <w:pPr>
        <w:pStyle w:val="ListParagraph"/>
        <w:rPr>
          <w:lang w:val="lv-LV"/>
        </w:rPr>
      </w:pPr>
      <w:r w:rsidRPr="00DB426E">
        <w:rPr>
          <w:lang w:val="lv-LV"/>
        </w:rPr>
        <w:t>Tehnoloģiju ierosināto inovāciju programmas;</w:t>
      </w:r>
    </w:p>
    <w:p w:rsidR="00BF6B8C" w:rsidRPr="00DB426E" w:rsidRDefault="00BF6B8C" w:rsidP="00BF6B8C">
      <w:pPr>
        <w:pStyle w:val="ListParagraph"/>
        <w:rPr>
          <w:lang w:val="lv-LV"/>
        </w:rPr>
      </w:pPr>
      <w:r w:rsidRPr="00DB426E">
        <w:rPr>
          <w:lang w:val="lv-LV"/>
        </w:rPr>
        <w:t>Inovāciju klimata programmas;</w:t>
      </w:r>
    </w:p>
    <w:p w:rsidR="00BF6B8C" w:rsidRPr="00DB426E" w:rsidRDefault="00BF6B8C" w:rsidP="00BF6B8C">
      <w:pPr>
        <w:pStyle w:val="ListParagraph"/>
        <w:rPr>
          <w:lang w:val="lv-LV"/>
        </w:rPr>
      </w:pPr>
      <w:r w:rsidRPr="00DB426E">
        <w:rPr>
          <w:lang w:val="lv-LV"/>
        </w:rPr>
        <w:t>Sadarbības programmas.</w:t>
      </w:r>
    </w:p>
    <w:p w:rsidR="00BF6B8C" w:rsidRPr="00DB426E" w:rsidRDefault="00BF6B8C" w:rsidP="00BF6B8C">
      <w:pPr>
        <w:spacing w:before="240"/>
      </w:pPr>
      <w:r w:rsidRPr="00DB426E">
        <w:rPr>
          <w:b/>
        </w:rPr>
        <w:t>Mazo biznesa pētniecības iniciatīvas.</w:t>
      </w:r>
      <w:r w:rsidRPr="00DB426E">
        <w:t xml:space="preserve"> Arī šo projektu konkursu saturu nosaka Tehnoloģiju Stratēģijas organizācijas prioritātes. Pārsvarā programmu mērķis ir rast risinājumu konkrētām problēmām. Projekti saņem finansējumu divās kārtās:</w:t>
      </w:r>
    </w:p>
    <w:p w:rsidR="00BF6B8C" w:rsidRPr="00DB426E" w:rsidRDefault="00BF6B8C" w:rsidP="00BF6B8C">
      <w:r w:rsidRPr="00DB426E">
        <w:t xml:space="preserve">1. kārta: zinātnes, tehnoloģiskās un komerciālās kapacitātes demonstrēšana. Projekta ilgums – 6 mēneši, </w:t>
      </w:r>
      <w:proofErr w:type="spellStart"/>
      <w:r w:rsidRPr="00DB426E">
        <w:t>grantu</w:t>
      </w:r>
      <w:proofErr w:type="spellEnd"/>
      <w:r w:rsidRPr="00DB426E">
        <w:t xml:space="preserve"> apjoms no 50 000 līdz 100 000 sterliņu mārciņu.</w:t>
      </w:r>
    </w:p>
    <w:p w:rsidR="00BF6B8C" w:rsidRPr="00DB426E" w:rsidRDefault="00BF6B8C" w:rsidP="00BF6B8C">
      <w:r w:rsidRPr="00DB426E">
        <w:t xml:space="preserve">2. kārta: prototipu izstrāde. Projekta ilgums – 2 gadi, </w:t>
      </w:r>
      <w:proofErr w:type="spellStart"/>
      <w:r w:rsidRPr="00DB426E">
        <w:t>grantu</w:t>
      </w:r>
      <w:proofErr w:type="spellEnd"/>
      <w:r w:rsidRPr="00DB426E">
        <w:t xml:space="preserve"> apjoms no 250 000 līdz 1 miljonam sterliņu mārciņu.</w:t>
      </w:r>
    </w:p>
    <w:p w:rsidR="00BF6B8C" w:rsidRPr="00DB426E" w:rsidRDefault="00BF6B8C" w:rsidP="00BF6B8C">
      <w:r w:rsidRPr="00DB426E">
        <w:rPr>
          <w:b/>
        </w:rPr>
        <w:t xml:space="preserve">Uzņēmumu kapitāla fonds. </w:t>
      </w:r>
      <w:r w:rsidRPr="00DB426E">
        <w:t xml:space="preserve">Tas ir vērsts uz vienlīdzības nodrošināšanu visiem uzņēmumiem, līdz ar to atbalsta instrumentam nav nozaru un uzņēmuma lieluma ierobežojumu. Tāpat atbalsts tiek sniegts ne tikai R&amp;D aktivitātēm, bet arī citām aktivitātēm, jo tā mērķis ir sekmēt uzņēmējdarbību un uzņēmumu produktivitātes celšanos. Šim pasākumam no valsts budžeta tiks atvēlēti 25 miljoni sterliņu mārciņu. Vienam projektam tiks atvēlēti ne vairāk kā 2 miljoni sterliņa mārciņu. Finansējuma pārdali veiks deviņi finanšu starpnieki – investīciju fondi. </w:t>
      </w:r>
      <w:r w:rsidRPr="00DB426E">
        <w:rPr>
          <w:rStyle w:val="FootnoteReference"/>
        </w:rPr>
        <w:footnoteReference w:id="51"/>
      </w:r>
    </w:p>
    <w:p w:rsidR="00BF6B8C" w:rsidRPr="00DB426E" w:rsidRDefault="00BF6B8C" w:rsidP="00BF6B8C">
      <w:r w:rsidRPr="00DB426E">
        <w:t>Būtiskākās Lielbritānijas R&amp;D atbalsta vidi raksturojošās iezīmes ir:</w:t>
      </w:r>
    </w:p>
    <w:p w:rsidR="00BF6B8C" w:rsidRPr="00DB426E" w:rsidRDefault="00BF6B8C" w:rsidP="00BF6B8C">
      <w:pPr>
        <w:pStyle w:val="ListParagraph"/>
        <w:rPr>
          <w:lang w:val="lv-LV"/>
        </w:rPr>
      </w:pPr>
      <w:r w:rsidRPr="00DB426E">
        <w:rPr>
          <w:lang w:val="lv-LV"/>
        </w:rPr>
        <w:t>Īpaša atbalsta sniegšana un īpaši nosacījumi MVU;</w:t>
      </w:r>
    </w:p>
    <w:p w:rsidR="00BF6B8C" w:rsidRPr="00DB426E" w:rsidRDefault="00BF6B8C" w:rsidP="00BF6B8C">
      <w:pPr>
        <w:pStyle w:val="ListParagraph"/>
        <w:rPr>
          <w:lang w:val="lv-LV"/>
        </w:rPr>
      </w:pPr>
      <w:r w:rsidRPr="00DB426E">
        <w:rPr>
          <w:lang w:val="lv-LV"/>
        </w:rPr>
        <w:t>Privāto investīciju R&amp;D sekmēšana MVU vidū;</w:t>
      </w:r>
    </w:p>
    <w:p w:rsidR="00BF6B8C" w:rsidRPr="00DB426E" w:rsidRDefault="00BF6B8C" w:rsidP="00BF6B8C">
      <w:pPr>
        <w:pStyle w:val="ListParagraph"/>
        <w:rPr>
          <w:lang w:val="lv-LV"/>
        </w:rPr>
      </w:pPr>
      <w:r w:rsidRPr="00DB426E">
        <w:rPr>
          <w:lang w:val="lv-LV"/>
        </w:rPr>
        <w:t>Galvenais atbalsta instrumenta veids ir granti.</w:t>
      </w:r>
    </w:p>
    <w:p w:rsidR="00BF6B8C" w:rsidRPr="00DB426E" w:rsidRDefault="00BF6B8C" w:rsidP="00BF6B8C">
      <w:r w:rsidRPr="00DB426E">
        <w:t xml:space="preserve">Lielbritānijā par publiskā finansējuma pārdali un piešķiršanu uzņēmumiem ir atbildīgas vairākas valsts aģentūras un privātie investīciju fondi, kā arī visām programmām ir atšķirīgi atbalsta saņemšanas nosacījumi. Tas var apgrūtināt pieteikšanos atbalsta saņemšanai, kā arī ietekmēt projektu vērtēšanas caurskatāmību. </w:t>
      </w:r>
    </w:p>
    <w:p w:rsidR="00BF6B8C" w:rsidRPr="00DB426E" w:rsidRDefault="00BF6B8C" w:rsidP="00BF6B8C">
      <w:pPr>
        <w:pStyle w:val="Heading3"/>
        <w:numPr>
          <w:ilvl w:val="2"/>
          <w:numId w:val="4"/>
        </w:numPr>
      </w:pPr>
      <w:bookmarkStart w:id="405" w:name="_Toc356472855"/>
      <w:bookmarkStart w:id="406" w:name="_Toc358978787"/>
      <w:r w:rsidRPr="00DB426E">
        <w:t>Nīderlande</w:t>
      </w:r>
      <w:bookmarkEnd w:id="405"/>
      <w:bookmarkEnd w:id="406"/>
    </w:p>
    <w:p w:rsidR="00BF6B8C" w:rsidRPr="00DB426E" w:rsidRDefault="00BF6B8C" w:rsidP="00BF6B8C">
      <w:r w:rsidRPr="00DB426E">
        <w:t>Nīderlande ir inovācijas sekotājs – tās inovāciju līmenis ir virs vidējā ES līmeņa.</w:t>
      </w:r>
    </w:p>
    <w:p w:rsidR="00BF6B8C" w:rsidRPr="00DB426E" w:rsidRDefault="00BF6B8C" w:rsidP="00BF6B8C">
      <w:r w:rsidRPr="00DB426E">
        <w:t>Atbalsts R&amp;D aktivitātēm Nīderlandē pārsvarā tiek sniegts ar valsts subsīdiju palīdzību vai izmantojot ES struktūrfondu līdzekļus, kā arī ar nodokļu atvieglojumu piešķiršanu. Privāto investīciju veikšana R&amp;D tiek stimulēta, izmantojot šādus finanšu atbalsta instrumentus un programmas:</w:t>
      </w:r>
    </w:p>
    <w:p w:rsidR="00BF6B8C" w:rsidRPr="00DB426E" w:rsidRDefault="00BF6B8C" w:rsidP="00BF6B8C">
      <w:pPr>
        <w:pStyle w:val="ListParagraph"/>
        <w:numPr>
          <w:ilvl w:val="0"/>
          <w:numId w:val="0"/>
        </w:numPr>
        <w:ind w:left="720"/>
        <w:rPr>
          <w:b/>
          <w:lang w:val="lv-LV"/>
        </w:rPr>
      </w:pPr>
      <w:r w:rsidRPr="00DB426E">
        <w:rPr>
          <w:b/>
          <w:lang w:val="lv-LV"/>
        </w:rPr>
        <w:t>Nīderlandes valdības subsīdiju konkursi.</w:t>
      </w:r>
    </w:p>
    <w:p w:rsidR="00BF6B8C" w:rsidRPr="00DB426E" w:rsidRDefault="00BF6B8C" w:rsidP="00BF6B8C">
      <w:r w:rsidRPr="00DB426E">
        <w:t>Inovāciju sekmēšanai 2007. – 2013. gadā Nīderlandes valdība izsludināja vairāk nekā 30 dažādus subsīdiju konkursus, kuru mērķis bija sekmēt ieguldījumus R&amp;D aktivitātēs. Konkursu nosacījumi, attiecināmās izmaksas un atbalsta apjoms bija atšķirīgi katrā no tiem. Piemēram, tika izsludināti tādi inovācijas veicinoši subsīdiju konkursi kā:</w:t>
      </w:r>
    </w:p>
    <w:p w:rsidR="00BF6B8C" w:rsidRPr="00DB426E" w:rsidRDefault="00BF6B8C" w:rsidP="00BF6B8C">
      <w:pPr>
        <w:pStyle w:val="ListParagraph"/>
        <w:rPr>
          <w:lang w:val="lv-LV"/>
        </w:rPr>
      </w:pPr>
      <w:r w:rsidRPr="00DB426E">
        <w:rPr>
          <w:lang w:val="lv-LV"/>
        </w:rPr>
        <w:t>Subsīdiju shēma inovatīvai kuģubūvei;</w:t>
      </w:r>
    </w:p>
    <w:p w:rsidR="00BF6B8C" w:rsidRPr="00DB426E" w:rsidRDefault="00BF6B8C" w:rsidP="00BF6B8C">
      <w:pPr>
        <w:pStyle w:val="ListParagraph"/>
        <w:rPr>
          <w:lang w:val="lv-LV"/>
        </w:rPr>
      </w:pPr>
      <w:r w:rsidRPr="00DB426E">
        <w:rPr>
          <w:lang w:val="lv-LV"/>
        </w:rPr>
        <w:t>Valsts mobilo aplikāciju balva;</w:t>
      </w:r>
    </w:p>
    <w:p w:rsidR="00BF6B8C" w:rsidRPr="00DB426E" w:rsidRDefault="00BF6B8C" w:rsidP="00BF6B8C">
      <w:pPr>
        <w:pStyle w:val="ListParagraph"/>
        <w:rPr>
          <w:lang w:val="lv-LV"/>
        </w:rPr>
      </w:pPr>
      <w:r w:rsidRPr="00DB426E">
        <w:rPr>
          <w:lang w:val="lv-LV"/>
        </w:rPr>
        <w:t>Civilās aviācijas attīstības subsīdiju konkurss;</w:t>
      </w:r>
    </w:p>
    <w:p w:rsidR="00BF6B8C" w:rsidRPr="00DB426E" w:rsidRDefault="00BF6B8C" w:rsidP="00BF6B8C">
      <w:pPr>
        <w:pStyle w:val="ListParagraph"/>
        <w:rPr>
          <w:lang w:val="lv-LV"/>
        </w:rPr>
      </w:pPr>
      <w:r w:rsidRPr="00DB426E">
        <w:rPr>
          <w:lang w:val="lv-LV"/>
        </w:rPr>
        <w:t>MVU loģistikas problēmu risinājumi;</w:t>
      </w:r>
    </w:p>
    <w:p w:rsidR="00BF6B8C" w:rsidRPr="00DB426E" w:rsidRDefault="00BF6B8C" w:rsidP="00BF6B8C">
      <w:pPr>
        <w:pStyle w:val="ListParagraph"/>
        <w:rPr>
          <w:lang w:val="lv-LV"/>
        </w:rPr>
      </w:pPr>
      <w:r w:rsidRPr="00DB426E">
        <w:rPr>
          <w:lang w:val="lv-LV"/>
        </w:rPr>
        <w:t>Inovāciju programma jaunu produktu un tehnoloģiju izstrādei;</w:t>
      </w:r>
    </w:p>
    <w:p w:rsidR="00BF6B8C" w:rsidRPr="00DB426E" w:rsidRDefault="00BF6B8C" w:rsidP="00BF6B8C">
      <w:pPr>
        <w:pStyle w:val="ListParagraph"/>
        <w:rPr>
          <w:lang w:val="lv-LV"/>
        </w:rPr>
      </w:pPr>
      <w:r w:rsidRPr="00DB426E">
        <w:rPr>
          <w:lang w:val="lv-LV"/>
        </w:rPr>
        <w:t>Elektroniskās mobilitātes inovāciju kupons;</w:t>
      </w:r>
    </w:p>
    <w:p w:rsidR="00BF6B8C" w:rsidRPr="00DB426E" w:rsidRDefault="00BF6B8C" w:rsidP="00BF6B8C">
      <w:pPr>
        <w:pStyle w:val="ListParagraph"/>
        <w:rPr>
          <w:lang w:val="lv-LV"/>
        </w:rPr>
      </w:pPr>
      <w:r w:rsidRPr="00DB426E">
        <w:rPr>
          <w:lang w:val="lv-LV"/>
        </w:rPr>
        <w:t xml:space="preserve">Uzņēmējdarbības inovāciju programma jaunajiem uzņēmējiem </w:t>
      </w:r>
      <w:proofErr w:type="spellStart"/>
      <w:r w:rsidRPr="00DB426E">
        <w:rPr>
          <w:lang w:val="lv-LV"/>
        </w:rPr>
        <w:t>Livewire</w:t>
      </w:r>
      <w:proofErr w:type="spellEnd"/>
      <w:r w:rsidRPr="00DB426E">
        <w:rPr>
          <w:lang w:val="lv-LV"/>
        </w:rPr>
        <w:t>;</w:t>
      </w:r>
    </w:p>
    <w:p w:rsidR="00BF6B8C" w:rsidRPr="00DB426E" w:rsidRDefault="00BF6B8C" w:rsidP="00BF6B8C">
      <w:pPr>
        <w:pStyle w:val="ListParagraph"/>
        <w:rPr>
          <w:lang w:val="lv-LV"/>
        </w:rPr>
      </w:pPr>
      <w:r w:rsidRPr="00DB426E">
        <w:rPr>
          <w:lang w:val="lv-LV"/>
        </w:rPr>
        <w:t xml:space="preserve">Jauno uzņēmēju inovāciju programma </w:t>
      </w:r>
      <w:proofErr w:type="spellStart"/>
      <w:r w:rsidRPr="00DB426E">
        <w:rPr>
          <w:lang w:val="lv-LV"/>
        </w:rPr>
        <w:t>New</w:t>
      </w:r>
      <w:proofErr w:type="spellEnd"/>
      <w:r w:rsidRPr="00DB426E">
        <w:rPr>
          <w:lang w:val="lv-LV"/>
        </w:rPr>
        <w:t xml:space="preserve"> </w:t>
      </w:r>
      <w:proofErr w:type="spellStart"/>
      <w:r w:rsidRPr="00DB426E">
        <w:rPr>
          <w:lang w:val="lv-LV"/>
        </w:rPr>
        <w:t>Venture</w:t>
      </w:r>
      <w:proofErr w:type="spellEnd"/>
      <w:r w:rsidRPr="00DB426E">
        <w:rPr>
          <w:lang w:val="lv-LV"/>
        </w:rPr>
        <w:t>;</w:t>
      </w:r>
    </w:p>
    <w:p w:rsidR="00BF6B8C" w:rsidRPr="00DB426E" w:rsidRDefault="00BF6B8C" w:rsidP="00BF6B8C">
      <w:pPr>
        <w:pStyle w:val="ListParagraph"/>
        <w:rPr>
          <w:lang w:val="lv-LV"/>
        </w:rPr>
      </w:pPr>
      <w:r w:rsidRPr="00DB426E">
        <w:rPr>
          <w:lang w:val="lv-LV"/>
        </w:rPr>
        <w:t>Mazā biznesa inovāciju izpētes programma;</w:t>
      </w:r>
    </w:p>
    <w:p w:rsidR="00BF6B8C" w:rsidRPr="00DB426E" w:rsidRDefault="00BF6B8C" w:rsidP="00BF6B8C">
      <w:pPr>
        <w:pStyle w:val="ListParagraph"/>
        <w:rPr>
          <w:lang w:val="lv-LV"/>
        </w:rPr>
      </w:pPr>
      <w:r w:rsidRPr="00DB426E">
        <w:rPr>
          <w:lang w:val="lv-LV"/>
        </w:rPr>
        <w:t>MVU + inovāciju fonda programma.</w:t>
      </w:r>
      <w:r w:rsidRPr="00DB426E">
        <w:rPr>
          <w:rStyle w:val="FootnoteReference"/>
          <w:lang w:val="lv-LV"/>
        </w:rPr>
        <w:footnoteReference w:id="52"/>
      </w:r>
    </w:p>
    <w:p w:rsidR="008E39CD" w:rsidRDefault="008E39CD" w:rsidP="00BF6B8C"/>
    <w:p w:rsidR="00BF6B8C" w:rsidRPr="00DB426E" w:rsidRDefault="00BF6B8C" w:rsidP="00BF6B8C">
      <w:r w:rsidRPr="00DB426E">
        <w:t>Uz R&amp;D attīstību mērķētie subsīdiju konkursi ir nelieli, paredz neliela apjoma subsīdijas piešķiršanu, un ir diezgan sadrumstaloti – katrs konkurss mērķēts uz konkrētas problēmas atrisināšanu, nevis visaptverošu ieguldījumu sekmēšanu R&amp;D. Inovatīvie uzņēmumi, kuri investē R&amp;D, var pieteikties dažādiem atbalsta pasākumiem, piemēram, MVU aizdevumu garantijām, kuros var piedalās visi Nīderlandes uzņēmumi neatkarīgi no to inovāciju pakāpes.</w:t>
      </w:r>
    </w:p>
    <w:p w:rsidR="00BF6B8C" w:rsidRPr="00DB426E" w:rsidRDefault="00BF6B8C" w:rsidP="00BF6B8C">
      <w:pPr>
        <w:pStyle w:val="Heading3"/>
        <w:numPr>
          <w:ilvl w:val="2"/>
          <w:numId w:val="4"/>
        </w:numPr>
      </w:pPr>
      <w:bookmarkStart w:id="407" w:name="_Toc356472856"/>
      <w:bookmarkStart w:id="408" w:name="_Toc358978788"/>
      <w:r w:rsidRPr="00DB426E">
        <w:t>Francija</w:t>
      </w:r>
      <w:bookmarkEnd w:id="407"/>
      <w:bookmarkEnd w:id="408"/>
    </w:p>
    <w:p w:rsidR="00BF6B8C" w:rsidRPr="00DB426E" w:rsidRDefault="00BF6B8C" w:rsidP="00BF6B8C">
      <w:r w:rsidRPr="00DB426E">
        <w:t xml:space="preserve">Francija ir inovācijas sekotājs – tās inovāciju līmenis ir virs vidējā ES līmeņa. Būtiskākās Francijas tautsaimniecības nozares ir enerģētika, tūrisms, pārtikas ražošana, mašīnbūve, u. c. nozares. </w:t>
      </w:r>
    </w:p>
    <w:p w:rsidR="00BF6B8C" w:rsidRPr="00DB426E" w:rsidRDefault="00BF6B8C" w:rsidP="00BF6B8C">
      <w:r w:rsidRPr="00DB426E">
        <w:t xml:space="preserve">Par publiskā finansējuma pārdali un piešķiršanu uzņēmumiem atbildīga ir valsts aģentūra OSEO. Tās mērķis ir sekmēt investīciju veikšanu uzņēmumos, veicināt inovācijas un uzņēmumu attīstību Francijā. Atbalsts privāto ieguldījumu sekmēšanai R&amp;D tiek sniegts pārsvarā trīs veidos: </w:t>
      </w:r>
      <w:proofErr w:type="spellStart"/>
      <w:r w:rsidRPr="00DB426E">
        <w:t>granta</w:t>
      </w:r>
      <w:proofErr w:type="spellEnd"/>
      <w:r w:rsidRPr="00DB426E">
        <w:t xml:space="preserve"> veidā, bankas aizdevuma veidā un nodokļu atvieglojuma veidā. Būtiskākie atbalsta pasākumi R&amp;D sekmēšanai Francijā ir:</w:t>
      </w:r>
    </w:p>
    <w:p w:rsidR="00BF6B8C" w:rsidRPr="00DB426E" w:rsidRDefault="00BF6B8C" w:rsidP="00BF6B8C">
      <w:pPr>
        <w:pStyle w:val="ListParagraph"/>
        <w:numPr>
          <w:ilvl w:val="0"/>
          <w:numId w:val="0"/>
        </w:numPr>
        <w:ind w:left="720"/>
        <w:rPr>
          <w:b/>
          <w:lang w:val="lv-LV"/>
        </w:rPr>
      </w:pPr>
      <w:r w:rsidRPr="00DB426E">
        <w:rPr>
          <w:b/>
          <w:lang w:val="lv-LV"/>
        </w:rPr>
        <w:t>Tehnoloģisko pakalpojumu tīkls.</w:t>
      </w:r>
    </w:p>
    <w:p w:rsidR="00BF6B8C" w:rsidRPr="00DB426E" w:rsidRDefault="00BF6B8C" w:rsidP="00BF6B8C">
      <w:r w:rsidRPr="00DB426E">
        <w:t>Mērķauditorija: mazie un vidējie uzņēmumi, kuri vēlas uzsākt inovāciju procesu, kas ietver tehnoloģiju attīstību partnerībā. Atbalstāmā aktivitāte ir tehnoloģiskā tīkla izveide ar mērķi atbalstīt tos MVU, kuri var dibināt partnerattiecības ar ekspertu centriem. Instrumenta mērķis ir arī veicināt intelektuālā īpašuma tiesību nostiprināšanu uzņēmumos. Tiek līdzfinansētas tādas izmaksas kā priekšizpētes, analīzes, modelēšana, produktu raksturojuma pētījumi, tirgus izpētes, u.tml. izmaksas, kā arī intelektuālā īpašuma tiesību nostiprināšanas izmaksas.</w:t>
      </w:r>
    </w:p>
    <w:p w:rsidR="00BF6B8C" w:rsidRPr="00DB426E" w:rsidRDefault="00BF6B8C" w:rsidP="00BF6B8C">
      <w:r w:rsidRPr="00DB426E">
        <w:t xml:space="preserve">Atbalsts tiek sniegts subsīdijas veidā. Atbalsta intensitāte – līdz 80% no attiecināmajām izmaksām. Subsīdijas apjoms līdz 10 000 EUR. </w:t>
      </w:r>
    </w:p>
    <w:p w:rsidR="00BF6B8C" w:rsidRPr="00DB426E" w:rsidRDefault="00BF6B8C" w:rsidP="00BF6B8C">
      <w:pPr>
        <w:pStyle w:val="ListParagraph"/>
        <w:numPr>
          <w:ilvl w:val="0"/>
          <w:numId w:val="0"/>
        </w:numPr>
        <w:ind w:left="720"/>
        <w:rPr>
          <w:b/>
          <w:lang w:val="lv-LV"/>
        </w:rPr>
      </w:pPr>
      <w:r w:rsidRPr="00DB426E">
        <w:rPr>
          <w:b/>
          <w:lang w:val="lv-LV"/>
        </w:rPr>
        <w:t>Atbalsts inovāciju attīstībai</w:t>
      </w:r>
    </w:p>
    <w:p w:rsidR="00BF6B8C" w:rsidRPr="00DB426E" w:rsidRDefault="00BF6B8C" w:rsidP="00BF6B8C">
      <w:r w:rsidRPr="00DB426E">
        <w:t xml:space="preserve">Programmas mērķis ir sniegt finansiālu palīdzību inovāciju attīstībai pirms ražošanas un tirdzniecības uzsākšanas. Programmā tiek atbalstīti pētniecības, attīstības un inovāciju projekti, kurus veic MVU. Programmas rezultātā ir plānots izstrādāt jaunus tehnoloģiski inovatīvus produktus, procesus un pakalpojumus ar komercializācijas iespējām. </w:t>
      </w:r>
    </w:p>
    <w:p w:rsidR="00BF6B8C" w:rsidRPr="00DB426E" w:rsidRDefault="00BF6B8C" w:rsidP="00BF6B8C">
      <w:r w:rsidRPr="00DB426E">
        <w:t>Atbalstāmās izmaksas ir dizaina izstrāde, tehniskā projekta izstrāde, komercializācijas plāna izstrāde, izmantojot uzņēmuma R&amp;D kapacitāti un ārpakalpojumus. Atbalstāma ir prototipu, modeļu izstrāde un intelektuālā īpašuma tiesību nostiprināšana.</w:t>
      </w:r>
    </w:p>
    <w:p w:rsidR="00BF6B8C" w:rsidRPr="00DB426E" w:rsidRDefault="00BF6B8C" w:rsidP="00BF6B8C">
      <w:r w:rsidRPr="00DB426E">
        <w:t xml:space="preserve">Atbalsta veids ir attīstības projekta līdzfinansēšana vai bezprocentu aizdevuma sniegšana. Investīcijas pēc sekmīgas projekta īstenošanas ir jāatmaksā. </w:t>
      </w:r>
    </w:p>
    <w:p w:rsidR="00BF6B8C" w:rsidRPr="00DB426E" w:rsidRDefault="00BF6B8C" w:rsidP="00BF6B8C">
      <w:pPr>
        <w:pStyle w:val="ListParagraph"/>
        <w:numPr>
          <w:ilvl w:val="0"/>
          <w:numId w:val="0"/>
        </w:numPr>
        <w:ind w:left="720"/>
        <w:rPr>
          <w:b/>
          <w:lang w:val="lv-LV"/>
        </w:rPr>
      </w:pPr>
      <w:r w:rsidRPr="00DB426E">
        <w:rPr>
          <w:b/>
          <w:lang w:val="lv-LV"/>
        </w:rPr>
        <w:t>„</w:t>
      </w:r>
      <w:proofErr w:type="spellStart"/>
      <w:r w:rsidRPr="00DB426E">
        <w:rPr>
          <w:b/>
          <w:lang w:val="lv-LV"/>
        </w:rPr>
        <w:t>Gateway</w:t>
      </w:r>
      <w:proofErr w:type="spellEnd"/>
      <w:r w:rsidRPr="00DB426E">
        <w:rPr>
          <w:b/>
          <w:lang w:val="lv-LV"/>
        </w:rPr>
        <w:t>” inovācijas atbalsts</w:t>
      </w:r>
    </w:p>
    <w:p w:rsidR="00BF6B8C" w:rsidRPr="00DB426E" w:rsidRDefault="00BF6B8C" w:rsidP="00BF6B8C">
      <w:r w:rsidRPr="00DB426E">
        <w:t xml:space="preserve">Mērķis ir veicināt biznesa partnerību attīstību, to inovāciju attīstību un kopējā labuma gūšanu. Atbalsta saņēmējs ir uzņēmums ar darbinieku skaitu zem 2000. </w:t>
      </w:r>
    </w:p>
    <w:p w:rsidR="00BF6B8C" w:rsidRPr="00DB426E" w:rsidRDefault="00BF6B8C" w:rsidP="00BF6B8C">
      <w:r w:rsidRPr="00DB426E">
        <w:t>Instruments paredz trīspusēju finansējuma piešķiršanas shēmu:</w:t>
      </w:r>
    </w:p>
    <w:p w:rsidR="00BF6B8C" w:rsidRPr="00DB426E" w:rsidRDefault="00BF6B8C" w:rsidP="00BF6B8C">
      <w:pPr>
        <w:pStyle w:val="ListParagraph"/>
        <w:rPr>
          <w:lang w:val="lv-LV"/>
        </w:rPr>
      </w:pPr>
      <w:bookmarkStart w:id="409" w:name="eztoc424619_0_0_1"/>
      <w:bookmarkEnd w:id="409"/>
      <w:r w:rsidRPr="00DB426E">
        <w:rPr>
          <w:bCs/>
          <w:lang w:val="lv-LV"/>
        </w:rPr>
        <w:t xml:space="preserve">OSEO </w:t>
      </w:r>
      <w:proofErr w:type="spellStart"/>
      <w:r w:rsidRPr="00DB426E">
        <w:rPr>
          <w:lang w:val="lv-LV"/>
        </w:rPr>
        <w:t>finansējums  (atmaksājama</w:t>
      </w:r>
      <w:proofErr w:type="spellEnd"/>
      <w:r w:rsidRPr="00DB426E">
        <w:rPr>
          <w:lang w:val="lv-LV"/>
        </w:rPr>
        <w:t xml:space="preserve"> avansa vai subsīdijas veidā);</w:t>
      </w:r>
    </w:p>
    <w:p w:rsidR="00BF6B8C" w:rsidRPr="00DB426E" w:rsidRDefault="00BF6B8C" w:rsidP="00BF6B8C">
      <w:pPr>
        <w:pStyle w:val="ListParagraph"/>
        <w:rPr>
          <w:lang w:val="lv-LV"/>
        </w:rPr>
      </w:pPr>
      <w:r w:rsidRPr="00DB426E">
        <w:rPr>
          <w:lang w:val="lv-LV"/>
        </w:rPr>
        <w:t xml:space="preserve">Projekta pieteicēja (komersanta) </w:t>
      </w:r>
      <w:proofErr w:type="spellStart"/>
      <w:r w:rsidRPr="00DB426E">
        <w:rPr>
          <w:lang w:val="lv-LV"/>
        </w:rPr>
        <w:t>finansējums  (pašu</w:t>
      </w:r>
      <w:proofErr w:type="spellEnd"/>
      <w:r w:rsidRPr="00DB426E">
        <w:rPr>
          <w:lang w:val="lv-LV"/>
        </w:rPr>
        <w:t xml:space="preserve"> līdzekļi);</w:t>
      </w:r>
    </w:p>
    <w:p w:rsidR="00BF6B8C" w:rsidRPr="00DB426E" w:rsidRDefault="00BF6B8C" w:rsidP="00BF6B8C">
      <w:pPr>
        <w:pStyle w:val="ListParagraph"/>
        <w:rPr>
          <w:lang w:val="lv-LV"/>
        </w:rPr>
      </w:pPr>
      <w:r w:rsidRPr="00DB426E">
        <w:rPr>
          <w:lang w:val="lv-LV"/>
        </w:rPr>
        <w:t xml:space="preserve">Sadarbības partnera (komersanta) </w:t>
      </w:r>
      <w:proofErr w:type="spellStart"/>
      <w:r w:rsidRPr="00DB426E">
        <w:rPr>
          <w:lang w:val="lv-LV"/>
        </w:rPr>
        <w:t>finansējums  (ieguldījums</w:t>
      </w:r>
      <w:proofErr w:type="spellEnd"/>
      <w:r w:rsidRPr="00DB426E">
        <w:rPr>
          <w:lang w:val="lv-LV"/>
        </w:rPr>
        <w:t xml:space="preserve"> finanšu resursos, iekārtās vai ar darbaspēku). </w:t>
      </w:r>
    </w:p>
    <w:p w:rsidR="00BF6B8C" w:rsidRPr="00DB426E" w:rsidRDefault="00BF6B8C" w:rsidP="00BF6B8C">
      <w:r w:rsidRPr="00DB426E">
        <w:t xml:space="preserve">Atbalstāmās izmaksas ir rūpniecisko pētījumu un eksperimentālo izstrāžu izmaksas, priekšizpētes veikšana, projektēšanas izmaksas, intelektuālā īpašuma tiesību nostiprināšanas izmaksas vai iegāde. </w:t>
      </w:r>
    </w:p>
    <w:p w:rsidR="00BF6B8C" w:rsidRPr="00DB426E" w:rsidRDefault="00BF6B8C" w:rsidP="00BF6B8C">
      <w:r w:rsidRPr="00DB426E">
        <w:t>Atbalstu sniedz atmaksājamas dotācijas veidā (līdz 50 000 EUR).</w:t>
      </w:r>
    </w:p>
    <w:p w:rsidR="00BF6B8C" w:rsidRPr="00DB426E" w:rsidRDefault="00BF6B8C" w:rsidP="00BF6B8C">
      <w:pPr>
        <w:pStyle w:val="ListParagraph"/>
        <w:numPr>
          <w:ilvl w:val="0"/>
          <w:numId w:val="0"/>
        </w:numPr>
        <w:ind w:left="720"/>
        <w:rPr>
          <w:b/>
          <w:lang w:val="lv-LV"/>
        </w:rPr>
      </w:pPr>
      <w:r w:rsidRPr="00DB426E">
        <w:rPr>
          <w:b/>
          <w:lang w:val="lv-LV"/>
        </w:rPr>
        <w:t>Atbalsts stratēģisko rūpniecisko inovāciju projektiem</w:t>
      </w:r>
    </w:p>
    <w:p w:rsidR="00BF6B8C" w:rsidRPr="00DB426E" w:rsidRDefault="00BF6B8C" w:rsidP="00BF6B8C">
      <w:pPr>
        <w:spacing w:before="240"/>
      </w:pPr>
      <w:r w:rsidRPr="00DB426E">
        <w:t xml:space="preserve">Projektā strādā vismaz divi uzņēmumi un zinātniskā institūcija. Finansējuma saņēmēji ir MVU, kuru darbinieku skaits ir mazāks par 5000, un valsts un privātās zinātniskās institūcijas. Finanšu instrumenta mērķis ir atbalsta sniegšana stratēģiskajiem rūpniecības projektiem un inovāciju veicināšana sadarbībā. Atbalsts tiek piešķirts tehnoloģiskiem atklājumiem, jauniem produktiem, pakalpojumiem un procesiem. </w:t>
      </w:r>
    </w:p>
    <w:p w:rsidR="00BF6B8C" w:rsidRPr="00DB426E" w:rsidRDefault="00BF6B8C" w:rsidP="00BF6B8C">
      <w:r w:rsidRPr="00DB426E">
        <w:t>Atbalstāmās izmaksas ir personāla izmaksas, aprīkojuma, materiālu un iekārtu iegāde, personāla izmaksas, intelektuālā īpašuma objektu iegāde, ar R&amp;D aktivitātēm saistīto ārpakalpojumu izmaksas.</w:t>
      </w:r>
    </w:p>
    <w:p w:rsidR="00BF6B8C" w:rsidRPr="00DB426E" w:rsidRDefault="00BF6B8C" w:rsidP="00BF6B8C">
      <w:r w:rsidRPr="00DB426E">
        <w:t xml:space="preserve">Valsts atbalsta apjoms ir no 3 līdz 10 miljoniem eiro. Atbalsta veids ir neatmaksājamā dotācija rūpniecisko pētījumu veikšanai un atmaksājams avanss eksperimentālajām izstrādnēm. Atbalsta intensitāte ir no 25% līdz 45%. </w:t>
      </w:r>
    </w:p>
    <w:p w:rsidR="00BF6B8C" w:rsidRPr="00DB426E" w:rsidRDefault="00BF6B8C" w:rsidP="00BF6B8C">
      <w:pPr>
        <w:pStyle w:val="ListParagraph"/>
        <w:numPr>
          <w:ilvl w:val="0"/>
          <w:numId w:val="0"/>
        </w:numPr>
        <w:ind w:left="720"/>
        <w:rPr>
          <w:b/>
          <w:lang w:val="lv-LV"/>
        </w:rPr>
      </w:pPr>
      <w:r w:rsidRPr="00DB426E">
        <w:rPr>
          <w:b/>
          <w:lang w:val="lv-LV"/>
        </w:rPr>
        <w:t>Atbalsts partnerībā īstenotiem projektiem</w:t>
      </w:r>
    </w:p>
    <w:p w:rsidR="00BF6B8C" w:rsidRPr="00DB426E" w:rsidRDefault="00BF6B8C" w:rsidP="00BF6B8C">
      <w:r w:rsidRPr="00DB426E">
        <w:t xml:space="preserve">Atbalsta mērķis ir sadarbības projektu atbalsts, kuri izstrādā jaunus produktus vai pakalpojumus ar augstu inovāciju pakāpi un kurus plāno komercializēt piecu gadu laikā pēc to izstrādes. Finansējuma saņēmēji ir uzņēmumi un zinātniskās institūcijas (t. sk. izglītības iestādes). </w:t>
      </w:r>
    </w:p>
    <w:p w:rsidR="00BF6B8C" w:rsidRPr="00DB426E" w:rsidRDefault="00BF6B8C" w:rsidP="00BF6B8C">
      <w:r w:rsidRPr="00DB426E">
        <w:t>Atbalstāmās izmaksas ir personāla izmaksas, iekārtu nolietojums un pētniecības materiāli. Atbalsts tiek sniegts neatmaksājamās dotācijas veidā.</w:t>
      </w:r>
      <w:r w:rsidRPr="00DB426E">
        <w:rPr>
          <w:rStyle w:val="FootnoteReference"/>
        </w:rPr>
        <w:footnoteReference w:id="53"/>
      </w:r>
    </w:p>
    <w:p w:rsidR="00BF6B8C" w:rsidRPr="00DB426E" w:rsidRDefault="00BF6B8C" w:rsidP="00BF6B8C">
      <w:r w:rsidRPr="00DB426E">
        <w:t xml:space="preserve">Francijā eksistē vairāki desmiti dažādu valsts aizdevumu, no kuriem daļa ir vērsta arī uz R&amp;D ieguldījumu sekmēšanu. Būtiskākās šāda atbalsta veida priekšrocības ir zemāka procentu likme nekā kredītiestādēs un iespēja piesaistīt lielāku finansējuma apjomu nekā </w:t>
      </w:r>
      <w:proofErr w:type="spellStart"/>
      <w:r w:rsidRPr="00DB426E">
        <w:t>grantu</w:t>
      </w:r>
      <w:proofErr w:type="spellEnd"/>
      <w:r w:rsidRPr="00DB426E">
        <w:t xml:space="preserve"> un subsīdiju programmās. Aizdevumi, kas tieši ietekmē R&amp;D veicināšanu, pieejami šādu programmu ietvaros:</w:t>
      </w:r>
    </w:p>
    <w:p w:rsidR="00BF6B8C" w:rsidRPr="00DB426E" w:rsidRDefault="00BF6B8C" w:rsidP="00BF6B8C">
      <w:pPr>
        <w:pStyle w:val="ListParagraph"/>
        <w:rPr>
          <w:lang w:val="lv-LV"/>
        </w:rPr>
      </w:pPr>
      <w:r w:rsidRPr="00DB426E">
        <w:rPr>
          <w:lang w:val="lv-LV"/>
        </w:rPr>
        <w:t>Kapitāla aizdevums mežrūpniecības attīstībai. Aizdevums no 40 000 līdz 200 000 EUR materiāliem un nemateriāliem ieguldījumiem mežrūpniecības nozarēs.</w:t>
      </w:r>
    </w:p>
    <w:p w:rsidR="00BF6B8C" w:rsidRPr="00DB426E" w:rsidRDefault="00BF6B8C" w:rsidP="00BF6B8C">
      <w:pPr>
        <w:pStyle w:val="ListParagraph"/>
        <w:rPr>
          <w:lang w:val="lv-LV"/>
        </w:rPr>
      </w:pPr>
      <w:r w:rsidRPr="00DB426E">
        <w:rPr>
          <w:lang w:val="lv-LV"/>
        </w:rPr>
        <w:t>Inovāciju attīstības programma. Mērķis ir veicināt nemateriālo ieguldījumu un apgrozāmā kapitāla finansēšanu uzņēmuma inovāciju programmas ietvaros. Atbalsts pieejams MVU jaunu tehnoloģiju un produktu izstrādei, procesu modernizācijai, ieiešanai jaunos tirgos, inovācijas projektu attīstībai, jaunu mārketinga metožu izstrādei.</w:t>
      </w:r>
    </w:p>
    <w:p w:rsidR="00BF6B8C" w:rsidRPr="00DB426E" w:rsidRDefault="00BF6B8C" w:rsidP="00BF6B8C">
      <w:pPr>
        <w:pStyle w:val="ListParagraph"/>
        <w:rPr>
          <w:lang w:val="lv-LV"/>
        </w:rPr>
      </w:pPr>
      <w:r w:rsidRPr="00DB426E">
        <w:rPr>
          <w:lang w:val="lv-LV"/>
        </w:rPr>
        <w:t xml:space="preserve">Garantijas aizdevums attīstībai. Mērķis ir finanšu pieejamības veicināšana pakalpojumu attīstībai MVU. </w:t>
      </w:r>
    </w:p>
    <w:p w:rsidR="00BF6B8C" w:rsidRPr="00DB426E" w:rsidRDefault="00BF6B8C" w:rsidP="00BF6B8C">
      <w:pPr>
        <w:pStyle w:val="ListParagraph"/>
        <w:rPr>
          <w:lang w:val="lv-LV"/>
        </w:rPr>
      </w:pPr>
      <w:r w:rsidRPr="00DB426E">
        <w:rPr>
          <w:lang w:val="lv-LV"/>
        </w:rPr>
        <w:t xml:space="preserve">Aizdevums MVU attīstībai sadarbībā ar pašvaldībām. Mērķis ir veicināt mazāk attīstīto reģionu MVU attīstību, piešķirot pašvaldības galvotos aizdevumus no 15 000 EUR līdz 100 000 EUR. </w:t>
      </w:r>
    </w:p>
    <w:p w:rsidR="00BF6B8C" w:rsidRPr="00DB426E" w:rsidRDefault="00BF6B8C" w:rsidP="00BF6B8C">
      <w:pPr>
        <w:pStyle w:val="ListParagraph"/>
        <w:rPr>
          <w:lang w:val="lv-LV"/>
        </w:rPr>
      </w:pPr>
      <w:r w:rsidRPr="00DB426E">
        <w:rPr>
          <w:lang w:val="lv-LV"/>
        </w:rPr>
        <w:t>MVU attīstības aizdevums nemateriāliem ieguldījumiem. Mērķis ir veicināt to MVU attīstību, kuri lielāko daļu investīciju veic nemateriālajos ieguldījumos, piemēram, programmatūras iegādei, u.tml. izmaksām. Aizdevuma apjoms no 30 000 līdz 400 000 EUR.</w:t>
      </w:r>
      <w:r w:rsidRPr="00DB426E">
        <w:rPr>
          <w:rStyle w:val="FootnoteReference"/>
          <w:vertAlign w:val="baseline"/>
          <w:lang w:val="lv-LV"/>
        </w:rPr>
        <w:footnoteReference w:id="54"/>
      </w:r>
    </w:p>
    <w:p w:rsidR="00BF6B8C" w:rsidRPr="00DB426E" w:rsidRDefault="00BF6B8C" w:rsidP="00BF6B8C">
      <w:r>
        <w:t>F</w:t>
      </w:r>
      <w:r w:rsidRPr="00DB426E">
        <w:t>rancijas R&amp;D aktivitāšu atbalsta vidi raksturo šādas būtiskas iezīmes:</w:t>
      </w:r>
    </w:p>
    <w:p w:rsidR="00BF6B8C" w:rsidRPr="00DB426E" w:rsidRDefault="00BF6B8C" w:rsidP="00BF6B8C">
      <w:pPr>
        <w:pStyle w:val="ListParagraph"/>
        <w:rPr>
          <w:lang w:val="lv-LV"/>
        </w:rPr>
      </w:pPr>
      <w:r w:rsidRPr="00DB426E">
        <w:rPr>
          <w:lang w:val="lv-LV"/>
        </w:rPr>
        <w:t xml:space="preserve">Atbalsts pārsvarā tiek piešķirts </w:t>
      </w:r>
      <w:proofErr w:type="spellStart"/>
      <w:r w:rsidRPr="00DB426E">
        <w:rPr>
          <w:lang w:val="lv-LV"/>
        </w:rPr>
        <w:t>grantu</w:t>
      </w:r>
      <w:proofErr w:type="spellEnd"/>
      <w:r w:rsidRPr="00DB426E">
        <w:rPr>
          <w:lang w:val="lv-LV"/>
        </w:rPr>
        <w:t>, subsīdiju, nodokļu atlaižu un valsts galvoto aizdevumu veidā.</w:t>
      </w:r>
    </w:p>
    <w:p w:rsidR="00BF6B8C" w:rsidRPr="00DB426E" w:rsidRDefault="00BF6B8C" w:rsidP="00BF6B8C">
      <w:pPr>
        <w:pStyle w:val="ListParagraph"/>
        <w:rPr>
          <w:lang w:val="lv-LV"/>
        </w:rPr>
      </w:pPr>
      <w:r w:rsidRPr="00DB426E">
        <w:rPr>
          <w:lang w:val="lv-LV"/>
        </w:rPr>
        <w:t xml:space="preserve">Valsts galvojumu mērķauditorija ir mazie un vidējie uzņēmumi. </w:t>
      </w:r>
    </w:p>
    <w:p w:rsidR="00BF6B8C" w:rsidRPr="00DB426E" w:rsidRDefault="00BF6B8C" w:rsidP="00BF6B8C">
      <w:pPr>
        <w:pStyle w:val="ListParagraph"/>
        <w:rPr>
          <w:lang w:val="lv-LV"/>
        </w:rPr>
      </w:pPr>
      <w:r w:rsidRPr="00DB426E">
        <w:rPr>
          <w:lang w:val="lv-LV"/>
        </w:rPr>
        <w:t>Atbalsts tiek sniegts t. sk. atmaksājamu avansu un dotāciju veidā.</w:t>
      </w:r>
    </w:p>
    <w:p w:rsidR="00BF6B8C" w:rsidRPr="00DB426E" w:rsidRDefault="00BF6B8C" w:rsidP="00BF6B8C">
      <w:pPr>
        <w:spacing w:before="240"/>
      </w:pPr>
      <w:r w:rsidRPr="00DB426E">
        <w:t>Atmaksājami avansi un dotācijas padara valsti par sava veida investoru – labuma guvēju no R&amp;D aktivitātēm. Neatmaksājamie granti Francijas atbalsta instrumentu sistēmā tiek piešķirti reti. Neskatoties uz to, Francija ir inovāciju sekotāja, un valsts inovāciju rādītāji ir virs vidējiem Eiropas Savienībā.</w:t>
      </w:r>
    </w:p>
    <w:p w:rsidR="00ED38EF" w:rsidRDefault="00ED38EF" w:rsidP="002A30A0"/>
    <w:p w:rsidR="00BF6B8C" w:rsidRDefault="00BF6B8C" w:rsidP="002A30A0"/>
    <w:p w:rsidR="00BF6B8C" w:rsidRDefault="00BF6B8C" w:rsidP="002A30A0"/>
    <w:p w:rsidR="00BF6B8C" w:rsidRDefault="00BF6B8C" w:rsidP="002A30A0"/>
    <w:p w:rsidR="00ED38EF" w:rsidRDefault="00ED38EF" w:rsidP="002A30A0"/>
    <w:p w:rsidR="00ED38EF" w:rsidRPr="00DB426E" w:rsidRDefault="00ED38EF" w:rsidP="002A30A0"/>
    <w:sectPr w:rsidR="00ED38EF" w:rsidRPr="00DB426E" w:rsidSect="007702F3">
      <w:headerReference w:type="even" r:id="rId169"/>
      <w:headerReference w:type="default" r:id="rId170"/>
      <w:footerReference w:type="even" r:id="rId171"/>
      <w:footerReference w:type="default" r:id="rId172"/>
      <w:headerReference w:type="first" r:id="rId173"/>
      <w:footerReference w:type="first" r:id="rId174"/>
      <w:pgSz w:w="12240" w:h="15840"/>
      <w:pgMar w:top="1701" w:right="1134" w:bottom="1134"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603" w:rsidRDefault="00774603" w:rsidP="006D3AB5">
      <w:pPr>
        <w:spacing w:after="0" w:line="240" w:lineRule="auto"/>
      </w:pPr>
      <w:r>
        <w:separator/>
      </w:r>
    </w:p>
  </w:endnote>
  <w:endnote w:type="continuationSeparator" w:id="0">
    <w:p w:rsidR="00774603" w:rsidRDefault="00774603" w:rsidP="006D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Pr="006D3AB5" w:rsidRDefault="00774603">
    <w:pPr>
      <w:pStyle w:val="Footer"/>
      <w:jc w:val="right"/>
      <w:rPr>
        <w:rFonts w:ascii="Calibri" w:hAnsi="Calibri"/>
        <w:sz w:val="20"/>
      </w:rPr>
    </w:pPr>
    <w:r w:rsidRPr="006D3AB5">
      <w:rPr>
        <w:rFonts w:ascii="Calibri" w:hAnsi="Calibri"/>
        <w:sz w:val="20"/>
      </w:rPr>
      <w:fldChar w:fldCharType="begin"/>
    </w:r>
    <w:r w:rsidRPr="006D3AB5">
      <w:rPr>
        <w:rFonts w:ascii="Calibri" w:hAnsi="Calibri"/>
        <w:sz w:val="20"/>
      </w:rPr>
      <w:instrText xml:space="preserve"> PAGE   \* MERGEFORMAT </w:instrText>
    </w:r>
    <w:r w:rsidRPr="006D3AB5">
      <w:rPr>
        <w:rFonts w:ascii="Calibri" w:hAnsi="Calibri"/>
        <w:sz w:val="20"/>
      </w:rPr>
      <w:fldChar w:fldCharType="separate"/>
    </w:r>
    <w:r w:rsidR="00995F63">
      <w:rPr>
        <w:rFonts w:ascii="Calibri" w:hAnsi="Calibri"/>
        <w:noProof/>
        <w:sz w:val="20"/>
      </w:rPr>
      <w:t>34</w:t>
    </w:r>
    <w:r w:rsidRPr="006D3AB5">
      <w:rPr>
        <w:rFonts w:ascii="Calibri" w:hAnsi="Calibri"/>
        <w:noProof/>
        <w:sz w:val="20"/>
      </w:rPr>
      <w:fldChar w:fldCharType="end"/>
    </w:r>
  </w:p>
  <w:p w:rsidR="00774603" w:rsidRDefault="007746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Default="0077460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Pr="005766E8" w:rsidRDefault="00774603">
    <w:pPr>
      <w:pStyle w:val="Footer"/>
      <w:jc w:val="right"/>
      <w:rPr>
        <w:rFonts w:ascii="Calibri" w:hAnsi="Calibri"/>
      </w:rPr>
    </w:pPr>
    <w:r w:rsidRPr="005766E8">
      <w:rPr>
        <w:rFonts w:ascii="Calibri" w:hAnsi="Calibri" w:cs="Calibri"/>
        <w:sz w:val="18"/>
        <w:szCs w:val="22"/>
      </w:rPr>
      <w:fldChar w:fldCharType="begin"/>
    </w:r>
    <w:r w:rsidRPr="005766E8">
      <w:rPr>
        <w:rFonts w:ascii="Calibri" w:hAnsi="Calibri" w:cs="Calibri"/>
        <w:sz w:val="18"/>
        <w:szCs w:val="22"/>
      </w:rPr>
      <w:instrText xml:space="preserve"> PAGE </w:instrText>
    </w:r>
    <w:r w:rsidRPr="005766E8">
      <w:rPr>
        <w:rFonts w:ascii="Calibri" w:hAnsi="Calibri" w:cs="Calibri"/>
        <w:sz w:val="18"/>
        <w:szCs w:val="22"/>
      </w:rPr>
      <w:fldChar w:fldCharType="separate"/>
    </w:r>
    <w:r w:rsidR="009B0188">
      <w:rPr>
        <w:rFonts w:ascii="Calibri" w:hAnsi="Calibri" w:cs="Calibri"/>
        <w:noProof/>
        <w:sz w:val="18"/>
        <w:szCs w:val="22"/>
      </w:rPr>
      <w:t>84</w:t>
    </w:r>
    <w:r w:rsidRPr="005766E8">
      <w:rPr>
        <w:rFonts w:ascii="Calibri" w:hAnsi="Calibri" w:cs="Calibri"/>
        <w:sz w:val="18"/>
        <w:szCs w:val="22"/>
      </w:rPr>
      <w:fldChar w:fldCharType="end"/>
    </w:r>
  </w:p>
  <w:p w:rsidR="00774603" w:rsidRDefault="0077460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Default="007746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603" w:rsidRDefault="00774603" w:rsidP="006D3AB5">
      <w:pPr>
        <w:spacing w:after="0" w:line="240" w:lineRule="auto"/>
      </w:pPr>
      <w:r>
        <w:separator/>
      </w:r>
    </w:p>
  </w:footnote>
  <w:footnote w:type="continuationSeparator" w:id="0">
    <w:p w:rsidR="00774603" w:rsidRDefault="00774603" w:rsidP="006D3AB5">
      <w:pPr>
        <w:spacing w:after="0" w:line="240" w:lineRule="auto"/>
      </w:pPr>
      <w:r>
        <w:continuationSeparator/>
      </w:r>
    </w:p>
  </w:footnote>
  <w:footnote w:id="1">
    <w:p w:rsidR="00774603" w:rsidRPr="008F1B84" w:rsidRDefault="00774603" w:rsidP="006D3AB5">
      <w:pPr>
        <w:pStyle w:val="FootnoteText"/>
        <w:spacing w:before="0"/>
        <w:rPr>
          <w:lang w:val="en-US"/>
        </w:rPr>
      </w:pPr>
      <w:r>
        <w:rPr>
          <w:rStyle w:val="FootnoteReference"/>
        </w:rPr>
        <w:footnoteRef/>
      </w:r>
      <w:r>
        <w:t xml:space="preserve"> </w:t>
      </w:r>
      <w:proofErr w:type="gramStart"/>
      <w:r>
        <w:rPr>
          <w:lang w:val="en-US" w:eastAsia="lv-LV"/>
        </w:rPr>
        <w:t>Innovation</w:t>
      </w:r>
      <w:r w:rsidRPr="008F1B84">
        <w:rPr>
          <w:lang w:val="en-US" w:eastAsia="lv-LV"/>
        </w:rPr>
        <w:t xml:space="preserve"> </w:t>
      </w:r>
      <w:r>
        <w:rPr>
          <w:lang w:val="en-US" w:eastAsia="lv-LV"/>
        </w:rPr>
        <w:t>Union</w:t>
      </w:r>
      <w:r w:rsidRPr="008F1B84">
        <w:rPr>
          <w:lang w:val="en-US" w:eastAsia="lv-LV"/>
        </w:rPr>
        <w:t xml:space="preserve"> </w:t>
      </w:r>
      <w:r>
        <w:rPr>
          <w:lang w:val="en-US" w:eastAsia="lv-LV"/>
        </w:rPr>
        <w:t>Competitiveness</w:t>
      </w:r>
      <w:r w:rsidRPr="008F1B84">
        <w:rPr>
          <w:lang w:val="en-US" w:eastAsia="lv-LV"/>
        </w:rPr>
        <w:t xml:space="preserve"> </w:t>
      </w:r>
      <w:r>
        <w:rPr>
          <w:lang w:val="en-US" w:eastAsia="lv-LV"/>
        </w:rPr>
        <w:t>Report</w:t>
      </w:r>
      <w:r w:rsidRPr="008F1B84">
        <w:rPr>
          <w:lang w:val="en-US" w:eastAsia="lv-LV"/>
        </w:rPr>
        <w:t xml:space="preserve"> 2011.</w:t>
      </w:r>
      <w:proofErr w:type="gramEnd"/>
    </w:p>
  </w:footnote>
  <w:footnote w:id="2">
    <w:p w:rsidR="00774603" w:rsidRPr="008F1B84" w:rsidRDefault="00774603" w:rsidP="006D3AB5">
      <w:pPr>
        <w:pStyle w:val="FootnoteText"/>
        <w:spacing w:before="0"/>
        <w:rPr>
          <w:lang w:val="en-US"/>
        </w:rPr>
      </w:pPr>
      <w:r>
        <w:rPr>
          <w:rStyle w:val="FootnoteReference"/>
        </w:rPr>
        <w:footnoteRef/>
      </w:r>
      <w:r>
        <w:t xml:space="preserve"> </w:t>
      </w:r>
      <w:r>
        <w:rPr>
          <w:lang w:val="en-US"/>
        </w:rPr>
        <w:t>www.census.gov</w:t>
      </w:r>
    </w:p>
  </w:footnote>
  <w:footnote w:id="3">
    <w:p w:rsidR="00774603" w:rsidRPr="008C27DC" w:rsidRDefault="00774603" w:rsidP="006D3AB5">
      <w:pPr>
        <w:pStyle w:val="FootnoteText"/>
        <w:rPr>
          <w:lang w:val="en-US"/>
        </w:rPr>
      </w:pPr>
      <w:r>
        <w:rPr>
          <w:rStyle w:val="FootnoteReference"/>
        </w:rPr>
        <w:footnoteRef/>
      </w:r>
      <w:r>
        <w:rPr>
          <w:lang w:val="en-US"/>
        </w:rPr>
        <w:t xml:space="preserve">Eurostat </w:t>
      </w:r>
    </w:p>
  </w:footnote>
  <w:footnote w:id="4">
    <w:p w:rsidR="00774603" w:rsidRDefault="00774603" w:rsidP="00B24F7E">
      <w:pPr>
        <w:spacing w:after="0" w:line="240" w:lineRule="auto"/>
      </w:pPr>
      <w:r>
        <w:rPr>
          <w:vertAlign w:val="superscript"/>
        </w:rPr>
        <w:footnoteRef/>
      </w:r>
      <w:r>
        <w:rPr>
          <w:sz w:val="20"/>
        </w:rPr>
        <w:t xml:space="preserve"> </w:t>
      </w:r>
      <w:r>
        <w:rPr>
          <w:rFonts w:ascii="Arial" w:eastAsia="Arial" w:hAnsi="Arial" w:cs="Arial"/>
          <w:sz w:val="18"/>
        </w:rPr>
        <w:t xml:space="preserve">R&amp;D un inovācijas procesu arvien ciešākā mijiedarbība ir radījusi jaunu kvalitāti, ko ir pamatoti apzīmēt </w:t>
      </w:r>
      <w:proofErr w:type="spellStart"/>
      <w:r>
        <w:rPr>
          <w:rFonts w:ascii="Arial" w:eastAsia="Arial" w:hAnsi="Arial" w:cs="Arial"/>
          <w:sz w:val="18"/>
        </w:rPr>
        <w:t>kā pētniecības</w:t>
      </w:r>
      <w:proofErr w:type="spellEnd"/>
      <w:r>
        <w:rPr>
          <w:rFonts w:ascii="Arial" w:eastAsia="Arial" w:hAnsi="Arial" w:cs="Arial"/>
          <w:sz w:val="18"/>
        </w:rPr>
        <w:t xml:space="preserve"> un tehnoloģisko attīstību (R&amp;D), tādējādi uzsverot šo procesu rezultātu - tehnoloģiju.</w:t>
      </w:r>
    </w:p>
  </w:footnote>
  <w:footnote w:id="5">
    <w:p w:rsidR="00774603" w:rsidRDefault="00774603" w:rsidP="00F13BD2">
      <w:pPr>
        <w:pStyle w:val="FootnoteText"/>
      </w:pPr>
      <w:r>
        <w:rPr>
          <w:rStyle w:val="FootnoteReference"/>
        </w:rPr>
        <w:footnoteRef/>
      </w:r>
      <w:r>
        <w:t xml:space="preserve"> </w:t>
      </w:r>
      <w:hyperlink r:id="rId1" w:history="1">
        <w:r>
          <w:rPr>
            <w:rStyle w:val="Hyperlink"/>
          </w:rPr>
          <w:t>http://www.oecd.org/sti/ind/44210785.pdf</w:t>
        </w:r>
      </w:hyperlink>
    </w:p>
  </w:footnote>
  <w:footnote w:id="6">
    <w:p w:rsidR="00774603" w:rsidRDefault="00774603" w:rsidP="00F13BD2">
      <w:pPr>
        <w:pStyle w:val="FootnoteText"/>
      </w:pPr>
      <w:r>
        <w:rPr>
          <w:rStyle w:val="FootnoteReference"/>
        </w:rPr>
        <w:footnoteRef/>
      </w:r>
      <w:r>
        <w:t xml:space="preserve"> </w:t>
      </w:r>
      <w:hyperlink r:id="rId2" w:history="1">
        <w:r>
          <w:rPr>
            <w:rStyle w:val="Hyperlink"/>
          </w:rPr>
          <w:t>http://ec.europa.eu/research/era/instruments/instruments/state_aid_de.htm</w:t>
        </w:r>
      </w:hyperlink>
    </w:p>
  </w:footnote>
  <w:footnote w:id="7">
    <w:p w:rsidR="00774603" w:rsidRDefault="00774603" w:rsidP="00F13BD2">
      <w:pPr>
        <w:pStyle w:val="FootnoteText"/>
      </w:pPr>
      <w:r>
        <w:rPr>
          <w:rStyle w:val="FootnoteReference"/>
        </w:rPr>
        <w:footnoteRef/>
      </w:r>
      <w:r>
        <w:t xml:space="preserve"> </w:t>
      </w:r>
      <w:hyperlink r:id="rId3" w:history="1">
        <w:r>
          <w:rPr>
            <w:rStyle w:val="Hyperlink"/>
          </w:rPr>
          <w:t>http://www.oecd.org/sti/ind/44210785.pdf</w:t>
        </w:r>
      </w:hyperlink>
    </w:p>
  </w:footnote>
  <w:footnote w:id="8">
    <w:p w:rsidR="00774603" w:rsidRDefault="00774603" w:rsidP="00F13BD2">
      <w:pPr>
        <w:pStyle w:val="FootnoteText"/>
      </w:pPr>
      <w:r>
        <w:rPr>
          <w:rStyle w:val="FootnoteReference"/>
        </w:rPr>
        <w:footnoteRef/>
      </w:r>
      <w:r>
        <w:t xml:space="preserve"> </w:t>
      </w:r>
      <w:hyperlink r:id="rId4" w:history="1">
        <w:r>
          <w:rPr>
            <w:rStyle w:val="Hyperlink"/>
          </w:rPr>
          <w:t>http://www.likumi.lv/doc.php?id=153465</w:t>
        </w:r>
      </w:hyperlink>
    </w:p>
  </w:footnote>
  <w:footnote w:id="9">
    <w:p w:rsidR="00774603" w:rsidRDefault="00774603" w:rsidP="00F13BD2">
      <w:pPr>
        <w:pStyle w:val="FootnoteText"/>
      </w:pPr>
      <w:r>
        <w:rPr>
          <w:rStyle w:val="FootnoteReference"/>
        </w:rPr>
        <w:footnoteRef/>
      </w:r>
      <w:r>
        <w:t xml:space="preserve"> </w:t>
      </w:r>
      <w:hyperlink r:id="rId5" w:history="1">
        <w:r>
          <w:rPr>
            <w:rStyle w:val="Hyperlink"/>
          </w:rPr>
          <w:t>http://www.likumi.lv/doc.php?id=87480</w:t>
        </w:r>
      </w:hyperlink>
    </w:p>
  </w:footnote>
  <w:footnote w:id="10">
    <w:p w:rsidR="00774603" w:rsidRDefault="00774603" w:rsidP="00F13BD2">
      <w:pPr>
        <w:pStyle w:val="FootnoteText"/>
      </w:pPr>
      <w:r>
        <w:rPr>
          <w:rStyle w:val="FootnoteReference"/>
        </w:rPr>
        <w:footnoteRef/>
      </w:r>
      <w:r>
        <w:t xml:space="preserve"> </w:t>
      </w:r>
      <w:hyperlink r:id="rId6" w:history="1">
        <w:r>
          <w:rPr>
            <w:rStyle w:val="Hyperlink"/>
          </w:rPr>
          <w:t>http://www.likumi.lv/doc.php?id=244949</w:t>
        </w:r>
      </w:hyperlink>
    </w:p>
  </w:footnote>
  <w:footnote w:id="11">
    <w:p w:rsidR="00774603" w:rsidRDefault="00774603" w:rsidP="00F13BD2">
      <w:pPr>
        <w:pStyle w:val="FootnoteText"/>
      </w:pPr>
      <w:r>
        <w:rPr>
          <w:rStyle w:val="FootnoteReference"/>
        </w:rPr>
        <w:footnoteRef/>
      </w:r>
      <w:r>
        <w:t xml:space="preserve"> </w:t>
      </w:r>
      <w:hyperlink r:id="rId7" w:history="1">
        <w:r>
          <w:rPr>
            <w:rStyle w:val="Hyperlink"/>
          </w:rPr>
          <w:t>http://www.likumi.lv/doc.php?id=58057</w:t>
        </w:r>
      </w:hyperlink>
    </w:p>
  </w:footnote>
  <w:footnote w:id="12">
    <w:p w:rsidR="00774603" w:rsidRDefault="00774603" w:rsidP="00F13BD2">
      <w:pPr>
        <w:pStyle w:val="FootnoteText"/>
      </w:pPr>
      <w:r>
        <w:rPr>
          <w:rStyle w:val="FootnoteReference"/>
        </w:rPr>
        <w:footnoteRef/>
      </w:r>
      <w:r>
        <w:t xml:space="preserve"> </w:t>
      </w:r>
      <w:hyperlink r:id="rId8" w:history="1">
        <w:r>
          <w:rPr>
            <w:rStyle w:val="Hyperlink"/>
          </w:rPr>
          <w:t>http://www.likumi.lv/doc.php?id=184991</w:t>
        </w:r>
      </w:hyperlink>
    </w:p>
  </w:footnote>
  <w:footnote w:id="13">
    <w:p w:rsidR="00774603" w:rsidRDefault="00774603" w:rsidP="00F13BD2">
      <w:pPr>
        <w:pStyle w:val="FootnoteText"/>
      </w:pPr>
      <w:r>
        <w:rPr>
          <w:rStyle w:val="FootnoteReference"/>
        </w:rPr>
        <w:footnoteRef/>
      </w:r>
      <w:r>
        <w:t xml:space="preserve"> </w:t>
      </w:r>
      <w:hyperlink r:id="rId9" w:history="1">
        <w:r>
          <w:rPr>
            <w:rStyle w:val="Hyperlink"/>
          </w:rPr>
          <w:t>http://www.waipa.org/members.htm</w:t>
        </w:r>
      </w:hyperlink>
    </w:p>
  </w:footnote>
  <w:footnote w:id="14">
    <w:p w:rsidR="00774603" w:rsidRPr="00190860" w:rsidRDefault="00774603" w:rsidP="006D3AB5">
      <w:pPr>
        <w:pStyle w:val="FootnoteText"/>
      </w:pPr>
      <w:r>
        <w:rPr>
          <w:rStyle w:val="FootnoteReference"/>
        </w:rPr>
        <w:footnoteRef/>
      </w:r>
      <w:r>
        <w:t xml:space="preserve"> </w:t>
      </w:r>
      <w:r w:rsidRPr="00A21FC2">
        <w:t>Atbilstoši aptaujas rezultātiem attiecībā uz izdevumu zinātniskajiem pētījumiem atspoguļojumu finanšu dokumentos, vairāk kā 60% respondentu</w:t>
      </w:r>
      <w:r>
        <w:t xml:space="preserve"> apstiprināja, ka tie ietverti kārtējās izmaksās.</w:t>
      </w:r>
      <w:r w:rsidRPr="00B24F7E">
        <w:t xml:space="preserve">  </w:t>
      </w:r>
    </w:p>
  </w:footnote>
  <w:footnote w:id="15">
    <w:p w:rsidR="00774603" w:rsidRPr="003E0CFC" w:rsidRDefault="00774603" w:rsidP="006D3AB5">
      <w:pPr>
        <w:contextualSpacing/>
        <w:rPr>
          <w:b/>
          <w:sz w:val="20"/>
          <w:szCs w:val="20"/>
        </w:rPr>
      </w:pPr>
      <w:r>
        <w:rPr>
          <w:rStyle w:val="FootnoteReference"/>
        </w:rPr>
        <w:footnoteRef/>
      </w:r>
      <w:r>
        <w:t xml:space="preserve"> </w:t>
      </w:r>
      <w:r w:rsidRPr="003E0CFC">
        <w:rPr>
          <w:sz w:val="20"/>
          <w:szCs w:val="20"/>
        </w:rPr>
        <w:t>Saskaņā ar Eiropas Komisijas 2003.gada 6.maija Rekomendāciju 2003/361/EK par uzņēmumu definīciju:</w:t>
      </w:r>
    </w:p>
    <w:p w:rsidR="00774603" w:rsidRPr="006D3AB5" w:rsidRDefault="00774603" w:rsidP="00475128">
      <w:pPr>
        <w:pStyle w:val="ListParagraph"/>
        <w:numPr>
          <w:ilvl w:val="0"/>
          <w:numId w:val="13"/>
        </w:numPr>
        <w:suppressAutoHyphens w:val="0"/>
        <w:rPr>
          <w:sz w:val="20"/>
          <w:szCs w:val="20"/>
          <w:lang w:val="lv-LV"/>
        </w:rPr>
      </w:pPr>
      <w:proofErr w:type="spellStart"/>
      <w:r w:rsidRPr="006D3AB5">
        <w:rPr>
          <w:b/>
          <w:sz w:val="20"/>
          <w:szCs w:val="20"/>
          <w:lang w:val="lv-LV"/>
        </w:rPr>
        <w:t>Mikro</w:t>
      </w:r>
      <w:proofErr w:type="spellEnd"/>
      <w:r w:rsidRPr="006D3AB5">
        <w:rPr>
          <w:sz w:val="20"/>
          <w:szCs w:val="20"/>
          <w:lang w:val="lv-LV"/>
        </w:rPr>
        <w:t xml:space="preserve"> uzņēmums – nodarbināto skaits – nepārsniedz 9; gada apgrozījums un/vai gada bilances vērtība nepārsniedz 1.4 miljonus latu;</w:t>
      </w:r>
    </w:p>
    <w:p w:rsidR="00774603" w:rsidRPr="006D3AB5" w:rsidRDefault="00774603" w:rsidP="00475128">
      <w:pPr>
        <w:pStyle w:val="ListParagraph"/>
        <w:numPr>
          <w:ilvl w:val="0"/>
          <w:numId w:val="13"/>
        </w:numPr>
        <w:suppressAutoHyphens w:val="0"/>
        <w:rPr>
          <w:sz w:val="20"/>
          <w:szCs w:val="20"/>
          <w:lang w:val="lv-LV"/>
        </w:rPr>
      </w:pPr>
      <w:r w:rsidRPr="006D3AB5">
        <w:rPr>
          <w:b/>
          <w:sz w:val="20"/>
          <w:szCs w:val="20"/>
          <w:lang w:val="lv-LV"/>
        </w:rPr>
        <w:t>Mazais</w:t>
      </w:r>
      <w:r w:rsidRPr="006D3AB5">
        <w:rPr>
          <w:sz w:val="20"/>
          <w:szCs w:val="20"/>
          <w:lang w:val="lv-LV"/>
        </w:rPr>
        <w:t xml:space="preserve"> uzņēmums – nodarbināto skaits – 10-49; gada apgrozījums un/vai gada bilances vērtība nepārsniedz 7 miljonus latu;</w:t>
      </w:r>
    </w:p>
    <w:p w:rsidR="00774603" w:rsidRPr="006D3AB5" w:rsidRDefault="00774603" w:rsidP="00475128">
      <w:pPr>
        <w:pStyle w:val="ListParagraph"/>
        <w:numPr>
          <w:ilvl w:val="0"/>
          <w:numId w:val="13"/>
        </w:numPr>
        <w:suppressAutoHyphens w:val="0"/>
        <w:rPr>
          <w:sz w:val="20"/>
          <w:szCs w:val="20"/>
          <w:lang w:val="lv-LV"/>
        </w:rPr>
      </w:pPr>
      <w:r w:rsidRPr="006D3AB5">
        <w:rPr>
          <w:b/>
          <w:sz w:val="20"/>
          <w:szCs w:val="20"/>
          <w:lang w:val="lv-LV"/>
        </w:rPr>
        <w:t>Vidējais</w:t>
      </w:r>
      <w:r w:rsidRPr="006D3AB5">
        <w:rPr>
          <w:sz w:val="20"/>
          <w:szCs w:val="20"/>
          <w:lang w:val="lv-LV"/>
        </w:rPr>
        <w:t xml:space="preserve"> uzņēmums – nodarbināto skaits – 50-249; gada apgrozījums nepārsniedz 35.1 miljonu latu un/vai gada bilances vērtība nepārsniedz 30.2 miljonus latu;</w:t>
      </w:r>
    </w:p>
    <w:p w:rsidR="00774603" w:rsidRPr="006D3AB5" w:rsidRDefault="00774603" w:rsidP="00475128">
      <w:pPr>
        <w:pStyle w:val="ListParagraph"/>
        <w:numPr>
          <w:ilvl w:val="0"/>
          <w:numId w:val="13"/>
        </w:numPr>
        <w:suppressAutoHyphens w:val="0"/>
        <w:rPr>
          <w:sz w:val="20"/>
          <w:szCs w:val="20"/>
          <w:lang w:val="lv-LV"/>
        </w:rPr>
      </w:pPr>
      <w:r w:rsidRPr="006D3AB5">
        <w:rPr>
          <w:b/>
          <w:sz w:val="20"/>
          <w:szCs w:val="20"/>
          <w:lang w:val="lv-LV"/>
        </w:rPr>
        <w:t xml:space="preserve">Lielais </w:t>
      </w:r>
      <w:r w:rsidRPr="006D3AB5">
        <w:rPr>
          <w:sz w:val="20"/>
          <w:szCs w:val="20"/>
          <w:lang w:val="lv-LV"/>
        </w:rPr>
        <w:t>uzņēmums – nodarbināto skaits – 250 un vairāk; gada apgrozījums pārsniedz 35.1 miljonu latu vai gada bilances vērtība pārsniedz 30.2 miljonus latu.</w:t>
      </w:r>
    </w:p>
    <w:p w:rsidR="00774603" w:rsidRPr="003E0CFC" w:rsidRDefault="00774603" w:rsidP="006D3AB5">
      <w:pPr>
        <w:pStyle w:val="FootnoteText"/>
      </w:pPr>
    </w:p>
  </w:footnote>
  <w:footnote w:id="16">
    <w:p w:rsidR="00774603" w:rsidRDefault="00774603" w:rsidP="006D3AB5">
      <w:r>
        <w:rPr>
          <w:rStyle w:val="FootnoteReference"/>
        </w:rPr>
        <w:footnoteRef/>
      </w:r>
      <w:r>
        <w:t xml:space="preserve"> </w:t>
      </w:r>
      <w:r w:rsidRPr="00CC0FFE">
        <w:rPr>
          <w:sz w:val="20"/>
          <w:szCs w:val="20"/>
        </w:rPr>
        <w:t xml:space="preserve">Likuma „Par UIN”, 13.panta </w:t>
      </w:r>
      <w:r w:rsidRPr="00CC0FFE">
        <w:rPr>
          <w:rFonts w:eastAsia="Times New Roman"/>
          <w:sz w:val="20"/>
          <w:szCs w:val="20"/>
        </w:rPr>
        <w:t>1.</w:t>
      </w:r>
      <w:r w:rsidRPr="00CC0FFE">
        <w:rPr>
          <w:rFonts w:eastAsia="Times New Roman"/>
          <w:sz w:val="20"/>
          <w:szCs w:val="20"/>
          <w:vertAlign w:val="superscript"/>
        </w:rPr>
        <w:t xml:space="preserve">2 </w:t>
      </w:r>
      <w:r w:rsidRPr="00CC0FFE">
        <w:rPr>
          <w:sz w:val="20"/>
          <w:szCs w:val="20"/>
        </w:rPr>
        <w:t>daļa</w:t>
      </w:r>
    </w:p>
  </w:footnote>
  <w:footnote w:id="17">
    <w:p w:rsidR="00774603" w:rsidRPr="002358FE" w:rsidRDefault="00774603" w:rsidP="006D3AB5">
      <w:pPr>
        <w:pStyle w:val="FootnoteText"/>
      </w:pPr>
      <w:r>
        <w:rPr>
          <w:rStyle w:val="FootnoteReference"/>
        </w:rPr>
        <w:footnoteRef/>
      </w:r>
      <w:r w:rsidRPr="002358FE">
        <w:t xml:space="preserve"> </w:t>
      </w:r>
      <w:r>
        <w:t>Uzņēmumu klasifikācija veikta pēc strādājošo skaita uzņēmumā</w:t>
      </w:r>
      <w:r w:rsidRPr="002358FE">
        <w:t>.</w:t>
      </w:r>
    </w:p>
  </w:footnote>
  <w:footnote w:id="18">
    <w:p w:rsidR="00774603" w:rsidRDefault="00774603" w:rsidP="000B4ED4">
      <w:pPr>
        <w:pStyle w:val="FootnoteText"/>
      </w:pPr>
      <w:r>
        <w:rPr>
          <w:rStyle w:val="FootnoteReference"/>
        </w:rPr>
        <w:footnoteRef/>
      </w:r>
      <w:r>
        <w:t xml:space="preserve"> </w:t>
      </w:r>
      <w:hyperlink r:id="rId10" w:anchor="p46" w:history="1">
        <w:r>
          <w:rPr>
            <w:rStyle w:val="Hyperlink"/>
          </w:rPr>
          <w:t>http://www.likumi.lv/doc.php?id=246032#p46</w:t>
        </w:r>
      </w:hyperlink>
    </w:p>
  </w:footnote>
  <w:footnote w:id="19">
    <w:p w:rsidR="00774603" w:rsidRDefault="00774603" w:rsidP="000B4ED4">
      <w:pPr>
        <w:pStyle w:val="FootnoteText"/>
      </w:pPr>
      <w:r>
        <w:rPr>
          <w:rStyle w:val="FootnoteReference"/>
        </w:rPr>
        <w:footnoteRef/>
      </w:r>
      <w:r>
        <w:t xml:space="preserve"> </w:t>
      </w:r>
      <w:hyperlink r:id="rId11" w:history="1">
        <w:r>
          <w:rPr>
            <w:rStyle w:val="Hyperlink"/>
          </w:rPr>
          <w:t>http://www.likumi.lv/doc.php?id=172475</w:t>
        </w:r>
      </w:hyperlink>
    </w:p>
  </w:footnote>
  <w:footnote w:id="20">
    <w:p w:rsidR="00774603" w:rsidRDefault="00774603" w:rsidP="000B4ED4">
      <w:pPr>
        <w:pStyle w:val="FootnoteText"/>
      </w:pPr>
      <w:r>
        <w:rPr>
          <w:rStyle w:val="FootnoteReference"/>
        </w:rPr>
        <w:footnoteRef/>
      </w:r>
      <w:r>
        <w:t xml:space="preserve"> </w:t>
      </w:r>
      <w:hyperlink r:id="rId12" w:history="1">
        <w:r>
          <w:rPr>
            <w:rStyle w:val="Hyperlink"/>
          </w:rPr>
          <w:t>http://www.esfondi.lv/upload/04-kohezijas_politikas_nakotne/dp_aktivitates/2dp/FMProgr_240907.pdf</w:t>
        </w:r>
      </w:hyperlink>
    </w:p>
  </w:footnote>
  <w:footnote w:id="21">
    <w:p w:rsidR="00774603" w:rsidRDefault="00774603" w:rsidP="000B4ED4">
      <w:pPr>
        <w:pStyle w:val="FootnoteText"/>
      </w:pPr>
      <w:r>
        <w:rPr>
          <w:rStyle w:val="FootnoteReference"/>
        </w:rPr>
        <w:footnoteRef/>
      </w:r>
      <w:r>
        <w:t xml:space="preserve"> </w:t>
      </w:r>
      <w:hyperlink r:id="rId13" w:history="1">
        <w:r>
          <w:rPr>
            <w:rStyle w:val="Hyperlink"/>
          </w:rPr>
          <w:t>http://www.likumi.lv/doc.php?id=254171</w:t>
        </w:r>
      </w:hyperlink>
    </w:p>
  </w:footnote>
  <w:footnote w:id="22">
    <w:p w:rsidR="00774603" w:rsidRDefault="00774603" w:rsidP="000B4ED4">
      <w:pPr>
        <w:pStyle w:val="FootnoteText"/>
      </w:pPr>
      <w:r>
        <w:rPr>
          <w:rStyle w:val="FootnoteReference"/>
        </w:rPr>
        <w:footnoteRef/>
      </w:r>
      <w:r>
        <w:t xml:space="preserve"> </w:t>
      </w:r>
      <w:hyperlink r:id="rId14" w:history="1">
        <w:r>
          <w:rPr>
            <w:rStyle w:val="Hyperlink"/>
          </w:rPr>
          <w:t>http://www.likumi.lv/doc.php?id=198720</w:t>
        </w:r>
      </w:hyperlink>
    </w:p>
  </w:footnote>
  <w:footnote w:id="23">
    <w:p w:rsidR="00774603" w:rsidRDefault="00774603" w:rsidP="000B4ED4">
      <w:pPr>
        <w:pStyle w:val="FootnoteText"/>
      </w:pPr>
      <w:r>
        <w:rPr>
          <w:rStyle w:val="FootnoteReference"/>
        </w:rPr>
        <w:footnoteRef/>
      </w:r>
      <w:r>
        <w:t xml:space="preserve"> </w:t>
      </w:r>
      <w:hyperlink r:id="rId15" w:history="1">
        <w:r>
          <w:rPr>
            <w:rStyle w:val="Hyperlink"/>
          </w:rPr>
          <w:t>http://www.likumi.lv/doc.php?id=228665</w:t>
        </w:r>
      </w:hyperlink>
    </w:p>
  </w:footnote>
  <w:footnote w:id="24">
    <w:p w:rsidR="00774603" w:rsidRDefault="00774603" w:rsidP="000B4ED4">
      <w:pPr>
        <w:pStyle w:val="FootnoteText"/>
      </w:pPr>
      <w:r>
        <w:rPr>
          <w:rStyle w:val="FootnoteReference"/>
        </w:rPr>
        <w:footnoteRef/>
      </w:r>
      <w:r>
        <w:t xml:space="preserve"> </w:t>
      </w:r>
      <w:hyperlink r:id="rId16" w:history="1">
        <w:r>
          <w:rPr>
            <w:rStyle w:val="Hyperlink"/>
          </w:rPr>
          <w:t>http://www.likumi.lv/doc.php?id=209078</w:t>
        </w:r>
      </w:hyperlink>
    </w:p>
  </w:footnote>
  <w:footnote w:id="25">
    <w:p w:rsidR="00774603" w:rsidRDefault="00774603" w:rsidP="000B4ED4">
      <w:pPr>
        <w:pStyle w:val="FootnoteText"/>
      </w:pPr>
      <w:r>
        <w:rPr>
          <w:rStyle w:val="FootnoteReference"/>
        </w:rPr>
        <w:footnoteRef/>
      </w:r>
      <w:r>
        <w:t xml:space="preserve"> </w:t>
      </w:r>
      <w:hyperlink r:id="rId17" w:history="1">
        <w:r>
          <w:rPr>
            <w:rStyle w:val="Hyperlink"/>
          </w:rPr>
          <w:t>http://www.likumi.lv/doc.php?id=172703</w:t>
        </w:r>
      </w:hyperlink>
    </w:p>
  </w:footnote>
  <w:footnote w:id="26">
    <w:p w:rsidR="00774603" w:rsidRDefault="00774603" w:rsidP="000B4ED4">
      <w:pPr>
        <w:pStyle w:val="FootnoteText"/>
      </w:pPr>
      <w:r>
        <w:rPr>
          <w:rStyle w:val="FootnoteReference"/>
        </w:rPr>
        <w:footnoteRef/>
      </w:r>
      <w:r>
        <w:t xml:space="preserve"> </w:t>
      </w:r>
      <w:hyperlink r:id="rId18" w:history="1">
        <w:r>
          <w:rPr>
            <w:rStyle w:val="Hyperlink"/>
          </w:rPr>
          <w:t>http://www.likumi.lv/doc.php?id=183245</w:t>
        </w:r>
      </w:hyperlink>
    </w:p>
  </w:footnote>
  <w:footnote w:id="27">
    <w:p w:rsidR="00774603" w:rsidRDefault="00774603" w:rsidP="000B4ED4">
      <w:pPr>
        <w:pStyle w:val="FootnoteText"/>
      </w:pPr>
      <w:r>
        <w:rPr>
          <w:rStyle w:val="FootnoteReference"/>
        </w:rPr>
        <w:footnoteRef/>
      </w:r>
      <w:r>
        <w:t xml:space="preserve"> </w:t>
      </w:r>
      <w:hyperlink r:id="rId19" w:history="1">
        <w:r>
          <w:rPr>
            <w:rStyle w:val="Hyperlink"/>
          </w:rPr>
          <w:t>http://www.likumi.lv/doc.php?id=219070</w:t>
        </w:r>
      </w:hyperlink>
    </w:p>
  </w:footnote>
  <w:footnote w:id="28">
    <w:p w:rsidR="00774603" w:rsidRDefault="00774603" w:rsidP="000B4ED4">
      <w:pPr>
        <w:pStyle w:val="FootnoteText"/>
      </w:pPr>
      <w:r>
        <w:rPr>
          <w:rStyle w:val="FootnoteReference"/>
        </w:rPr>
        <w:footnoteRef/>
      </w:r>
      <w:r>
        <w:t xml:space="preserve"> </w:t>
      </w:r>
      <w:hyperlink r:id="rId20" w:history="1">
        <w:r>
          <w:rPr>
            <w:rStyle w:val="Hyperlink"/>
          </w:rPr>
          <w:t>http://www.likumi.lv/doc.php?id=183245</w:t>
        </w:r>
      </w:hyperlink>
    </w:p>
  </w:footnote>
  <w:footnote w:id="29">
    <w:p w:rsidR="00774603" w:rsidRDefault="00774603" w:rsidP="000B4ED4">
      <w:pPr>
        <w:pStyle w:val="FootnoteText"/>
      </w:pPr>
      <w:r>
        <w:rPr>
          <w:rStyle w:val="FootnoteReference"/>
        </w:rPr>
        <w:footnoteRef/>
      </w:r>
      <w:r>
        <w:t xml:space="preserve"> </w:t>
      </w:r>
      <w:hyperlink r:id="rId21" w:history="1">
        <w:r>
          <w:rPr>
            <w:rStyle w:val="Hyperlink"/>
          </w:rPr>
          <w:t>http://www.likumi.lv/doc.php?id=238294</w:t>
        </w:r>
      </w:hyperlink>
    </w:p>
  </w:footnote>
  <w:footnote w:id="30">
    <w:p w:rsidR="00774603" w:rsidRDefault="00774603" w:rsidP="000B4ED4">
      <w:pPr>
        <w:pStyle w:val="FootnoteText"/>
      </w:pPr>
      <w:r>
        <w:rPr>
          <w:rStyle w:val="FootnoteReference"/>
        </w:rPr>
        <w:footnoteRef/>
      </w:r>
      <w:r>
        <w:t xml:space="preserve"> </w:t>
      </w:r>
      <w:hyperlink r:id="rId22" w:history="1">
        <w:r>
          <w:rPr>
            <w:rStyle w:val="Hyperlink"/>
          </w:rPr>
          <w:t>http://www.likumi.lv/doc.php?id=189067</w:t>
        </w:r>
      </w:hyperlink>
    </w:p>
  </w:footnote>
  <w:footnote w:id="31">
    <w:p w:rsidR="00774603" w:rsidRDefault="00774603" w:rsidP="000B4ED4">
      <w:pPr>
        <w:pStyle w:val="FootnoteText"/>
      </w:pPr>
      <w:r>
        <w:rPr>
          <w:rStyle w:val="FootnoteReference"/>
        </w:rPr>
        <w:footnoteRef/>
      </w:r>
      <w:r>
        <w:t xml:space="preserve"> </w:t>
      </w:r>
      <w:hyperlink r:id="rId23" w:history="1">
        <w:r>
          <w:rPr>
            <w:rStyle w:val="Hyperlink"/>
          </w:rPr>
          <w:t>http://likumi.lv/doc.php?id=183034</w:t>
        </w:r>
      </w:hyperlink>
    </w:p>
  </w:footnote>
  <w:footnote w:id="32">
    <w:p w:rsidR="00774603" w:rsidRDefault="00774603" w:rsidP="000B4ED4">
      <w:pPr>
        <w:pStyle w:val="FootnoteText"/>
      </w:pPr>
      <w:r>
        <w:rPr>
          <w:rStyle w:val="FootnoteReference"/>
        </w:rPr>
        <w:footnoteRef/>
      </w:r>
      <w:r>
        <w:t xml:space="preserve"> </w:t>
      </w:r>
      <w:hyperlink r:id="rId24" w:history="1">
        <w:r>
          <w:rPr>
            <w:rStyle w:val="Hyperlink"/>
          </w:rPr>
          <w:t>http://www.likumi.lv/doc.php?id=189065</w:t>
        </w:r>
      </w:hyperlink>
    </w:p>
  </w:footnote>
  <w:footnote w:id="33">
    <w:p w:rsidR="00774603" w:rsidRDefault="00774603" w:rsidP="000B4ED4">
      <w:pPr>
        <w:pStyle w:val="FootnoteText"/>
      </w:pPr>
      <w:r>
        <w:rPr>
          <w:rStyle w:val="FootnoteReference"/>
        </w:rPr>
        <w:footnoteRef/>
      </w:r>
      <w:r>
        <w:t xml:space="preserve"> </w:t>
      </w:r>
      <w:hyperlink r:id="rId25" w:history="1">
        <w:r>
          <w:rPr>
            <w:rStyle w:val="Hyperlink"/>
          </w:rPr>
          <w:t>http://www.likumi.lv/doc.php?id=238455</w:t>
        </w:r>
      </w:hyperlink>
    </w:p>
  </w:footnote>
  <w:footnote w:id="34">
    <w:p w:rsidR="00774603" w:rsidRDefault="00774603" w:rsidP="000B4ED4">
      <w:pPr>
        <w:pStyle w:val="FootnoteText"/>
      </w:pPr>
      <w:r>
        <w:rPr>
          <w:rStyle w:val="FootnoteReference"/>
        </w:rPr>
        <w:footnoteRef/>
      </w:r>
      <w:r>
        <w:t xml:space="preserve"> </w:t>
      </w:r>
      <w:hyperlink r:id="rId26" w:history="1">
        <w:r>
          <w:rPr>
            <w:rStyle w:val="Hyperlink"/>
          </w:rPr>
          <w:t>http://www.likumi.lv/doc.php?id=238462</w:t>
        </w:r>
      </w:hyperlink>
    </w:p>
  </w:footnote>
  <w:footnote w:id="35">
    <w:p w:rsidR="00774603" w:rsidRDefault="00774603" w:rsidP="000B4ED4">
      <w:pPr>
        <w:pStyle w:val="FootnoteText"/>
      </w:pPr>
      <w:r>
        <w:rPr>
          <w:rStyle w:val="FootnoteReference"/>
        </w:rPr>
        <w:footnoteRef/>
      </w:r>
      <w:r>
        <w:t xml:space="preserve"> </w:t>
      </w:r>
      <w:hyperlink r:id="rId27" w:history="1">
        <w:r>
          <w:rPr>
            <w:rStyle w:val="Hyperlink"/>
          </w:rPr>
          <w:t>http://www.likumi.lv/doc.php?id=189264</w:t>
        </w:r>
      </w:hyperlink>
    </w:p>
  </w:footnote>
  <w:footnote w:id="36">
    <w:p w:rsidR="00774603" w:rsidRDefault="00774603" w:rsidP="000B4ED4">
      <w:pPr>
        <w:pStyle w:val="FootnoteText"/>
      </w:pPr>
      <w:r>
        <w:rPr>
          <w:rStyle w:val="FootnoteReference"/>
        </w:rPr>
        <w:footnoteRef/>
      </w:r>
      <w:r>
        <w:t xml:space="preserve"> </w:t>
      </w:r>
      <w:hyperlink r:id="rId28" w:history="1">
        <w:r>
          <w:rPr>
            <w:rStyle w:val="Hyperlink"/>
          </w:rPr>
          <w:t>http://www.likumi.lv/doc.php?id=189263</w:t>
        </w:r>
      </w:hyperlink>
    </w:p>
  </w:footnote>
  <w:footnote w:id="37">
    <w:p w:rsidR="00774603" w:rsidRDefault="00774603" w:rsidP="000B4ED4">
      <w:pPr>
        <w:pStyle w:val="FootnoteText"/>
      </w:pPr>
      <w:r>
        <w:rPr>
          <w:rStyle w:val="FootnoteReference"/>
        </w:rPr>
        <w:footnoteRef/>
      </w:r>
      <w:r>
        <w:t xml:space="preserve"> </w:t>
      </w:r>
      <w:hyperlink r:id="rId29" w:history="1">
        <w:r>
          <w:rPr>
            <w:rStyle w:val="Hyperlink"/>
          </w:rPr>
          <w:t>http://www.likumi.lv/doc.php?id=234581</w:t>
        </w:r>
      </w:hyperlink>
    </w:p>
  </w:footnote>
  <w:footnote w:id="38">
    <w:p w:rsidR="00774603" w:rsidRDefault="00774603" w:rsidP="000B4ED4">
      <w:pPr>
        <w:pStyle w:val="FootnoteText"/>
      </w:pPr>
      <w:r>
        <w:rPr>
          <w:rStyle w:val="FootnoteReference"/>
        </w:rPr>
        <w:footnoteRef/>
      </w:r>
      <w:r>
        <w:t xml:space="preserve"> </w:t>
      </w:r>
      <w:hyperlink r:id="rId30" w:history="1">
        <w:r>
          <w:rPr>
            <w:rStyle w:val="Hyperlink"/>
          </w:rPr>
          <w:t>http://www.hipo.lv/lv/attistibas_programmas/mvu_izaugsmes_aizdevums</w:t>
        </w:r>
      </w:hyperlink>
    </w:p>
  </w:footnote>
  <w:footnote w:id="39">
    <w:p w:rsidR="00774603" w:rsidRDefault="00774603" w:rsidP="00BF6B8C">
      <w:pPr>
        <w:pStyle w:val="FootnoteText"/>
      </w:pPr>
      <w:r>
        <w:rPr>
          <w:rStyle w:val="FootnoteReference"/>
        </w:rPr>
        <w:footnoteRef/>
      </w:r>
      <w:r>
        <w:t xml:space="preserve"> </w:t>
      </w:r>
      <w:hyperlink r:id="rId31" w:history="1">
        <w:r w:rsidRPr="007B03AF">
          <w:rPr>
            <w:rStyle w:val="Hyperlink"/>
          </w:rPr>
          <w:t>www.mita.lt</w:t>
        </w:r>
      </w:hyperlink>
      <w:r>
        <w:t xml:space="preserve"> </w:t>
      </w:r>
    </w:p>
  </w:footnote>
  <w:footnote w:id="40">
    <w:p w:rsidR="00774603" w:rsidRDefault="00774603" w:rsidP="00BF6B8C">
      <w:pPr>
        <w:pStyle w:val="FootnoteText"/>
      </w:pPr>
      <w:r>
        <w:rPr>
          <w:rStyle w:val="FootnoteReference"/>
        </w:rPr>
        <w:footnoteRef/>
      </w:r>
      <w:r>
        <w:t xml:space="preserve"> </w:t>
      </w:r>
      <w:hyperlink r:id="rId32" w:history="1">
        <w:r w:rsidRPr="00FF5571">
          <w:rPr>
            <w:rStyle w:val="Hyperlink"/>
          </w:rPr>
          <w:t>www.verslilietuva.lt</w:t>
        </w:r>
      </w:hyperlink>
      <w:r>
        <w:t xml:space="preserve"> </w:t>
      </w:r>
    </w:p>
  </w:footnote>
  <w:footnote w:id="41">
    <w:p w:rsidR="00774603" w:rsidRDefault="00774603" w:rsidP="00BF6B8C">
      <w:pPr>
        <w:pStyle w:val="FootnoteText"/>
      </w:pPr>
      <w:r>
        <w:rPr>
          <w:rStyle w:val="FootnoteReference"/>
        </w:rPr>
        <w:footnoteRef/>
      </w:r>
      <w:r>
        <w:t xml:space="preserve"> </w:t>
      </w:r>
      <w:hyperlink r:id="rId33" w:history="1">
        <w:r w:rsidRPr="00FF5571">
          <w:rPr>
            <w:rStyle w:val="Hyperlink"/>
          </w:rPr>
          <w:t>www.practica.lt</w:t>
        </w:r>
      </w:hyperlink>
      <w:r>
        <w:t xml:space="preserve"> </w:t>
      </w:r>
    </w:p>
  </w:footnote>
  <w:footnote w:id="42">
    <w:p w:rsidR="00774603" w:rsidRPr="00042F56" w:rsidRDefault="00774603" w:rsidP="00BF6B8C">
      <w:pPr>
        <w:pStyle w:val="FootnoteText"/>
      </w:pPr>
      <w:r w:rsidRPr="00042F56">
        <w:rPr>
          <w:rStyle w:val="FootnoteReference"/>
        </w:rPr>
        <w:footnoteRef/>
      </w:r>
      <w:r w:rsidRPr="00042F56">
        <w:t xml:space="preserve"> </w:t>
      </w:r>
      <w:hyperlink r:id="rId34" w:tgtFrame="_blank" w:history="1">
        <w:r w:rsidRPr="00042F56">
          <w:rPr>
            <w:rStyle w:val="Hyperlink"/>
          </w:rPr>
          <w:t>http://www.mkm.ee/public/Ettevotlustoetuste_loppraport.pdf</w:t>
        </w:r>
      </w:hyperlink>
    </w:p>
  </w:footnote>
  <w:footnote w:id="43">
    <w:p w:rsidR="00774603" w:rsidRDefault="00774603" w:rsidP="00BF6B8C">
      <w:pPr>
        <w:pStyle w:val="FootnoteText"/>
      </w:pPr>
      <w:r>
        <w:rPr>
          <w:rStyle w:val="FootnoteReference"/>
        </w:rPr>
        <w:footnoteRef/>
      </w:r>
      <w:r>
        <w:t xml:space="preserve"> </w:t>
      </w:r>
      <w:hyperlink r:id="rId35" w:anchor="v=onepage&amp;q&amp;f=false" w:history="1">
        <w:r>
          <w:rPr>
            <w:rStyle w:val="Hyperlink"/>
          </w:rPr>
          <w:t>http://books.google.lv/books?id=tcDggX8E9twC&amp;pg=PA256&amp;redir_esc=y#v=onepage&amp;q&amp;f=false</w:t>
        </w:r>
      </w:hyperlink>
    </w:p>
  </w:footnote>
  <w:footnote w:id="44">
    <w:p w:rsidR="00774603" w:rsidRDefault="00774603" w:rsidP="00BF6B8C">
      <w:pPr>
        <w:pStyle w:val="FootnoteText"/>
      </w:pPr>
      <w:r>
        <w:rPr>
          <w:rStyle w:val="FootnoteReference"/>
        </w:rPr>
        <w:footnoteRef/>
      </w:r>
      <w:r>
        <w:t xml:space="preserve"> </w:t>
      </w:r>
      <w:hyperlink r:id="rId36" w:history="1">
        <w:r w:rsidRPr="00415D05">
          <w:rPr>
            <w:rStyle w:val="Hyperlink"/>
          </w:rPr>
          <w:t>www.investingreece.gov.gr</w:t>
        </w:r>
      </w:hyperlink>
      <w:r>
        <w:t xml:space="preserve"> </w:t>
      </w:r>
    </w:p>
  </w:footnote>
  <w:footnote w:id="45">
    <w:p w:rsidR="00774603" w:rsidRDefault="00774603" w:rsidP="00BF6B8C">
      <w:pPr>
        <w:pStyle w:val="FootnoteText"/>
      </w:pPr>
      <w:r>
        <w:rPr>
          <w:rStyle w:val="FootnoteReference"/>
        </w:rPr>
        <w:footnoteRef/>
      </w:r>
      <w:r>
        <w:t xml:space="preserve"> </w:t>
      </w:r>
      <w:hyperlink r:id="rId37" w:history="1">
        <w:r>
          <w:rPr>
            <w:rStyle w:val="Hyperlink"/>
          </w:rPr>
          <w:t>http://www.investingreece.gov.gr/default.asp?pid=180&amp;la=1</w:t>
        </w:r>
      </w:hyperlink>
    </w:p>
  </w:footnote>
  <w:footnote w:id="46">
    <w:p w:rsidR="00774603" w:rsidRPr="005F45F1" w:rsidRDefault="00774603" w:rsidP="00BF6B8C">
      <w:pPr>
        <w:pStyle w:val="FootnoteText"/>
      </w:pPr>
      <w:r>
        <w:rPr>
          <w:rStyle w:val="FootnoteReference"/>
        </w:rPr>
        <w:footnoteRef/>
      </w:r>
      <w:r>
        <w:t xml:space="preserve"> „</w:t>
      </w:r>
      <w:r w:rsidRPr="005F45F1">
        <w:rPr>
          <w:lang w:val="en-US"/>
        </w:rPr>
        <w:t>The investment incentives framework</w:t>
      </w:r>
      <w:r>
        <w:rPr>
          <w:lang w:val="en-US"/>
        </w:rPr>
        <w:t>”, Invest in Greece Agency, 2012.</w:t>
      </w:r>
    </w:p>
    <w:p w:rsidR="00774603" w:rsidRDefault="00774603" w:rsidP="00BF6B8C">
      <w:pPr>
        <w:pStyle w:val="FootnoteText"/>
      </w:pPr>
    </w:p>
  </w:footnote>
  <w:footnote w:id="47">
    <w:p w:rsidR="00774603" w:rsidRDefault="00774603" w:rsidP="00BF6B8C">
      <w:pPr>
        <w:pStyle w:val="FootnoteText"/>
      </w:pPr>
      <w:r>
        <w:rPr>
          <w:rStyle w:val="FootnoteReference"/>
        </w:rPr>
        <w:footnoteRef/>
      </w:r>
      <w:r>
        <w:t xml:space="preserve"> </w:t>
      </w:r>
      <w:hyperlink r:id="rId38" w:history="1">
        <w:r>
          <w:rPr>
            <w:rStyle w:val="Hyperlink"/>
          </w:rPr>
          <w:t>http://www.investinspain.org/icex/cda/controller/interes/0,5464,5322992_6261692_6278959_0,00.html</w:t>
        </w:r>
      </w:hyperlink>
    </w:p>
  </w:footnote>
  <w:footnote w:id="48">
    <w:p w:rsidR="00774603" w:rsidRDefault="00774603" w:rsidP="00BF6B8C">
      <w:pPr>
        <w:pStyle w:val="FootnoteText"/>
      </w:pPr>
      <w:r>
        <w:rPr>
          <w:rStyle w:val="FootnoteReference"/>
        </w:rPr>
        <w:footnoteRef/>
      </w:r>
      <w:r>
        <w:t xml:space="preserve"> </w:t>
      </w:r>
      <w:hyperlink r:id="rId39" w:history="1">
        <w:r>
          <w:rPr>
            <w:rStyle w:val="Hyperlink"/>
          </w:rPr>
          <w:t>http://www.vinnova.se/en/</w:t>
        </w:r>
      </w:hyperlink>
    </w:p>
  </w:footnote>
  <w:footnote w:id="49">
    <w:p w:rsidR="00774603" w:rsidRDefault="00774603" w:rsidP="00BF6B8C">
      <w:pPr>
        <w:pStyle w:val="FootnoteText"/>
      </w:pPr>
      <w:r>
        <w:rPr>
          <w:rStyle w:val="FootnoteReference"/>
        </w:rPr>
        <w:footnoteRef/>
      </w:r>
      <w:r>
        <w:t xml:space="preserve"> </w:t>
      </w:r>
      <w:hyperlink r:id="rId40" w:history="1">
        <w:r>
          <w:rPr>
            <w:rStyle w:val="Hyperlink"/>
          </w:rPr>
          <w:t>http://www.sisp.se/?language=en</w:t>
        </w:r>
      </w:hyperlink>
    </w:p>
  </w:footnote>
  <w:footnote w:id="50">
    <w:p w:rsidR="00774603" w:rsidRDefault="00774603" w:rsidP="00BF6B8C">
      <w:pPr>
        <w:pStyle w:val="FootnoteText"/>
      </w:pPr>
      <w:r>
        <w:rPr>
          <w:rStyle w:val="FootnoteReference"/>
        </w:rPr>
        <w:footnoteRef/>
      </w:r>
      <w:r>
        <w:t xml:space="preserve"> CIHE, UK-</w:t>
      </w:r>
      <w:proofErr w:type="spellStart"/>
      <w:r>
        <w:t>Innovation</w:t>
      </w:r>
      <w:proofErr w:type="spellEnd"/>
      <w:r>
        <w:t xml:space="preserve"> </w:t>
      </w:r>
      <w:proofErr w:type="spellStart"/>
      <w:r>
        <w:t>Research</w:t>
      </w:r>
      <w:proofErr w:type="spellEnd"/>
      <w:r>
        <w:t xml:space="preserve"> </w:t>
      </w:r>
      <w:proofErr w:type="spellStart"/>
      <w:r>
        <w:t>Center</w:t>
      </w:r>
      <w:proofErr w:type="spellEnd"/>
      <w:r>
        <w:t>, „</w:t>
      </w:r>
      <w:proofErr w:type="spellStart"/>
      <w:r>
        <w:t>The</w:t>
      </w:r>
      <w:proofErr w:type="spellEnd"/>
      <w:r>
        <w:t xml:space="preserve"> UK R&amp;D </w:t>
      </w:r>
      <w:proofErr w:type="spellStart"/>
      <w:r>
        <w:t>Lanscape</w:t>
      </w:r>
      <w:proofErr w:type="spellEnd"/>
      <w:r>
        <w:t>”, 2012</w:t>
      </w:r>
    </w:p>
  </w:footnote>
  <w:footnote w:id="51">
    <w:p w:rsidR="00774603" w:rsidRDefault="00774603" w:rsidP="00BF6B8C">
      <w:pPr>
        <w:pStyle w:val="FootnoteText"/>
      </w:pPr>
      <w:r>
        <w:rPr>
          <w:rStyle w:val="FootnoteReference"/>
        </w:rPr>
        <w:footnoteRef/>
      </w:r>
      <w:r>
        <w:t xml:space="preserve"> </w:t>
      </w:r>
      <w:proofErr w:type="spellStart"/>
      <w:r>
        <w:t>Nothern</w:t>
      </w:r>
      <w:proofErr w:type="spellEnd"/>
      <w:r>
        <w:t xml:space="preserve"> </w:t>
      </w:r>
      <w:proofErr w:type="spellStart"/>
      <w:r>
        <w:t>Ireland</w:t>
      </w:r>
      <w:proofErr w:type="spellEnd"/>
      <w:r>
        <w:t xml:space="preserve"> </w:t>
      </w:r>
      <w:proofErr w:type="spellStart"/>
      <w:r>
        <w:t>Assembly</w:t>
      </w:r>
      <w:proofErr w:type="spellEnd"/>
      <w:r>
        <w:t xml:space="preserve">, „R&amp;D </w:t>
      </w:r>
      <w:proofErr w:type="spellStart"/>
      <w:r>
        <w:t>and</w:t>
      </w:r>
      <w:proofErr w:type="spellEnd"/>
      <w:r>
        <w:t xml:space="preserve"> </w:t>
      </w:r>
      <w:proofErr w:type="spellStart"/>
      <w:r>
        <w:t>Innovation</w:t>
      </w:r>
      <w:proofErr w:type="spellEnd"/>
      <w:r>
        <w:t xml:space="preserve"> – </w:t>
      </w:r>
      <w:proofErr w:type="spellStart"/>
      <w:r>
        <w:t>strategy</w:t>
      </w:r>
      <w:proofErr w:type="spellEnd"/>
      <w:r>
        <w:t xml:space="preserve"> </w:t>
      </w:r>
      <w:proofErr w:type="spellStart"/>
      <w:r>
        <w:t>and</w:t>
      </w:r>
      <w:proofErr w:type="spellEnd"/>
      <w:r>
        <w:t xml:space="preserve"> </w:t>
      </w:r>
      <w:proofErr w:type="spellStart"/>
      <w:r>
        <w:t>support</w:t>
      </w:r>
      <w:proofErr w:type="spellEnd"/>
      <w:r>
        <w:t xml:space="preserve"> </w:t>
      </w:r>
      <w:proofErr w:type="spellStart"/>
      <w:r>
        <w:t>in</w:t>
      </w:r>
      <w:proofErr w:type="spellEnd"/>
      <w:r>
        <w:t xml:space="preserve"> </w:t>
      </w:r>
      <w:proofErr w:type="spellStart"/>
      <w:r>
        <w:t>the</w:t>
      </w:r>
      <w:proofErr w:type="spellEnd"/>
      <w:r>
        <w:t xml:space="preserve"> UK, </w:t>
      </w:r>
      <w:proofErr w:type="spellStart"/>
      <w:r>
        <w:t>Scotland</w:t>
      </w:r>
      <w:proofErr w:type="spellEnd"/>
      <w:r>
        <w:t xml:space="preserve">, </w:t>
      </w:r>
      <w:proofErr w:type="spellStart"/>
      <w:r>
        <w:t>Wales</w:t>
      </w:r>
      <w:proofErr w:type="spellEnd"/>
      <w:r>
        <w:t xml:space="preserve"> </w:t>
      </w:r>
      <w:proofErr w:type="spellStart"/>
      <w:r>
        <w:t>and</w:t>
      </w:r>
      <w:proofErr w:type="spellEnd"/>
      <w:r>
        <w:t xml:space="preserve"> </w:t>
      </w:r>
      <w:proofErr w:type="spellStart"/>
      <w:r>
        <w:t>Republic</w:t>
      </w:r>
      <w:proofErr w:type="spellEnd"/>
      <w:r>
        <w:t xml:space="preserve"> </w:t>
      </w:r>
      <w:proofErr w:type="spellStart"/>
      <w:r>
        <w:t>of</w:t>
      </w:r>
      <w:proofErr w:type="spellEnd"/>
      <w:r>
        <w:t xml:space="preserve"> </w:t>
      </w:r>
      <w:proofErr w:type="spellStart"/>
      <w:r>
        <w:t>Ireland</w:t>
      </w:r>
      <w:proofErr w:type="spellEnd"/>
      <w:r>
        <w:t>”, 2012.</w:t>
      </w:r>
    </w:p>
  </w:footnote>
  <w:footnote w:id="52">
    <w:p w:rsidR="00774603" w:rsidRDefault="00774603" w:rsidP="00BF6B8C">
      <w:pPr>
        <w:pStyle w:val="FootnoteText"/>
      </w:pPr>
      <w:r>
        <w:rPr>
          <w:rStyle w:val="FootnoteReference"/>
        </w:rPr>
        <w:footnoteRef/>
      </w:r>
      <w:r>
        <w:t xml:space="preserve"> </w:t>
      </w:r>
      <w:hyperlink r:id="rId41" w:history="1">
        <w:r>
          <w:rPr>
            <w:rStyle w:val="Hyperlink"/>
          </w:rPr>
          <w:t>http://www.answersforbusiness.nl/subsidies/innovation/research-development</w:t>
        </w:r>
      </w:hyperlink>
    </w:p>
  </w:footnote>
  <w:footnote w:id="53">
    <w:p w:rsidR="00774603" w:rsidRDefault="00774603" w:rsidP="00BF6B8C">
      <w:pPr>
        <w:pStyle w:val="FootnoteText"/>
      </w:pPr>
      <w:r>
        <w:rPr>
          <w:rStyle w:val="FootnoteReference"/>
        </w:rPr>
        <w:footnoteRef/>
      </w:r>
      <w:r>
        <w:t xml:space="preserve"> </w:t>
      </w:r>
      <w:hyperlink r:id="rId42" w:history="1">
        <w:r>
          <w:rPr>
            <w:rStyle w:val="Hyperlink"/>
          </w:rPr>
          <w:t>http://www.oseo.fr/votre_projet/se_developper/aides_et_financements/aides</w:t>
        </w:r>
      </w:hyperlink>
    </w:p>
  </w:footnote>
  <w:footnote w:id="54">
    <w:p w:rsidR="00774603" w:rsidRDefault="00774603" w:rsidP="00BF6B8C">
      <w:pPr>
        <w:pStyle w:val="FootnoteText"/>
      </w:pPr>
      <w:r>
        <w:rPr>
          <w:rStyle w:val="FootnoteReference"/>
        </w:rPr>
        <w:footnoteRef/>
      </w:r>
      <w:r>
        <w:t xml:space="preserve"> </w:t>
      </w:r>
      <w:hyperlink r:id="rId43" w:history="1">
        <w:r>
          <w:rPr>
            <w:rStyle w:val="Hyperlink"/>
          </w:rPr>
          <w:t>http://www.oseo.fr/votre_projet/se_developper/aides_et_financements/financements_bancaires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Default="00774603">
    <w:pPr>
      <w:pStyle w:val="Header"/>
      <w:rPr>
        <w:lang w:val="lv-LV"/>
      </w:rPr>
    </w:pPr>
    <w:r>
      <w:rPr>
        <w:noProof/>
        <w:lang w:val="lv-LV" w:eastAsia="lv-LV"/>
      </w:rPr>
      <w:drawing>
        <wp:anchor distT="0" distB="0" distL="114300" distR="114300" simplePos="0" relativeHeight="251658240" behindDoc="0" locked="0" layoutInCell="1" allowOverlap="1" wp14:anchorId="74D79608" wp14:editId="0DA394C0">
          <wp:simplePos x="0" y="0"/>
          <wp:positionH relativeFrom="column">
            <wp:posOffset>5242560</wp:posOffset>
          </wp:positionH>
          <wp:positionV relativeFrom="paragraph">
            <wp:posOffset>92075</wp:posOffset>
          </wp:positionV>
          <wp:extent cx="810895" cy="419100"/>
          <wp:effectExtent l="19050" t="0" r="8255" b="0"/>
          <wp:wrapNone/>
          <wp:docPr id="4" name="Picture 9"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jpg"/>
                  <pic:cNvPicPr>
                    <a:picLocks noChangeAspect="1" noChangeArrowheads="1"/>
                  </pic:cNvPicPr>
                </pic:nvPicPr>
                <pic:blipFill>
                  <a:blip r:embed="rId1"/>
                  <a:srcRect/>
                  <a:stretch>
                    <a:fillRect/>
                  </a:stretch>
                </pic:blipFill>
                <pic:spPr bwMode="auto">
                  <a:xfrm>
                    <a:off x="0" y="0"/>
                    <a:ext cx="810895" cy="419100"/>
                  </a:xfrm>
                  <a:prstGeom prst="rect">
                    <a:avLst/>
                  </a:prstGeom>
                  <a:noFill/>
                </pic:spPr>
              </pic:pic>
            </a:graphicData>
          </a:graphic>
        </wp:anchor>
      </w:drawing>
    </w:r>
    <w:r>
      <w:rPr>
        <w:noProof/>
        <w:lang w:val="lv-LV" w:eastAsia="lv-LV"/>
      </w:rPr>
      <w:drawing>
        <wp:anchor distT="0" distB="0" distL="114300" distR="114300" simplePos="0" relativeHeight="251657216" behindDoc="0" locked="0" layoutInCell="1" allowOverlap="1" wp14:anchorId="578E51C1" wp14:editId="09E3484F">
          <wp:simplePos x="0" y="0"/>
          <wp:positionH relativeFrom="column">
            <wp:posOffset>4215765</wp:posOffset>
          </wp:positionH>
          <wp:positionV relativeFrom="paragraph">
            <wp:posOffset>155575</wp:posOffset>
          </wp:positionV>
          <wp:extent cx="942975" cy="418465"/>
          <wp:effectExtent l="19050" t="0" r="9525" b="0"/>
          <wp:wrapNone/>
          <wp:docPr id="3" name="Picture 3" descr="B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_logo"/>
                  <pic:cNvPicPr>
                    <a:picLocks noChangeAspect="1" noChangeArrowheads="1"/>
                  </pic:cNvPicPr>
                </pic:nvPicPr>
                <pic:blipFill>
                  <a:blip r:embed="rId2"/>
                  <a:srcRect/>
                  <a:stretch>
                    <a:fillRect/>
                  </a:stretch>
                </pic:blipFill>
                <pic:spPr bwMode="auto">
                  <a:xfrm>
                    <a:off x="0" y="0"/>
                    <a:ext cx="942975" cy="418465"/>
                  </a:xfrm>
                  <a:prstGeom prst="rect">
                    <a:avLst/>
                  </a:prstGeom>
                  <a:noFill/>
                </pic:spPr>
              </pic:pic>
            </a:graphicData>
          </a:graphic>
        </wp:anchor>
      </w:drawing>
    </w:r>
  </w:p>
  <w:p w:rsidR="00774603" w:rsidRDefault="00774603">
    <w:pPr>
      <w:pStyle w:val="Header"/>
      <w:rPr>
        <w:lang w:val="lv-LV"/>
      </w:rPr>
    </w:pPr>
  </w:p>
  <w:p w:rsidR="00774603" w:rsidRDefault="0077460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Default="0077460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Default="00774603">
    <w:pPr>
      <w:pStyle w:val="Header"/>
      <w:ind w:left="-1260"/>
    </w:pPr>
  </w:p>
  <w:p w:rsidR="00774603" w:rsidRDefault="00774603">
    <w:pPr>
      <w:pStyle w:val="Header"/>
      <w:ind w:left="-1260"/>
    </w:pPr>
    <w:r>
      <w:rPr>
        <w:noProof/>
        <w:lang w:val="lv-LV" w:eastAsia="lv-LV"/>
      </w:rPr>
      <w:drawing>
        <wp:anchor distT="0" distB="0" distL="114935" distR="114935" simplePos="0" relativeHeight="251656192" behindDoc="0" locked="0" layoutInCell="1" allowOverlap="1" wp14:anchorId="41D3AF2A" wp14:editId="70F3A669">
          <wp:simplePos x="0" y="0"/>
          <wp:positionH relativeFrom="column">
            <wp:posOffset>5215255</wp:posOffset>
          </wp:positionH>
          <wp:positionV relativeFrom="paragraph">
            <wp:posOffset>149225</wp:posOffset>
          </wp:positionV>
          <wp:extent cx="990600" cy="494665"/>
          <wp:effectExtent l="0" t="0" r="0" b="635"/>
          <wp:wrapSquare wrapText="bothSides"/>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90600" cy="494665"/>
                  </a:xfrm>
                  <a:prstGeom prst="rect">
                    <a:avLst/>
                  </a:prstGeom>
                  <a:solidFill>
                    <a:srgbClr val="FFFFFF"/>
                  </a:solidFill>
                </pic:spPr>
              </pic:pic>
            </a:graphicData>
          </a:graphic>
        </wp:anchor>
      </w:drawing>
    </w:r>
  </w:p>
  <w:p w:rsidR="00774603" w:rsidRDefault="00774603">
    <w:pPr>
      <w:pStyle w:val="Header"/>
      <w:ind w:left="-1260"/>
      <w:rPr>
        <w:lang w:val="lv-LV"/>
      </w:rPr>
    </w:pPr>
    <w:r>
      <w:rPr>
        <w:noProof/>
        <w:lang w:val="lv-LV" w:eastAsia="lv-LV"/>
      </w:rPr>
      <w:drawing>
        <wp:anchor distT="0" distB="0" distL="114935" distR="114935" simplePos="0" relativeHeight="251659264" behindDoc="1" locked="0" layoutInCell="1" allowOverlap="1" wp14:anchorId="4E440746" wp14:editId="22D7EF4F">
          <wp:simplePos x="0" y="0"/>
          <wp:positionH relativeFrom="column">
            <wp:posOffset>4103370</wp:posOffset>
          </wp:positionH>
          <wp:positionV relativeFrom="paragraph">
            <wp:posOffset>68580</wp:posOffset>
          </wp:positionV>
          <wp:extent cx="942975" cy="418465"/>
          <wp:effectExtent l="19050" t="0" r="9525" b="0"/>
          <wp:wrapNone/>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42975" cy="418465"/>
                  </a:xfrm>
                  <a:prstGeom prst="rect">
                    <a:avLst/>
                  </a:prstGeom>
                  <a:solidFill>
                    <a:srgbClr val="FFFFFF"/>
                  </a:solidFill>
                </pic:spPr>
              </pic:pic>
            </a:graphicData>
          </a:graphic>
        </wp:anchor>
      </w:drawing>
    </w:r>
  </w:p>
  <w:p w:rsidR="00774603" w:rsidRDefault="007746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603" w:rsidRDefault="007746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C"/>
    <w:multiLevelType w:val="singleLevel"/>
    <w:tmpl w:val="0000000C"/>
    <w:name w:val="WW8Num29"/>
    <w:lvl w:ilvl="0">
      <w:start w:val="1"/>
      <w:numFmt w:val="bullet"/>
      <w:lvlText w:val=""/>
      <w:lvlJc w:val="left"/>
      <w:pPr>
        <w:tabs>
          <w:tab w:val="num" w:pos="0"/>
        </w:tabs>
        <w:ind w:left="1080" w:hanging="360"/>
      </w:pPr>
      <w:rPr>
        <w:rFonts w:ascii="Symbol" w:hAnsi="Symbol" w:cs="Symbol"/>
      </w:rPr>
    </w:lvl>
  </w:abstractNum>
  <w:abstractNum w:abstractNumId="2">
    <w:nsid w:val="00AB5892"/>
    <w:multiLevelType w:val="multilevel"/>
    <w:tmpl w:val="20EED68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05211"/>
    <w:multiLevelType w:val="hybridMultilevel"/>
    <w:tmpl w:val="3E08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2617E4D"/>
    <w:multiLevelType w:val="hybridMultilevel"/>
    <w:tmpl w:val="60B0A31A"/>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29B348F"/>
    <w:multiLevelType w:val="hybridMultilevel"/>
    <w:tmpl w:val="2788DC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3ED5307"/>
    <w:multiLevelType w:val="hybridMultilevel"/>
    <w:tmpl w:val="E518499C"/>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4585654"/>
    <w:multiLevelType w:val="hybridMultilevel"/>
    <w:tmpl w:val="3C7823FC"/>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6965D56"/>
    <w:multiLevelType w:val="hybridMultilevel"/>
    <w:tmpl w:val="E85468C4"/>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6970753"/>
    <w:multiLevelType w:val="multilevel"/>
    <w:tmpl w:val="71B0F628"/>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7974F83"/>
    <w:multiLevelType w:val="hybridMultilevel"/>
    <w:tmpl w:val="3504625E"/>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09B800B1"/>
    <w:multiLevelType w:val="multilevel"/>
    <w:tmpl w:val="79C4D00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E846EA"/>
    <w:multiLevelType w:val="hybridMultilevel"/>
    <w:tmpl w:val="89F027AA"/>
    <w:lvl w:ilvl="0" w:tplc="E9C23D1A">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0BBD0072"/>
    <w:multiLevelType w:val="multilevel"/>
    <w:tmpl w:val="6A70C768"/>
    <w:lvl w:ilvl="0">
      <w:start w:val="1"/>
      <w:numFmt w:val="decimal"/>
      <w:lvlText w:val="%1"/>
      <w:lvlJc w:val="left"/>
      <w:pPr>
        <w:ind w:left="1653" w:firstLine="36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2373"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3093"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3813"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4533"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5253"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973"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6693"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7413" w:firstLine="6120"/>
      </w:pPr>
      <w:rPr>
        <w:rFonts w:ascii="Arial" w:eastAsia="Arial" w:hAnsi="Arial" w:cs="Arial"/>
        <w:b w:val="0"/>
        <w:i w:val="0"/>
        <w:smallCaps w:val="0"/>
        <w:strike w:val="0"/>
        <w:color w:val="000000"/>
        <w:sz w:val="22"/>
        <w:u w:val="none"/>
        <w:vertAlign w:val="baseline"/>
      </w:rPr>
    </w:lvl>
  </w:abstractNum>
  <w:abstractNum w:abstractNumId="14">
    <w:nsid w:val="0C33354A"/>
    <w:multiLevelType w:val="hybridMultilevel"/>
    <w:tmpl w:val="29FAD18E"/>
    <w:lvl w:ilvl="0" w:tplc="E9C23D1A">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0DE1257C"/>
    <w:multiLevelType w:val="hybridMultilevel"/>
    <w:tmpl w:val="77A0B2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0E3A7F06"/>
    <w:multiLevelType w:val="hybridMultilevel"/>
    <w:tmpl w:val="AAA6396E"/>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105B1EA6"/>
    <w:multiLevelType w:val="hybridMultilevel"/>
    <w:tmpl w:val="154C7576"/>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10E37AEF"/>
    <w:multiLevelType w:val="hybridMultilevel"/>
    <w:tmpl w:val="D98A1C7A"/>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126A14F1"/>
    <w:multiLevelType w:val="hybridMultilevel"/>
    <w:tmpl w:val="1CDC7118"/>
    <w:lvl w:ilvl="0" w:tplc="04260011">
      <w:start w:val="1"/>
      <w:numFmt w:val="decimal"/>
      <w:lvlText w:val="%1)"/>
      <w:lvlJc w:val="left"/>
      <w:pPr>
        <w:ind w:left="1429" w:hanging="360"/>
      </w:pPr>
      <w:rPr>
        <w:rFont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nsid w:val="126B5154"/>
    <w:multiLevelType w:val="hybridMultilevel"/>
    <w:tmpl w:val="77E62B58"/>
    <w:lvl w:ilvl="0" w:tplc="E9C23D1A">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nsid w:val="16D1069C"/>
    <w:multiLevelType w:val="multilevel"/>
    <w:tmpl w:val="5BD67BE8"/>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2">
    <w:nsid w:val="16DA6972"/>
    <w:multiLevelType w:val="multilevel"/>
    <w:tmpl w:val="F10AC98A"/>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E34051"/>
    <w:multiLevelType w:val="hybridMultilevel"/>
    <w:tmpl w:val="331E75B2"/>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17555CE7"/>
    <w:multiLevelType w:val="multilevel"/>
    <w:tmpl w:val="C6F2B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2A344E"/>
    <w:multiLevelType w:val="hybridMultilevel"/>
    <w:tmpl w:val="A9E2E9DC"/>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192B4BFD"/>
    <w:multiLevelType w:val="hybridMultilevel"/>
    <w:tmpl w:val="E3EC5E24"/>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1BA2430D"/>
    <w:multiLevelType w:val="hybridMultilevel"/>
    <w:tmpl w:val="1C94A4A2"/>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1D515C5F"/>
    <w:multiLevelType w:val="hybridMultilevel"/>
    <w:tmpl w:val="C6D0AC32"/>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1DDD5E25"/>
    <w:multiLevelType w:val="hybridMultilevel"/>
    <w:tmpl w:val="1AF481E2"/>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1E7229AD"/>
    <w:multiLevelType w:val="multilevel"/>
    <w:tmpl w:val="2A5429F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F1D5F79"/>
    <w:multiLevelType w:val="hybridMultilevel"/>
    <w:tmpl w:val="76D2D6CE"/>
    <w:lvl w:ilvl="0" w:tplc="E9C23D1A">
      <w:start w:val="1"/>
      <w:numFmt w:val="bullet"/>
      <w:lvlText w:val="­"/>
      <w:lvlJc w:val="left"/>
      <w:pPr>
        <w:ind w:left="720" w:hanging="360"/>
      </w:pPr>
      <w:rPr>
        <w:rFonts w:ascii="Times New Roman" w:hAnsi="Times New Roman" w:cs="Times New Roman" w:hint="default"/>
      </w:rPr>
    </w:lvl>
    <w:lvl w:ilvl="1" w:tplc="E9C23D1A">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21824342"/>
    <w:multiLevelType w:val="hybridMultilevel"/>
    <w:tmpl w:val="D4985B7E"/>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22555014"/>
    <w:multiLevelType w:val="hybridMultilevel"/>
    <w:tmpl w:val="E24289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22FF4AF4"/>
    <w:multiLevelType w:val="hybridMultilevel"/>
    <w:tmpl w:val="21BA5A82"/>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24686D58"/>
    <w:multiLevelType w:val="multilevel"/>
    <w:tmpl w:val="511AA3F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36">
    <w:nsid w:val="284C3678"/>
    <w:multiLevelType w:val="hybridMultilevel"/>
    <w:tmpl w:val="97DC414C"/>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DB544DD"/>
    <w:multiLevelType w:val="hybridMultilevel"/>
    <w:tmpl w:val="2550CD18"/>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3037791F"/>
    <w:multiLevelType w:val="multilevel"/>
    <w:tmpl w:val="D8DE3FD0"/>
    <w:lvl w:ilvl="0">
      <w:start w:val="1"/>
      <w:numFmt w:val="decimal"/>
      <w:lvlText w:val="%1."/>
      <w:lvlJc w:val="left"/>
      <w:pPr>
        <w:ind w:left="720" w:hanging="360"/>
      </w:pPr>
    </w:lvl>
    <w:lvl w:ilvl="1">
      <w:start w:val="3"/>
      <w:numFmt w:val="decimal"/>
      <w:isLgl/>
      <w:lvlText w:val="%1.%2."/>
      <w:lvlJc w:val="left"/>
      <w:pPr>
        <w:ind w:left="990" w:hanging="495"/>
      </w:pPr>
      <w:rPr>
        <w:rFonts w:hint="default"/>
      </w:rPr>
    </w:lvl>
    <w:lvl w:ilvl="2">
      <w:start w:val="3"/>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39">
    <w:nsid w:val="31750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40F71FE"/>
    <w:multiLevelType w:val="hybridMultilevel"/>
    <w:tmpl w:val="F7AC04B2"/>
    <w:lvl w:ilvl="0" w:tplc="E9C23D1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49B4CA2"/>
    <w:multiLevelType w:val="hybridMultilevel"/>
    <w:tmpl w:val="540CA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5E25D2D"/>
    <w:multiLevelType w:val="hybridMultilevel"/>
    <w:tmpl w:val="C86EB092"/>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366E5B56"/>
    <w:multiLevelType w:val="hybridMultilevel"/>
    <w:tmpl w:val="551ED3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36A40300"/>
    <w:multiLevelType w:val="multilevel"/>
    <w:tmpl w:val="78E6939C"/>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7236C2D"/>
    <w:multiLevelType w:val="hybridMultilevel"/>
    <w:tmpl w:val="9EBAE462"/>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nsid w:val="383F14FD"/>
    <w:multiLevelType w:val="hybridMultilevel"/>
    <w:tmpl w:val="D382E0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387362FB"/>
    <w:multiLevelType w:val="hybridMultilevel"/>
    <w:tmpl w:val="E758C1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3AE80E87"/>
    <w:multiLevelType w:val="hybridMultilevel"/>
    <w:tmpl w:val="29C0269A"/>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3D4249CC"/>
    <w:multiLevelType w:val="hybridMultilevel"/>
    <w:tmpl w:val="A12A429A"/>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3F6368A1"/>
    <w:multiLevelType w:val="hybridMultilevel"/>
    <w:tmpl w:val="875673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nsid w:val="3F961610"/>
    <w:multiLevelType w:val="hybridMultilevel"/>
    <w:tmpl w:val="2D8808BC"/>
    <w:lvl w:ilvl="0" w:tplc="E9C23D1A">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2">
    <w:nsid w:val="41FD588C"/>
    <w:multiLevelType w:val="hybridMultilevel"/>
    <w:tmpl w:val="6C4AAEE2"/>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2920FBD"/>
    <w:multiLevelType w:val="hybridMultilevel"/>
    <w:tmpl w:val="04C206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32C3E62"/>
    <w:multiLevelType w:val="hybridMultilevel"/>
    <w:tmpl w:val="F29E517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43B82F92"/>
    <w:multiLevelType w:val="hybridMultilevel"/>
    <w:tmpl w:val="66C05524"/>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nsid w:val="44424E62"/>
    <w:multiLevelType w:val="hybridMultilevel"/>
    <w:tmpl w:val="7C241220"/>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nsid w:val="44617E80"/>
    <w:multiLevelType w:val="hybridMultilevel"/>
    <w:tmpl w:val="DCF8C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nsid w:val="44787776"/>
    <w:multiLevelType w:val="multilevel"/>
    <w:tmpl w:val="5ABE8388"/>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4D155EF"/>
    <w:multiLevelType w:val="hybridMultilevel"/>
    <w:tmpl w:val="F8DCCBDC"/>
    <w:lvl w:ilvl="0" w:tplc="2E9805CA">
      <w:start w:val="1"/>
      <w:numFmt w:val="bullet"/>
      <w:pStyle w:val="ListParagraph"/>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0">
    <w:nsid w:val="46CF48A4"/>
    <w:multiLevelType w:val="hybridMultilevel"/>
    <w:tmpl w:val="E390B1A8"/>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nsid w:val="4818748D"/>
    <w:multiLevelType w:val="hybridMultilevel"/>
    <w:tmpl w:val="4E6C17EE"/>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nsid w:val="489F2CD1"/>
    <w:multiLevelType w:val="hybridMultilevel"/>
    <w:tmpl w:val="03040B30"/>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nsid w:val="48A653EA"/>
    <w:multiLevelType w:val="hybridMultilevel"/>
    <w:tmpl w:val="0C2C6ADA"/>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nsid w:val="4AAD1530"/>
    <w:multiLevelType w:val="hybridMultilevel"/>
    <w:tmpl w:val="304C539E"/>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nsid w:val="4BD43964"/>
    <w:multiLevelType w:val="hybridMultilevel"/>
    <w:tmpl w:val="C0CA86A6"/>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nsid w:val="4C410D77"/>
    <w:multiLevelType w:val="hybridMultilevel"/>
    <w:tmpl w:val="80CC8018"/>
    <w:lvl w:ilvl="0" w:tplc="E9C23D1A">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7">
    <w:nsid w:val="4CBB59D2"/>
    <w:multiLevelType w:val="hybridMultilevel"/>
    <w:tmpl w:val="1E9A3E6E"/>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4CDB243F"/>
    <w:multiLevelType w:val="hybridMultilevel"/>
    <w:tmpl w:val="5F107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4CE22DC3"/>
    <w:multiLevelType w:val="hybridMultilevel"/>
    <w:tmpl w:val="7A1AA654"/>
    <w:lvl w:ilvl="0" w:tplc="04260011">
      <w:start w:val="1"/>
      <w:numFmt w:val="decimal"/>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70">
    <w:nsid w:val="4E803F7E"/>
    <w:multiLevelType w:val="hybridMultilevel"/>
    <w:tmpl w:val="1A6E4908"/>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50AD5058"/>
    <w:multiLevelType w:val="hybridMultilevel"/>
    <w:tmpl w:val="F9A86E72"/>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nsid w:val="51782A02"/>
    <w:multiLevelType w:val="hybridMultilevel"/>
    <w:tmpl w:val="A9303126"/>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nsid w:val="52B8201C"/>
    <w:multiLevelType w:val="multilevel"/>
    <w:tmpl w:val="042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nsid w:val="543D7FA0"/>
    <w:multiLevelType w:val="hybridMultilevel"/>
    <w:tmpl w:val="F08E281A"/>
    <w:lvl w:ilvl="0" w:tplc="F57AF458">
      <w:start w:val="1"/>
      <w:numFmt w:val="upperLetter"/>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nsid w:val="545F0FE2"/>
    <w:multiLevelType w:val="hybridMultilevel"/>
    <w:tmpl w:val="FAD20E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nsid w:val="570D52D9"/>
    <w:multiLevelType w:val="hybridMultilevel"/>
    <w:tmpl w:val="1256B744"/>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nsid w:val="57884B30"/>
    <w:multiLevelType w:val="hybridMultilevel"/>
    <w:tmpl w:val="5FEA1F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nsid w:val="59985FBD"/>
    <w:multiLevelType w:val="hybridMultilevel"/>
    <w:tmpl w:val="7B503F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nsid w:val="5D1E1926"/>
    <w:multiLevelType w:val="hybridMultilevel"/>
    <w:tmpl w:val="DC9A9EFA"/>
    <w:lvl w:ilvl="0" w:tplc="04260017">
      <w:start w:val="1"/>
      <w:numFmt w:val="lowerLetter"/>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80">
    <w:nsid w:val="5DCD565E"/>
    <w:multiLevelType w:val="hybridMultilevel"/>
    <w:tmpl w:val="59D4B3A8"/>
    <w:lvl w:ilvl="0" w:tplc="E9C23D1A">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1">
    <w:nsid w:val="5E4D6CE7"/>
    <w:multiLevelType w:val="hybridMultilevel"/>
    <w:tmpl w:val="609CD77E"/>
    <w:lvl w:ilvl="0" w:tplc="E9C23D1A">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2">
    <w:nsid w:val="5E7203AA"/>
    <w:multiLevelType w:val="hybridMultilevel"/>
    <w:tmpl w:val="96F00716"/>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ED55AE4"/>
    <w:multiLevelType w:val="hybridMultilevel"/>
    <w:tmpl w:val="55FAE0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5F5474F8"/>
    <w:multiLevelType w:val="hybridMultilevel"/>
    <w:tmpl w:val="2B40B934"/>
    <w:lvl w:ilvl="0" w:tplc="E9C23D1A">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5">
    <w:nsid w:val="5FE94133"/>
    <w:multiLevelType w:val="hybridMultilevel"/>
    <w:tmpl w:val="24C28664"/>
    <w:lvl w:ilvl="0" w:tplc="04260001">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86">
    <w:nsid w:val="600B4D08"/>
    <w:multiLevelType w:val="multilevel"/>
    <w:tmpl w:val="BEA8A732"/>
    <w:lvl w:ilvl="0">
      <w:start w:val="1"/>
      <w:numFmt w:val="bullet"/>
      <w:lvlText w:val="­"/>
      <w:lvlJc w:val="left"/>
      <w:pPr>
        <w:ind w:left="0" w:firstLine="360"/>
      </w:pPr>
      <w:rPr>
        <w:rFonts w:ascii="Times New Roman" w:hAnsi="Times New Roman" w:cs="Times New Roman" w:hint="default"/>
        <w:b w:val="0"/>
        <w:i w:val="0"/>
        <w:smallCaps w:val="0"/>
        <w:strike w:val="0"/>
        <w:color w:val="000000"/>
        <w:sz w:val="20"/>
        <w:u w:val="none"/>
        <w:vertAlign w:val="baseline"/>
      </w:rPr>
    </w:lvl>
    <w:lvl w:ilvl="1">
      <w:start w:val="1"/>
      <w:numFmt w:val="bullet"/>
      <w:lvlText w:val="■"/>
      <w:lvlJc w:val="left"/>
      <w:pPr>
        <w:ind w:left="72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144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16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288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360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432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04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5760" w:firstLine="6120"/>
      </w:pPr>
      <w:rPr>
        <w:rFonts w:ascii="Arial" w:eastAsia="Arial" w:hAnsi="Arial" w:cs="Arial"/>
        <w:b w:val="0"/>
        <w:i w:val="0"/>
        <w:smallCaps w:val="0"/>
        <w:strike w:val="0"/>
        <w:color w:val="000000"/>
        <w:sz w:val="20"/>
        <w:u w:val="none"/>
        <w:vertAlign w:val="baseline"/>
      </w:rPr>
    </w:lvl>
  </w:abstractNum>
  <w:abstractNum w:abstractNumId="87">
    <w:nsid w:val="60DD3824"/>
    <w:multiLevelType w:val="hybridMultilevel"/>
    <w:tmpl w:val="1C928558"/>
    <w:lvl w:ilvl="0" w:tplc="E9C23D1A">
      <w:start w:val="1"/>
      <w:numFmt w:val="bullet"/>
      <w:lvlText w:val="­"/>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8">
    <w:nsid w:val="60E172D0"/>
    <w:multiLevelType w:val="hybridMultilevel"/>
    <w:tmpl w:val="D5D60318"/>
    <w:lvl w:ilvl="0" w:tplc="E9C23D1A">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9">
    <w:nsid w:val="621C1E73"/>
    <w:multiLevelType w:val="hybridMultilevel"/>
    <w:tmpl w:val="BF8284A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628258E7"/>
    <w:multiLevelType w:val="multilevel"/>
    <w:tmpl w:val="C7FE150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decimal"/>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91">
    <w:nsid w:val="62923AB6"/>
    <w:multiLevelType w:val="hybridMultilevel"/>
    <w:tmpl w:val="2CD07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nsid w:val="63BD154A"/>
    <w:multiLevelType w:val="hybridMultilevel"/>
    <w:tmpl w:val="C814295A"/>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nsid w:val="63D248E9"/>
    <w:multiLevelType w:val="hybridMultilevel"/>
    <w:tmpl w:val="CE24E7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641D76B4"/>
    <w:multiLevelType w:val="hybridMultilevel"/>
    <w:tmpl w:val="6E681D12"/>
    <w:lvl w:ilvl="0" w:tplc="E9C23D1A">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5">
    <w:nsid w:val="644031C4"/>
    <w:multiLevelType w:val="hybridMultilevel"/>
    <w:tmpl w:val="D03E5D5A"/>
    <w:lvl w:ilvl="0" w:tplc="77CC279C">
      <w:start w:val="8"/>
      <w:numFmt w:val="bullet"/>
      <w:lvlText w:val="-"/>
      <w:lvlJc w:val="left"/>
      <w:pPr>
        <w:ind w:left="720" w:hanging="360"/>
      </w:pPr>
      <w:rPr>
        <w:rFonts w:ascii="Times New Roman" w:eastAsia="Arial"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nsid w:val="64781FC3"/>
    <w:multiLevelType w:val="hybridMultilevel"/>
    <w:tmpl w:val="5096036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65FA7295"/>
    <w:multiLevelType w:val="multilevel"/>
    <w:tmpl w:val="0A6C2514"/>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98">
    <w:nsid w:val="67451BC2"/>
    <w:multiLevelType w:val="multilevel"/>
    <w:tmpl w:val="29A2AB88"/>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99">
    <w:nsid w:val="69AC4A27"/>
    <w:multiLevelType w:val="hybridMultilevel"/>
    <w:tmpl w:val="FDB0FC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nsid w:val="6D5652F6"/>
    <w:multiLevelType w:val="hybridMultilevel"/>
    <w:tmpl w:val="DAB602D4"/>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nsid w:val="6E64326B"/>
    <w:multiLevelType w:val="hybridMultilevel"/>
    <w:tmpl w:val="C5B8C5F8"/>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nsid w:val="6F2E794A"/>
    <w:multiLevelType w:val="multilevel"/>
    <w:tmpl w:val="DA28C3DE"/>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2CC4B9E"/>
    <w:multiLevelType w:val="hybridMultilevel"/>
    <w:tmpl w:val="8358480A"/>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4">
    <w:nsid w:val="73B70E33"/>
    <w:multiLevelType w:val="hybridMultilevel"/>
    <w:tmpl w:val="7F7E8B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73BC36AE"/>
    <w:multiLevelType w:val="hybridMultilevel"/>
    <w:tmpl w:val="F5321546"/>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73BF37DA"/>
    <w:multiLevelType w:val="hybridMultilevel"/>
    <w:tmpl w:val="DCE4A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nsid w:val="73D33A95"/>
    <w:multiLevelType w:val="multilevel"/>
    <w:tmpl w:val="450ADD0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44B35E4"/>
    <w:multiLevelType w:val="hybridMultilevel"/>
    <w:tmpl w:val="F0CEAF8A"/>
    <w:lvl w:ilvl="0" w:tplc="E9C23D1A">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nsid w:val="744D0771"/>
    <w:multiLevelType w:val="hybridMultilevel"/>
    <w:tmpl w:val="6AC6C27E"/>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nsid w:val="750A4D58"/>
    <w:multiLevelType w:val="hybridMultilevel"/>
    <w:tmpl w:val="D624E18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7690409D"/>
    <w:multiLevelType w:val="multilevel"/>
    <w:tmpl w:val="02F00EFA"/>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6980276"/>
    <w:multiLevelType w:val="hybridMultilevel"/>
    <w:tmpl w:val="0972AA50"/>
    <w:lvl w:ilvl="0" w:tplc="E9C23D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6AA21A5"/>
    <w:multiLevelType w:val="hybridMultilevel"/>
    <w:tmpl w:val="BAF018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77FB36B2"/>
    <w:multiLevelType w:val="multilevel"/>
    <w:tmpl w:val="032E5206"/>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8F94DEA"/>
    <w:multiLevelType w:val="multilevel"/>
    <w:tmpl w:val="8CE21E6A"/>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16">
    <w:nsid w:val="7B9E1D26"/>
    <w:multiLevelType w:val="multilevel"/>
    <w:tmpl w:val="F252D8A8"/>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17">
    <w:nsid w:val="7BA24571"/>
    <w:multiLevelType w:val="hybridMultilevel"/>
    <w:tmpl w:val="9DDC6874"/>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nsid w:val="7BB237DF"/>
    <w:multiLevelType w:val="hybridMultilevel"/>
    <w:tmpl w:val="61A68BF4"/>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nsid w:val="7DA4563F"/>
    <w:multiLevelType w:val="multilevel"/>
    <w:tmpl w:val="E7ECF33E"/>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E357838"/>
    <w:multiLevelType w:val="hybridMultilevel"/>
    <w:tmpl w:val="C136EBDC"/>
    <w:lvl w:ilvl="0" w:tplc="E9C23D1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nsid w:val="7E68411D"/>
    <w:multiLevelType w:val="hybridMultilevel"/>
    <w:tmpl w:val="6ACCB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E886B54"/>
    <w:multiLevelType w:val="hybridMultilevel"/>
    <w:tmpl w:val="F08E281A"/>
    <w:lvl w:ilvl="0" w:tplc="F57AF458">
      <w:start w:val="1"/>
      <w:numFmt w:val="upperLetter"/>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2"/>
  </w:num>
  <w:num w:numId="2">
    <w:abstractNumId w:val="27"/>
  </w:num>
  <w:num w:numId="3">
    <w:abstractNumId w:val="48"/>
  </w:num>
  <w:num w:numId="4">
    <w:abstractNumId w:val="73"/>
  </w:num>
  <w:num w:numId="5">
    <w:abstractNumId w:val="100"/>
  </w:num>
  <w:num w:numId="6">
    <w:abstractNumId w:val="120"/>
  </w:num>
  <w:num w:numId="7">
    <w:abstractNumId w:val="37"/>
  </w:num>
  <w:num w:numId="8">
    <w:abstractNumId w:val="76"/>
  </w:num>
  <w:num w:numId="9">
    <w:abstractNumId w:val="79"/>
  </w:num>
  <w:num w:numId="10">
    <w:abstractNumId w:val="29"/>
  </w:num>
  <w:num w:numId="11">
    <w:abstractNumId w:val="32"/>
  </w:num>
  <w:num w:numId="12">
    <w:abstractNumId w:val="20"/>
  </w:num>
  <w:num w:numId="13">
    <w:abstractNumId w:val="25"/>
  </w:num>
  <w:num w:numId="14">
    <w:abstractNumId w:val="33"/>
  </w:num>
  <w:num w:numId="15">
    <w:abstractNumId w:val="80"/>
  </w:num>
  <w:num w:numId="16">
    <w:abstractNumId w:val="87"/>
  </w:num>
  <w:num w:numId="17">
    <w:abstractNumId w:val="15"/>
  </w:num>
  <w:num w:numId="18">
    <w:abstractNumId w:val="85"/>
  </w:num>
  <w:num w:numId="19">
    <w:abstractNumId w:val="122"/>
  </w:num>
  <w:num w:numId="20">
    <w:abstractNumId w:val="74"/>
  </w:num>
  <w:num w:numId="21">
    <w:abstractNumId w:val="68"/>
  </w:num>
  <w:num w:numId="22">
    <w:abstractNumId w:val="121"/>
  </w:num>
  <w:num w:numId="23">
    <w:abstractNumId w:val="53"/>
  </w:num>
  <w:num w:numId="24">
    <w:abstractNumId w:val="41"/>
  </w:num>
  <w:num w:numId="25">
    <w:abstractNumId w:val="104"/>
  </w:num>
  <w:num w:numId="26">
    <w:abstractNumId w:val="19"/>
  </w:num>
  <w:num w:numId="27">
    <w:abstractNumId w:val="69"/>
  </w:num>
  <w:num w:numId="28">
    <w:abstractNumId w:val="57"/>
  </w:num>
  <w:num w:numId="29">
    <w:abstractNumId w:val="3"/>
  </w:num>
  <w:num w:numId="30">
    <w:abstractNumId w:val="106"/>
  </w:num>
  <w:num w:numId="31">
    <w:abstractNumId w:val="47"/>
  </w:num>
  <w:num w:numId="32">
    <w:abstractNumId w:val="34"/>
  </w:num>
  <w:num w:numId="33">
    <w:abstractNumId w:val="50"/>
  </w:num>
  <w:num w:numId="34">
    <w:abstractNumId w:val="91"/>
  </w:num>
  <w:num w:numId="35">
    <w:abstractNumId w:val="78"/>
  </w:num>
  <w:num w:numId="36">
    <w:abstractNumId w:val="31"/>
  </w:num>
  <w:num w:numId="37">
    <w:abstractNumId w:val="118"/>
  </w:num>
  <w:num w:numId="38">
    <w:abstractNumId w:val="17"/>
  </w:num>
  <w:num w:numId="39">
    <w:abstractNumId w:val="40"/>
  </w:num>
  <w:num w:numId="40">
    <w:abstractNumId w:val="67"/>
  </w:num>
  <w:num w:numId="41">
    <w:abstractNumId w:val="8"/>
  </w:num>
  <w:num w:numId="42">
    <w:abstractNumId w:val="36"/>
  </w:num>
  <w:num w:numId="43">
    <w:abstractNumId w:val="88"/>
  </w:num>
  <w:num w:numId="44">
    <w:abstractNumId w:val="70"/>
  </w:num>
  <w:num w:numId="45">
    <w:abstractNumId w:val="112"/>
  </w:num>
  <w:num w:numId="46">
    <w:abstractNumId w:val="105"/>
  </w:num>
  <w:num w:numId="47">
    <w:abstractNumId w:val="52"/>
  </w:num>
  <w:num w:numId="48">
    <w:abstractNumId w:val="42"/>
  </w:num>
  <w:num w:numId="49">
    <w:abstractNumId w:val="82"/>
  </w:num>
  <w:num w:numId="50">
    <w:abstractNumId w:val="38"/>
  </w:num>
  <w:num w:numId="51">
    <w:abstractNumId w:val="84"/>
  </w:num>
  <w:num w:numId="52">
    <w:abstractNumId w:val="99"/>
  </w:num>
  <w:num w:numId="53">
    <w:abstractNumId w:val="5"/>
  </w:num>
  <w:num w:numId="54">
    <w:abstractNumId w:val="7"/>
  </w:num>
  <w:num w:numId="55">
    <w:abstractNumId w:val="71"/>
  </w:num>
  <w:num w:numId="56">
    <w:abstractNumId w:val="117"/>
  </w:num>
  <w:num w:numId="57">
    <w:abstractNumId w:val="16"/>
  </w:num>
  <w:num w:numId="58">
    <w:abstractNumId w:val="55"/>
  </w:num>
  <w:num w:numId="59">
    <w:abstractNumId w:val="18"/>
  </w:num>
  <w:num w:numId="60">
    <w:abstractNumId w:val="64"/>
  </w:num>
  <w:num w:numId="61">
    <w:abstractNumId w:val="109"/>
  </w:num>
  <w:num w:numId="62">
    <w:abstractNumId w:val="10"/>
  </w:num>
  <w:num w:numId="63">
    <w:abstractNumId w:val="61"/>
  </w:num>
  <w:num w:numId="64">
    <w:abstractNumId w:val="26"/>
  </w:num>
  <w:num w:numId="65">
    <w:abstractNumId w:val="56"/>
  </w:num>
  <w:num w:numId="66">
    <w:abstractNumId w:val="49"/>
  </w:num>
  <w:num w:numId="67">
    <w:abstractNumId w:val="101"/>
  </w:num>
  <w:num w:numId="68">
    <w:abstractNumId w:val="6"/>
  </w:num>
  <w:num w:numId="69">
    <w:abstractNumId w:val="60"/>
  </w:num>
  <w:num w:numId="70">
    <w:abstractNumId w:val="92"/>
  </w:num>
  <w:num w:numId="71">
    <w:abstractNumId w:val="59"/>
  </w:num>
  <w:num w:numId="72">
    <w:abstractNumId w:val="24"/>
  </w:num>
  <w:num w:numId="73">
    <w:abstractNumId w:val="103"/>
  </w:num>
  <w:num w:numId="74">
    <w:abstractNumId w:val="22"/>
  </w:num>
  <w:num w:numId="75">
    <w:abstractNumId w:val="30"/>
  </w:num>
  <w:num w:numId="76">
    <w:abstractNumId w:val="107"/>
  </w:num>
  <w:num w:numId="77">
    <w:abstractNumId w:val="44"/>
  </w:num>
  <w:num w:numId="78">
    <w:abstractNumId w:val="102"/>
  </w:num>
  <w:num w:numId="79">
    <w:abstractNumId w:val="119"/>
  </w:num>
  <w:num w:numId="80">
    <w:abstractNumId w:val="114"/>
  </w:num>
  <w:num w:numId="81">
    <w:abstractNumId w:val="58"/>
  </w:num>
  <w:num w:numId="82">
    <w:abstractNumId w:val="11"/>
  </w:num>
  <w:num w:numId="83">
    <w:abstractNumId w:val="111"/>
  </w:num>
  <w:num w:numId="84">
    <w:abstractNumId w:val="9"/>
  </w:num>
  <w:num w:numId="85">
    <w:abstractNumId w:val="2"/>
  </w:num>
  <w:num w:numId="86">
    <w:abstractNumId w:val="43"/>
  </w:num>
  <w:num w:numId="87">
    <w:abstractNumId w:val="23"/>
  </w:num>
  <w:num w:numId="88">
    <w:abstractNumId w:val="28"/>
  </w:num>
  <w:num w:numId="89">
    <w:abstractNumId w:val="63"/>
  </w:num>
  <w:num w:numId="90">
    <w:abstractNumId w:val="72"/>
  </w:num>
  <w:num w:numId="91">
    <w:abstractNumId w:val="66"/>
  </w:num>
  <w:num w:numId="92">
    <w:abstractNumId w:val="14"/>
  </w:num>
  <w:num w:numId="93">
    <w:abstractNumId w:val="51"/>
  </w:num>
  <w:num w:numId="94">
    <w:abstractNumId w:val="81"/>
  </w:num>
  <w:num w:numId="95">
    <w:abstractNumId w:val="12"/>
  </w:num>
  <w:num w:numId="96">
    <w:abstractNumId w:val="45"/>
  </w:num>
  <w:num w:numId="97">
    <w:abstractNumId w:val="97"/>
  </w:num>
  <w:num w:numId="98">
    <w:abstractNumId w:val="90"/>
  </w:num>
  <w:num w:numId="99">
    <w:abstractNumId w:val="115"/>
  </w:num>
  <w:num w:numId="100">
    <w:abstractNumId w:val="35"/>
  </w:num>
  <w:num w:numId="101">
    <w:abstractNumId w:val="98"/>
  </w:num>
  <w:num w:numId="102">
    <w:abstractNumId w:val="116"/>
  </w:num>
  <w:num w:numId="103">
    <w:abstractNumId w:val="21"/>
  </w:num>
  <w:num w:numId="104">
    <w:abstractNumId w:val="13"/>
  </w:num>
  <w:num w:numId="105">
    <w:abstractNumId w:val="46"/>
  </w:num>
  <w:num w:numId="106">
    <w:abstractNumId w:val="113"/>
  </w:num>
  <w:num w:numId="107">
    <w:abstractNumId w:val="54"/>
  </w:num>
  <w:num w:numId="108">
    <w:abstractNumId w:val="83"/>
  </w:num>
  <w:num w:numId="109">
    <w:abstractNumId w:val="110"/>
  </w:num>
  <w:num w:numId="110">
    <w:abstractNumId w:val="89"/>
  </w:num>
  <w:num w:numId="111">
    <w:abstractNumId w:val="96"/>
  </w:num>
  <w:num w:numId="112">
    <w:abstractNumId w:val="93"/>
  </w:num>
  <w:num w:numId="113">
    <w:abstractNumId w:val="95"/>
  </w:num>
  <w:num w:numId="114">
    <w:abstractNumId w:val="4"/>
  </w:num>
  <w:num w:numId="115">
    <w:abstractNumId w:val="39"/>
  </w:num>
  <w:num w:numId="116">
    <w:abstractNumId w:val="108"/>
  </w:num>
  <w:num w:numId="117">
    <w:abstractNumId w:val="65"/>
  </w:num>
  <w:num w:numId="118">
    <w:abstractNumId w:val="77"/>
  </w:num>
  <w:num w:numId="119">
    <w:abstractNumId w:val="75"/>
  </w:num>
  <w:num w:numId="120">
    <w:abstractNumId w:val="94"/>
  </w:num>
  <w:num w:numId="121">
    <w:abstractNumId w:val="8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E8"/>
    <w:rsid w:val="000320F6"/>
    <w:rsid w:val="00097DBA"/>
    <w:rsid w:val="000B4ED4"/>
    <w:rsid w:val="000C6C3E"/>
    <w:rsid w:val="000D5B2B"/>
    <w:rsid w:val="001935FA"/>
    <w:rsid w:val="001C21BC"/>
    <w:rsid w:val="001D5ABA"/>
    <w:rsid w:val="001E6DDD"/>
    <w:rsid w:val="00204D01"/>
    <w:rsid w:val="00211A36"/>
    <w:rsid w:val="00225B28"/>
    <w:rsid w:val="00244A0D"/>
    <w:rsid w:val="00250B7A"/>
    <w:rsid w:val="002612BC"/>
    <w:rsid w:val="00265462"/>
    <w:rsid w:val="002928F9"/>
    <w:rsid w:val="002A07A8"/>
    <w:rsid w:val="002A30A0"/>
    <w:rsid w:val="002E0A12"/>
    <w:rsid w:val="002E15A1"/>
    <w:rsid w:val="002E3BF0"/>
    <w:rsid w:val="002E558F"/>
    <w:rsid w:val="002F4709"/>
    <w:rsid w:val="00335710"/>
    <w:rsid w:val="0034242E"/>
    <w:rsid w:val="003D1462"/>
    <w:rsid w:val="003D45EC"/>
    <w:rsid w:val="003F6A98"/>
    <w:rsid w:val="00450F0F"/>
    <w:rsid w:val="00467BE7"/>
    <w:rsid w:val="00475128"/>
    <w:rsid w:val="004B41F5"/>
    <w:rsid w:val="004D57E8"/>
    <w:rsid w:val="004D7A26"/>
    <w:rsid w:val="004E06D8"/>
    <w:rsid w:val="00511E6E"/>
    <w:rsid w:val="005423F2"/>
    <w:rsid w:val="005766E8"/>
    <w:rsid w:val="005B06E0"/>
    <w:rsid w:val="005C4161"/>
    <w:rsid w:val="005D71AB"/>
    <w:rsid w:val="005F0CFD"/>
    <w:rsid w:val="00607C68"/>
    <w:rsid w:val="0063702A"/>
    <w:rsid w:val="00655410"/>
    <w:rsid w:val="006B1BEE"/>
    <w:rsid w:val="006C3F27"/>
    <w:rsid w:val="006C5C1D"/>
    <w:rsid w:val="006D3427"/>
    <w:rsid w:val="006D3AB5"/>
    <w:rsid w:val="006E47ED"/>
    <w:rsid w:val="006F025E"/>
    <w:rsid w:val="00743276"/>
    <w:rsid w:val="00745258"/>
    <w:rsid w:val="007702F3"/>
    <w:rsid w:val="00774603"/>
    <w:rsid w:val="007828FD"/>
    <w:rsid w:val="00794D82"/>
    <w:rsid w:val="007B2388"/>
    <w:rsid w:val="007D6586"/>
    <w:rsid w:val="007D723E"/>
    <w:rsid w:val="007F1FCE"/>
    <w:rsid w:val="0083766B"/>
    <w:rsid w:val="008834D6"/>
    <w:rsid w:val="00893B8C"/>
    <w:rsid w:val="008A2F2A"/>
    <w:rsid w:val="008B4F44"/>
    <w:rsid w:val="008B67FE"/>
    <w:rsid w:val="008B7055"/>
    <w:rsid w:val="008D6A92"/>
    <w:rsid w:val="008E39CD"/>
    <w:rsid w:val="008F296C"/>
    <w:rsid w:val="0090320F"/>
    <w:rsid w:val="009225AB"/>
    <w:rsid w:val="00930BC8"/>
    <w:rsid w:val="00933009"/>
    <w:rsid w:val="0095426D"/>
    <w:rsid w:val="009628A1"/>
    <w:rsid w:val="0096612E"/>
    <w:rsid w:val="00987517"/>
    <w:rsid w:val="00992AD9"/>
    <w:rsid w:val="00995F63"/>
    <w:rsid w:val="009A31A6"/>
    <w:rsid w:val="009B0188"/>
    <w:rsid w:val="009B5CBF"/>
    <w:rsid w:val="009C56C0"/>
    <w:rsid w:val="009D1FC5"/>
    <w:rsid w:val="009F22E7"/>
    <w:rsid w:val="00A15DA7"/>
    <w:rsid w:val="00A21FC2"/>
    <w:rsid w:val="00A33811"/>
    <w:rsid w:val="00A33895"/>
    <w:rsid w:val="00A51DC5"/>
    <w:rsid w:val="00A54ABB"/>
    <w:rsid w:val="00A57024"/>
    <w:rsid w:val="00A82D8E"/>
    <w:rsid w:val="00A94A8A"/>
    <w:rsid w:val="00AD5C6F"/>
    <w:rsid w:val="00AD6E4F"/>
    <w:rsid w:val="00B00167"/>
    <w:rsid w:val="00B017C4"/>
    <w:rsid w:val="00B24F7E"/>
    <w:rsid w:val="00B701CB"/>
    <w:rsid w:val="00BA3CB7"/>
    <w:rsid w:val="00BB2220"/>
    <w:rsid w:val="00BE6022"/>
    <w:rsid w:val="00BE6FC8"/>
    <w:rsid w:val="00BF2674"/>
    <w:rsid w:val="00BF6B8C"/>
    <w:rsid w:val="00C11A85"/>
    <w:rsid w:val="00C31DF4"/>
    <w:rsid w:val="00C364F9"/>
    <w:rsid w:val="00C6402A"/>
    <w:rsid w:val="00CB745F"/>
    <w:rsid w:val="00CC0FFE"/>
    <w:rsid w:val="00CC3ACB"/>
    <w:rsid w:val="00CD1C9B"/>
    <w:rsid w:val="00D136C6"/>
    <w:rsid w:val="00D34E96"/>
    <w:rsid w:val="00D40648"/>
    <w:rsid w:val="00D519B2"/>
    <w:rsid w:val="00D5406C"/>
    <w:rsid w:val="00D94BF3"/>
    <w:rsid w:val="00DB426E"/>
    <w:rsid w:val="00E35D3F"/>
    <w:rsid w:val="00E66971"/>
    <w:rsid w:val="00E739B2"/>
    <w:rsid w:val="00E76417"/>
    <w:rsid w:val="00ED38EF"/>
    <w:rsid w:val="00F07FDF"/>
    <w:rsid w:val="00F13BD2"/>
    <w:rsid w:val="00F1732C"/>
    <w:rsid w:val="00F52AC9"/>
    <w:rsid w:val="00F72A62"/>
    <w:rsid w:val="00F72E32"/>
    <w:rsid w:val="00FC26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5FA"/>
    <w:pPr>
      <w:spacing w:after="200" w:line="276" w:lineRule="auto"/>
      <w:jc w:val="both"/>
    </w:pPr>
    <w:rPr>
      <w:sz w:val="22"/>
      <w:szCs w:val="22"/>
      <w:lang w:eastAsia="en-US"/>
    </w:rPr>
  </w:style>
  <w:style w:type="paragraph" w:styleId="Heading1">
    <w:name w:val="heading 1"/>
    <w:basedOn w:val="Normal"/>
    <w:next w:val="Normal"/>
    <w:link w:val="Heading1Char"/>
    <w:uiPriority w:val="9"/>
    <w:qFormat/>
    <w:rsid w:val="005766E8"/>
    <w:pPr>
      <w:keepNext/>
      <w:widowControl w:val="0"/>
      <w:tabs>
        <w:tab w:val="left" w:pos="284"/>
      </w:tabs>
      <w:suppressAutoHyphens/>
      <w:snapToGrid w:val="0"/>
      <w:spacing w:after="120" w:line="240" w:lineRule="auto"/>
      <w:jc w:val="center"/>
      <w:outlineLvl w:val="0"/>
    </w:pPr>
    <w:rPr>
      <w:b/>
      <w:caps/>
      <w:sz w:val="28"/>
      <w:szCs w:val="20"/>
      <w:lang w:eastAsia="ar-SA"/>
    </w:rPr>
  </w:style>
  <w:style w:type="paragraph" w:styleId="Heading2">
    <w:name w:val="heading 2"/>
    <w:basedOn w:val="Normal"/>
    <w:next w:val="Normal"/>
    <w:link w:val="Heading2Char"/>
    <w:uiPriority w:val="9"/>
    <w:qFormat/>
    <w:rsid w:val="005766E8"/>
    <w:pPr>
      <w:keepNext/>
      <w:suppressAutoHyphens/>
      <w:spacing w:after="120" w:line="240" w:lineRule="auto"/>
      <w:jc w:val="center"/>
      <w:outlineLvl w:val="1"/>
    </w:pPr>
    <w:rPr>
      <w:rFonts w:eastAsia="Times New Roman"/>
      <w:b/>
      <w:sz w:val="24"/>
      <w:szCs w:val="20"/>
      <w:lang w:eastAsia="ar-SA"/>
    </w:rPr>
  </w:style>
  <w:style w:type="paragraph" w:styleId="Heading3">
    <w:name w:val="heading 3"/>
    <w:basedOn w:val="Normal"/>
    <w:next w:val="Normal"/>
    <w:link w:val="Heading3Char"/>
    <w:uiPriority w:val="9"/>
    <w:unhideWhenUsed/>
    <w:qFormat/>
    <w:rsid w:val="006D3AB5"/>
    <w:pPr>
      <w:keepNext/>
      <w:spacing w:before="240" w:after="60" w:line="240" w:lineRule="auto"/>
      <w:ind w:left="1350" w:hanging="720"/>
      <w:outlineLvl w:val="2"/>
    </w:pPr>
    <w:rPr>
      <w:rFonts w:eastAsia="Times New Roman"/>
      <w:b/>
      <w:bCs/>
      <w:szCs w:val="26"/>
    </w:rPr>
  </w:style>
  <w:style w:type="paragraph" w:styleId="Heading4">
    <w:name w:val="heading 4"/>
    <w:basedOn w:val="Normal"/>
    <w:next w:val="Normal"/>
    <w:link w:val="Heading4Char"/>
    <w:uiPriority w:val="9"/>
    <w:unhideWhenUsed/>
    <w:qFormat/>
    <w:rsid w:val="00AD5C6F"/>
    <w:pPr>
      <w:keepNext/>
      <w:spacing w:before="240" w:after="60" w:line="240" w:lineRule="auto"/>
      <w:ind w:left="3697" w:hanging="862"/>
      <w:outlineLvl w:val="3"/>
    </w:pPr>
    <w:rPr>
      <w:rFonts w:eastAsia="Times New Roman"/>
      <w:b/>
      <w:bCs/>
      <w:i/>
      <w:sz w:val="20"/>
      <w:szCs w:val="28"/>
    </w:rPr>
  </w:style>
  <w:style w:type="paragraph" w:styleId="Heading5">
    <w:name w:val="heading 5"/>
    <w:basedOn w:val="Normal"/>
    <w:next w:val="Normal"/>
    <w:link w:val="Heading5Char"/>
    <w:uiPriority w:val="9"/>
    <w:unhideWhenUsed/>
    <w:qFormat/>
    <w:rsid w:val="006D3AB5"/>
    <w:pPr>
      <w:spacing w:before="240" w:after="60" w:line="240" w:lineRule="auto"/>
      <w:ind w:left="1008" w:hanging="1008"/>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6D3AB5"/>
    <w:pPr>
      <w:spacing w:before="240" w:after="60" w:line="240" w:lineRule="auto"/>
      <w:ind w:left="1152" w:hanging="1152"/>
      <w:outlineLvl w:val="5"/>
    </w:pPr>
    <w:rPr>
      <w:rFonts w:eastAsia="Times New Roman"/>
      <w:b/>
      <w:bCs/>
    </w:rPr>
  </w:style>
  <w:style w:type="paragraph" w:styleId="Heading7">
    <w:name w:val="heading 7"/>
    <w:basedOn w:val="Normal"/>
    <w:next w:val="Normal"/>
    <w:link w:val="Heading7Char"/>
    <w:uiPriority w:val="9"/>
    <w:semiHidden/>
    <w:unhideWhenUsed/>
    <w:qFormat/>
    <w:rsid w:val="006D3AB5"/>
    <w:pPr>
      <w:spacing w:before="240" w:after="60" w:line="240" w:lineRule="auto"/>
      <w:ind w:left="1296" w:hanging="1296"/>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6D3AB5"/>
    <w:pPr>
      <w:spacing w:before="240" w:after="60" w:line="240" w:lineRule="auto"/>
      <w:ind w:left="1440" w:hanging="144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6D3AB5"/>
    <w:pPr>
      <w:spacing w:before="240" w:after="60" w:line="240" w:lineRule="auto"/>
      <w:ind w:left="1584" w:hanging="1584"/>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66E8"/>
    <w:rPr>
      <w:b/>
      <w:caps/>
      <w:sz w:val="28"/>
      <w:lang w:eastAsia="ar-SA"/>
    </w:rPr>
  </w:style>
  <w:style w:type="character" w:customStyle="1" w:styleId="Heading2Char">
    <w:name w:val="Heading 2 Char"/>
    <w:link w:val="Heading2"/>
    <w:uiPriority w:val="9"/>
    <w:rsid w:val="005766E8"/>
    <w:rPr>
      <w:rFonts w:eastAsia="Times New Roman"/>
      <w:b/>
      <w:sz w:val="24"/>
      <w:lang w:eastAsia="ar-SA"/>
    </w:rPr>
  </w:style>
  <w:style w:type="character" w:styleId="Hyperlink">
    <w:name w:val="Hyperlink"/>
    <w:uiPriority w:val="99"/>
    <w:rsid w:val="005766E8"/>
    <w:rPr>
      <w:color w:val="0000FF"/>
      <w:u w:val="single"/>
    </w:rPr>
  </w:style>
  <w:style w:type="paragraph" w:styleId="Header">
    <w:name w:val="header"/>
    <w:basedOn w:val="Normal"/>
    <w:link w:val="HeaderChar"/>
    <w:uiPriority w:val="99"/>
    <w:rsid w:val="005766E8"/>
    <w:pPr>
      <w:tabs>
        <w:tab w:val="center" w:pos="4153"/>
        <w:tab w:val="right" w:pos="8306"/>
      </w:tabs>
      <w:suppressAutoHyphens/>
      <w:spacing w:after="0" w:line="240" w:lineRule="auto"/>
    </w:pPr>
    <w:rPr>
      <w:rFonts w:ascii="Times New Roman" w:hAnsi="Times New Roman"/>
      <w:sz w:val="24"/>
      <w:szCs w:val="20"/>
      <w:lang w:val="en-US" w:eastAsia="ar-SA"/>
    </w:rPr>
  </w:style>
  <w:style w:type="character" w:customStyle="1" w:styleId="HeaderChar">
    <w:name w:val="Header Char"/>
    <w:link w:val="Header"/>
    <w:uiPriority w:val="99"/>
    <w:rsid w:val="005766E8"/>
    <w:rPr>
      <w:rFonts w:ascii="Times New Roman" w:hAnsi="Times New Roman"/>
      <w:sz w:val="24"/>
      <w:lang w:val="en-US" w:eastAsia="ar-SA"/>
    </w:rPr>
  </w:style>
  <w:style w:type="paragraph" w:styleId="Footer">
    <w:name w:val="footer"/>
    <w:basedOn w:val="Normal"/>
    <w:link w:val="FooterChar"/>
    <w:uiPriority w:val="99"/>
    <w:rsid w:val="005766E8"/>
    <w:pPr>
      <w:tabs>
        <w:tab w:val="center" w:pos="4153"/>
        <w:tab w:val="right" w:pos="8306"/>
      </w:tabs>
      <w:suppressAutoHyphens/>
      <w:spacing w:after="0" w:line="240" w:lineRule="auto"/>
    </w:pPr>
    <w:rPr>
      <w:rFonts w:ascii="Times New Roman" w:hAnsi="Times New Roman"/>
      <w:sz w:val="24"/>
      <w:szCs w:val="20"/>
      <w:lang w:val="en-US" w:eastAsia="ar-SA"/>
    </w:rPr>
  </w:style>
  <w:style w:type="character" w:customStyle="1" w:styleId="FooterChar">
    <w:name w:val="Footer Char"/>
    <w:link w:val="Footer"/>
    <w:uiPriority w:val="99"/>
    <w:rsid w:val="005766E8"/>
    <w:rPr>
      <w:rFonts w:ascii="Times New Roman" w:hAnsi="Times New Roman"/>
      <w:sz w:val="24"/>
      <w:lang w:val="en-US" w:eastAsia="ar-SA"/>
    </w:rPr>
  </w:style>
  <w:style w:type="paragraph" w:styleId="ListParagraph">
    <w:name w:val="List Paragraph"/>
    <w:basedOn w:val="Normal"/>
    <w:link w:val="ListParagraphChar"/>
    <w:uiPriority w:val="34"/>
    <w:qFormat/>
    <w:rsid w:val="005F0CFD"/>
    <w:pPr>
      <w:numPr>
        <w:numId w:val="71"/>
      </w:numPr>
      <w:suppressAutoHyphens/>
      <w:spacing w:after="0" w:line="240" w:lineRule="auto"/>
      <w:contextualSpacing/>
    </w:pPr>
    <w:rPr>
      <w:szCs w:val="24"/>
      <w:lang w:val="en-US" w:eastAsia="ar-SA"/>
    </w:rPr>
  </w:style>
  <w:style w:type="paragraph" w:styleId="TOCHeading">
    <w:name w:val="TOC Heading"/>
    <w:basedOn w:val="Heading1"/>
    <w:next w:val="Normal"/>
    <w:uiPriority w:val="39"/>
    <w:qFormat/>
    <w:rsid w:val="005766E8"/>
    <w:pPr>
      <w:keepLines/>
      <w:widowControl/>
      <w:snapToGrid/>
      <w:spacing w:before="480" w:line="276" w:lineRule="auto"/>
    </w:pPr>
    <w:rPr>
      <w:rFonts w:ascii="Cambria" w:hAnsi="Cambria" w:cs="Cambria"/>
      <w:b w:val="0"/>
      <w:bCs/>
      <w:color w:val="365F91"/>
      <w:szCs w:val="28"/>
      <w:lang w:val="en-US"/>
    </w:rPr>
  </w:style>
  <w:style w:type="paragraph" w:styleId="TOC1">
    <w:name w:val="toc 1"/>
    <w:basedOn w:val="Normal"/>
    <w:next w:val="Normal"/>
    <w:uiPriority w:val="39"/>
    <w:rsid w:val="005766E8"/>
    <w:pPr>
      <w:spacing w:before="120" w:after="120"/>
      <w:jc w:val="left"/>
    </w:pPr>
    <w:rPr>
      <w:b/>
      <w:bCs/>
      <w:caps/>
      <w:sz w:val="20"/>
      <w:szCs w:val="20"/>
    </w:rPr>
  </w:style>
  <w:style w:type="paragraph" w:styleId="TOC2">
    <w:name w:val="toc 2"/>
    <w:basedOn w:val="Normal"/>
    <w:next w:val="Normal"/>
    <w:uiPriority w:val="39"/>
    <w:rsid w:val="005766E8"/>
    <w:pPr>
      <w:spacing w:after="0"/>
      <w:ind w:left="220"/>
      <w:jc w:val="left"/>
    </w:pPr>
    <w:rPr>
      <w:smallCaps/>
      <w:sz w:val="20"/>
      <w:szCs w:val="20"/>
    </w:rPr>
  </w:style>
  <w:style w:type="character" w:customStyle="1" w:styleId="Heading3Char">
    <w:name w:val="Heading 3 Char"/>
    <w:link w:val="Heading3"/>
    <w:uiPriority w:val="9"/>
    <w:rsid w:val="006D3AB5"/>
    <w:rPr>
      <w:rFonts w:ascii="Calibri" w:eastAsia="Times New Roman" w:hAnsi="Calibri"/>
      <w:b/>
      <w:bCs/>
      <w:sz w:val="22"/>
      <w:szCs w:val="26"/>
    </w:rPr>
  </w:style>
  <w:style w:type="character" w:customStyle="1" w:styleId="Heading4Char">
    <w:name w:val="Heading 4 Char"/>
    <w:link w:val="Heading4"/>
    <w:uiPriority w:val="9"/>
    <w:rsid w:val="00AD5C6F"/>
    <w:rPr>
      <w:rFonts w:ascii="Calibri" w:eastAsia="Times New Roman" w:hAnsi="Calibri"/>
      <w:b/>
      <w:bCs/>
      <w:i/>
      <w:szCs w:val="28"/>
    </w:rPr>
  </w:style>
  <w:style w:type="character" w:customStyle="1" w:styleId="Heading5Char">
    <w:name w:val="Heading 5 Char"/>
    <w:link w:val="Heading5"/>
    <w:uiPriority w:val="9"/>
    <w:rsid w:val="006D3AB5"/>
    <w:rPr>
      <w:rFonts w:eastAsia="Times New Roman"/>
      <w:b/>
      <w:bCs/>
      <w:i/>
      <w:iCs/>
      <w:sz w:val="26"/>
      <w:szCs w:val="26"/>
    </w:rPr>
  </w:style>
  <w:style w:type="character" w:customStyle="1" w:styleId="Heading6Char">
    <w:name w:val="Heading 6 Char"/>
    <w:link w:val="Heading6"/>
    <w:uiPriority w:val="9"/>
    <w:semiHidden/>
    <w:rsid w:val="006D3AB5"/>
    <w:rPr>
      <w:rFonts w:eastAsia="Times New Roman"/>
      <w:b/>
      <w:bCs/>
      <w:sz w:val="22"/>
      <w:szCs w:val="22"/>
    </w:rPr>
  </w:style>
  <w:style w:type="character" w:customStyle="1" w:styleId="Heading7Char">
    <w:name w:val="Heading 7 Char"/>
    <w:link w:val="Heading7"/>
    <w:uiPriority w:val="9"/>
    <w:semiHidden/>
    <w:rsid w:val="006D3AB5"/>
    <w:rPr>
      <w:rFonts w:eastAsia="Times New Roman"/>
      <w:sz w:val="24"/>
      <w:szCs w:val="24"/>
    </w:rPr>
  </w:style>
  <w:style w:type="character" w:customStyle="1" w:styleId="Heading8Char">
    <w:name w:val="Heading 8 Char"/>
    <w:link w:val="Heading8"/>
    <w:uiPriority w:val="9"/>
    <w:semiHidden/>
    <w:rsid w:val="006D3AB5"/>
    <w:rPr>
      <w:rFonts w:eastAsia="Times New Roman"/>
      <w:i/>
      <w:iCs/>
      <w:sz w:val="24"/>
      <w:szCs w:val="24"/>
    </w:rPr>
  </w:style>
  <w:style w:type="character" w:customStyle="1" w:styleId="Heading9Char">
    <w:name w:val="Heading 9 Char"/>
    <w:link w:val="Heading9"/>
    <w:uiPriority w:val="9"/>
    <w:semiHidden/>
    <w:rsid w:val="006D3AB5"/>
    <w:rPr>
      <w:rFonts w:ascii="Cambria" w:eastAsia="Times New Roman" w:hAnsi="Cambria"/>
      <w:sz w:val="22"/>
      <w:szCs w:val="22"/>
    </w:rPr>
  </w:style>
  <w:style w:type="table" w:customStyle="1" w:styleId="tabulatekstam">
    <w:name w:val="tabula tekstam"/>
    <w:basedOn w:val="TableGrid"/>
    <w:rsid w:val="006D3AB5"/>
    <w:pPr>
      <w:spacing w:before="20" w:after="20"/>
      <w:jc w:val="center"/>
    </w:pPr>
    <w:rPr>
      <w:rFonts w:ascii="Times New Roman" w:eastAsia="Times New Roman" w:hAnsi="Times New Roman"/>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Times New Roman" w:hAnsi="Times New Roman"/>
        <w:b/>
        <w:sz w:val="20"/>
      </w:rPr>
      <w:tblPr/>
      <w:tcPr>
        <w:shd w:val="clear" w:color="auto" w:fill="D9D9D9"/>
      </w:tcPr>
    </w:tblStylePr>
    <w:tblStylePr w:type="lastRow">
      <w:pPr>
        <w:jc w:val="center"/>
      </w:pPr>
      <w:rPr>
        <w:rFonts w:ascii="Times New Roman" w:hAnsi="Times New Roman"/>
        <w:b/>
        <w:sz w:val="20"/>
      </w:rPr>
      <w:tblPr/>
      <w:tcPr>
        <w:shd w:val="clear" w:color="auto" w:fill="D9D9D9"/>
      </w:tcPr>
    </w:tblStylePr>
    <w:tblStylePr w:type="firstCol">
      <w:pPr>
        <w:jc w:val="left"/>
      </w:pPr>
      <w:rPr>
        <w:rFonts w:ascii="Times New Roman" w:hAnsi="Times New Roman"/>
        <w:sz w:val="20"/>
      </w:rPr>
    </w:tblStylePr>
    <w:tblStylePr w:type="band1Horz">
      <w:rPr>
        <w:rFonts w:ascii="Times New Roman" w:hAnsi="Times New Roman"/>
        <w:sz w:val="20"/>
      </w:rPr>
    </w:tblStylePr>
    <w:tblStylePr w:type="band2Horz">
      <w:rPr>
        <w:rFonts w:ascii="Times New Roman" w:hAnsi="Times New Roman"/>
        <w:sz w:val="20"/>
      </w:rPr>
      <w:tblPr/>
      <w:tcPr>
        <w:shd w:val="clear" w:color="auto" w:fill="FFFFFF"/>
      </w:tcPr>
    </w:tblStylePr>
  </w:style>
  <w:style w:type="table" w:styleId="TableGrid">
    <w:name w:val="Table Grid"/>
    <w:basedOn w:val="TableNormal"/>
    <w:uiPriority w:val="59"/>
    <w:rsid w:val="006D3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B426E"/>
    <w:pPr>
      <w:spacing w:before="120" w:after="0" w:line="240" w:lineRule="auto"/>
    </w:pPr>
    <w:rPr>
      <w:sz w:val="18"/>
      <w:szCs w:val="20"/>
    </w:rPr>
  </w:style>
  <w:style w:type="character" w:customStyle="1" w:styleId="FootnoteTextChar">
    <w:name w:val="Footnote Text Char"/>
    <w:link w:val="FootnoteText"/>
    <w:uiPriority w:val="99"/>
    <w:semiHidden/>
    <w:rsid w:val="00DB426E"/>
    <w:rPr>
      <w:sz w:val="18"/>
      <w:lang w:eastAsia="en-US"/>
    </w:rPr>
  </w:style>
  <w:style w:type="character" w:styleId="FootnoteReference">
    <w:name w:val="footnote reference"/>
    <w:uiPriority w:val="99"/>
    <w:semiHidden/>
    <w:unhideWhenUsed/>
    <w:rsid w:val="006D3AB5"/>
    <w:rPr>
      <w:vertAlign w:val="superscript"/>
    </w:rPr>
  </w:style>
  <w:style w:type="paragraph" w:styleId="Caption">
    <w:name w:val="caption"/>
    <w:basedOn w:val="Normal"/>
    <w:next w:val="Normal"/>
    <w:uiPriority w:val="35"/>
    <w:unhideWhenUsed/>
    <w:qFormat/>
    <w:rsid w:val="006D3AB5"/>
    <w:pPr>
      <w:spacing w:before="240" w:after="240" w:line="240" w:lineRule="auto"/>
      <w:jc w:val="center"/>
    </w:pPr>
    <w:rPr>
      <w:b/>
      <w:bCs/>
      <w:i/>
      <w:sz w:val="21"/>
      <w:szCs w:val="20"/>
    </w:rPr>
  </w:style>
  <w:style w:type="table" w:customStyle="1" w:styleId="LightShading1">
    <w:name w:val="Light Shading1"/>
    <w:basedOn w:val="TableNormal"/>
    <w:uiPriority w:val="60"/>
    <w:rsid w:val="006D3AB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uiPriority w:val="20"/>
    <w:qFormat/>
    <w:rsid w:val="006D3AB5"/>
    <w:rPr>
      <w:i/>
      <w:iCs/>
    </w:rPr>
  </w:style>
  <w:style w:type="paragraph" w:styleId="BalloonText">
    <w:name w:val="Balloon Text"/>
    <w:basedOn w:val="Normal"/>
    <w:link w:val="BalloonTextChar"/>
    <w:uiPriority w:val="99"/>
    <w:semiHidden/>
    <w:unhideWhenUsed/>
    <w:rsid w:val="006D3AB5"/>
    <w:pPr>
      <w:spacing w:after="0" w:line="240" w:lineRule="auto"/>
    </w:pPr>
    <w:rPr>
      <w:rFonts w:ascii="Arial" w:hAnsi="Arial"/>
      <w:sz w:val="16"/>
      <w:szCs w:val="16"/>
    </w:rPr>
  </w:style>
  <w:style w:type="character" w:customStyle="1" w:styleId="BalloonTextChar">
    <w:name w:val="Balloon Text Char"/>
    <w:link w:val="BalloonText"/>
    <w:uiPriority w:val="99"/>
    <w:semiHidden/>
    <w:rsid w:val="006D3AB5"/>
    <w:rPr>
      <w:rFonts w:ascii="Arial" w:hAnsi="Arial"/>
      <w:sz w:val="16"/>
      <w:szCs w:val="16"/>
      <w:lang w:eastAsia="en-US"/>
    </w:rPr>
  </w:style>
  <w:style w:type="paragraph" w:styleId="NormalWeb">
    <w:name w:val="Normal (Web)"/>
    <w:basedOn w:val="Normal"/>
    <w:uiPriority w:val="99"/>
    <w:rsid w:val="006D3AB5"/>
    <w:pPr>
      <w:spacing w:after="0" w:line="240" w:lineRule="auto"/>
    </w:pPr>
    <w:rPr>
      <w:rFonts w:ascii="Times New Roman" w:eastAsia="Times New Roman" w:hAnsi="Times New Roman"/>
      <w:sz w:val="24"/>
      <w:szCs w:val="24"/>
      <w:lang w:val="en-GB"/>
    </w:rPr>
  </w:style>
  <w:style w:type="paragraph" w:customStyle="1" w:styleId="footnotereferance">
    <w:name w:val="footnote referance"/>
    <w:basedOn w:val="Normal"/>
    <w:rsid w:val="006D3AB5"/>
    <w:pPr>
      <w:spacing w:before="120" w:after="0" w:line="240" w:lineRule="auto"/>
    </w:pPr>
    <w:rPr>
      <w:rFonts w:ascii="Times New Roman" w:eastAsia="Times New Roman" w:hAnsi="Times New Roman"/>
      <w:i/>
      <w:sz w:val="20"/>
      <w:szCs w:val="24"/>
      <w:lang w:eastAsia="lv-LV"/>
    </w:rPr>
  </w:style>
  <w:style w:type="paragraph" w:styleId="TOC3">
    <w:name w:val="toc 3"/>
    <w:basedOn w:val="Normal"/>
    <w:next w:val="Normal"/>
    <w:autoRedefine/>
    <w:uiPriority w:val="39"/>
    <w:unhideWhenUsed/>
    <w:rsid w:val="006D3AB5"/>
    <w:pPr>
      <w:spacing w:after="0"/>
      <w:ind w:left="440"/>
      <w:jc w:val="left"/>
    </w:pPr>
    <w:rPr>
      <w:i/>
      <w:iCs/>
      <w:sz w:val="20"/>
      <w:szCs w:val="20"/>
    </w:rPr>
  </w:style>
  <w:style w:type="paragraph" w:styleId="TOC4">
    <w:name w:val="toc 4"/>
    <w:basedOn w:val="Normal"/>
    <w:next w:val="Normal"/>
    <w:autoRedefine/>
    <w:uiPriority w:val="39"/>
    <w:unhideWhenUsed/>
    <w:rsid w:val="006D3AB5"/>
    <w:pPr>
      <w:spacing w:after="0"/>
      <w:ind w:left="660"/>
      <w:jc w:val="left"/>
    </w:pPr>
    <w:rPr>
      <w:sz w:val="18"/>
      <w:szCs w:val="18"/>
    </w:rPr>
  </w:style>
  <w:style w:type="paragraph" w:styleId="TOC5">
    <w:name w:val="toc 5"/>
    <w:basedOn w:val="Normal"/>
    <w:next w:val="Normal"/>
    <w:autoRedefine/>
    <w:uiPriority w:val="39"/>
    <w:unhideWhenUsed/>
    <w:rsid w:val="006D3AB5"/>
    <w:pPr>
      <w:spacing w:after="0"/>
      <w:ind w:left="880"/>
      <w:jc w:val="left"/>
    </w:pPr>
    <w:rPr>
      <w:sz w:val="18"/>
      <w:szCs w:val="18"/>
    </w:rPr>
  </w:style>
  <w:style w:type="paragraph" w:styleId="TOC6">
    <w:name w:val="toc 6"/>
    <w:basedOn w:val="Normal"/>
    <w:next w:val="Normal"/>
    <w:autoRedefine/>
    <w:uiPriority w:val="39"/>
    <w:unhideWhenUsed/>
    <w:rsid w:val="006D3AB5"/>
    <w:pPr>
      <w:spacing w:after="0"/>
      <w:ind w:left="1100"/>
      <w:jc w:val="left"/>
    </w:pPr>
    <w:rPr>
      <w:sz w:val="18"/>
      <w:szCs w:val="18"/>
    </w:rPr>
  </w:style>
  <w:style w:type="paragraph" w:styleId="TOC7">
    <w:name w:val="toc 7"/>
    <w:basedOn w:val="Normal"/>
    <w:next w:val="Normal"/>
    <w:autoRedefine/>
    <w:uiPriority w:val="39"/>
    <w:unhideWhenUsed/>
    <w:rsid w:val="006D3AB5"/>
    <w:pPr>
      <w:spacing w:after="0"/>
      <w:ind w:left="1320"/>
      <w:jc w:val="left"/>
    </w:pPr>
    <w:rPr>
      <w:sz w:val="18"/>
      <w:szCs w:val="18"/>
    </w:rPr>
  </w:style>
  <w:style w:type="paragraph" w:styleId="TOC8">
    <w:name w:val="toc 8"/>
    <w:basedOn w:val="Normal"/>
    <w:next w:val="Normal"/>
    <w:autoRedefine/>
    <w:uiPriority w:val="39"/>
    <w:unhideWhenUsed/>
    <w:rsid w:val="006D3AB5"/>
    <w:pPr>
      <w:spacing w:after="0"/>
      <w:ind w:left="1540"/>
      <w:jc w:val="left"/>
    </w:pPr>
    <w:rPr>
      <w:sz w:val="18"/>
      <w:szCs w:val="18"/>
    </w:rPr>
  </w:style>
  <w:style w:type="paragraph" w:styleId="TOC9">
    <w:name w:val="toc 9"/>
    <w:basedOn w:val="Normal"/>
    <w:next w:val="Normal"/>
    <w:autoRedefine/>
    <w:uiPriority w:val="39"/>
    <w:unhideWhenUsed/>
    <w:rsid w:val="006D3AB5"/>
    <w:pPr>
      <w:spacing w:after="0"/>
      <w:ind w:left="1760"/>
      <w:jc w:val="left"/>
    </w:pPr>
    <w:rPr>
      <w:sz w:val="18"/>
      <w:szCs w:val="18"/>
    </w:rPr>
  </w:style>
  <w:style w:type="character" w:styleId="CommentReference">
    <w:name w:val="annotation reference"/>
    <w:uiPriority w:val="99"/>
    <w:semiHidden/>
    <w:unhideWhenUsed/>
    <w:rsid w:val="006D3AB5"/>
    <w:rPr>
      <w:sz w:val="16"/>
      <w:szCs w:val="16"/>
    </w:rPr>
  </w:style>
  <w:style w:type="paragraph" w:styleId="CommentText">
    <w:name w:val="annotation text"/>
    <w:basedOn w:val="Normal"/>
    <w:link w:val="CommentTextChar"/>
    <w:uiPriority w:val="99"/>
    <w:unhideWhenUsed/>
    <w:rsid w:val="006D3AB5"/>
    <w:pPr>
      <w:spacing w:before="120" w:after="0" w:line="240" w:lineRule="auto"/>
    </w:pPr>
    <w:rPr>
      <w:sz w:val="20"/>
      <w:szCs w:val="20"/>
    </w:rPr>
  </w:style>
  <w:style w:type="character" w:customStyle="1" w:styleId="CommentTextChar">
    <w:name w:val="Comment Text Char"/>
    <w:link w:val="CommentText"/>
    <w:uiPriority w:val="99"/>
    <w:rsid w:val="006D3AB5"/>
    <w:rPr>
      <w:lang w:eastAsia="en-US"/>
    </w:rPr>
  </w:style>
  <w:style w:type="paragraph" w:styleId="CommentSubject">
    <w:name w:val="annotation subject"/>
    <w:basedOn w:val="CommentText"/>
    <w:next w:val="CommentText"/>
    <w:link w:val="CommentSubjectChar"/>
    <w:uiPriority w:val="99"/>
    <w:semiHidden/>
    <w:unhideWhenUsed/>
    <w:rsid w:val="006D3AB5"/>
    <w:rPr>
      <w:b/>
      <w:bCs/>
    </w:rPr>
  </w:style>
  <w:style w:type="character" w:customStyle="1" w:styleId="CommentSubjectChar">
    <w:name w:val="Comment Subject Char"/>
    <w:link w:val="CommentSubject"/>
    <w:uiPriority w:val="99"/>
    <w:semiHidden/>
    <w:rsid w:val="006D3AB5"/>
    <w:rPr>
      <w:b/>
      <w:bCs/>
      <w:lang w:eastAsia="en-US"/>
    </w:rPr>
  </w:style>
  <w:style w:type="character" w:customStyle="1" w:styleId="ListParagraphChar">
    <w:name w:val="List Paragraph Char"/>
    <w:link w:val="ListParagraph"/>
    <w:uiPriority w:val="34"/>
    <w:rsid w:val="005F0CFD"/>
    <w:rPr>
      <w:sz w:val="22"/>
      <w:szCs w:val="24"/>
      <w:lang w:val="en-US" w:eastAsia="ar-SA"/>
    </w:rPr>
  </w:style>
  <w:style w:type="paragraph" w:customStyle="1" w:styleId="tv2131">
    <w:name w:val="tv2131"/>
    <w:basedOn w:val="Normal"/>
    <w:rsid w:val="006D3AB5"/>
    <w:pPr>
      <w:spacing w:before="240" w:after="0" w:line="360" w:lineRule="auto"/>
      <w:ind w:firstLine="300"/>
    </w:pPr>
    <w:rPr>
      <w:rFonts w:ascii="Verdana" w:eastAsia="Times New Roman" w:hAnsi="Verdana"/>
      <w:sz w:val="18"/>
      <w:szCs w:val="18"/>
      <w:lang w:val="en-US"/>
    </w:rPr>
  </w:style>
  <w:style w:type="character" w:customStyle="1" w:styleId="apple-converted-space">
    <w:name w:val="apple-converted-space"/>
    <w:rsid w:val="006D3AB5"/>
  </w:style>
  <w:style w:type="character" w:styleId="FollowedHyperlink">
    <w:name w:val="FollowedHyperlink"/>
    <w:uiPriority w:val="99"/>
    <w:semiHidden/>
    <w:unhideWhenUsed/>
    <w:rsid w:val="006D3AB5"/>
    <w:rPr>
      <w:color w:val="800080"/>
      <w:u w:val="single"/>
    </w:rPr>
  </w:style>
  <w:style w:type="paragraph" w:customStyle="1" w:styleId="tv213">
    <w:name w:val="tv213"/>
    <w:basedOn w:val="Normal"/>
    <w:rsid w:val="006D3A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6D3AB5"/>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6D3AB5"/>
    <w:rPr>
      <w:b/>
      <w:bCs/>
    </w:rPr>
  </w:style>
  <w:style w:type="paragraph" w:styleId="DocumentMap">
    <w:name w:val="Document Map"/>
    <w:basedOn w:val="Normal"/>
    <w:link w:val="DocumentMapChar"/>
    <w:uiPriority w:val="99"/>
    <w:semiHidden/>
    <w:unhideWhenUsed/>
    <w:rsid w:val="006D3AB5"/>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6D3AB5"/>
    <w:rPr>
      <w:rFonts w:ascii="Tahoma" w:hAnsi="Tahoma" w:cs="Tahoma"/>
      <w:sz w:val="16"/>
      <w:szCs w:val="16"/>
      <w:lang w:eastAsia="en-US"/>
    </w:rPr>
  </w:style>
  <w:style w:type="paragraph" w:styleId="NoSpacing">
    <w:name w:val="No Spacing"/>
    <w:uiPriority w:val="1"/>
    <w:qFormat/>
    <w:rsid w:val="00E76417"/>
    <w:pPr>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5FA"/>
    <w:pPr>
      <w:spacing w:after="200" w:line="276" w:lineRule="auto"/>
      <w:jc w:val="both"/>
    </w:pPr>
    <w:rPr>
      <w:sz w:val="22"/>
      <w:szCs w:val="22"/>
      <w:lang w:eastAsia="en-US"/>
    </w:rPr>
  </w:style>
  <w:style w:type="paragraph" w:styleId="Heading1">
    <w:name w:val="heading 1"/>
    <w:basedOn w:val="Normal"/>
    <w:next w:val="Normal"/>
    <w:link w:val="Heading1Char"/>
    <w:uiPriority w:val="9"/>
    <w:qFormat/>
    <w:rsid w:val="005766E8"/>
    <w:pPr>
      <w:keepNext/>
      <w:widowControl w:val="0"/>
      <w:tabs>
        <w:tab w:val="left" w:pos="284"/>
      </w:tabs>
      <w:suppressAutoHyphens/>
      <w:snapToGrid w:val="0"/>
      <w:spacing w:after="120" w:line="240" w:lineRule="auto"/>
      <w:jc w:val="center"/>
      <w:outlineLvl w:val="0"/>
    </w:pPr>
    <w:rPr>
      <w:b/>
      <w:caps/>
      <w:sz w:val="28"/>
      <w:szCs w:val="20"/>
      <w:lang w:eastAsia="ar-SA"/>
    </w:rPr>
  </w:style>
  <w:style w:type="paragraph" w:styleId="Heading2">
    <w:name w:val="heading 2"/>
    <w:basedOn w:val="Normal"/>
    <w:next w:val="Normal"/>
    <w:link w:val="Heading2Char"/>
    <w:uiPriority w:val="9"/>
    <w:qFormat/>
    <w:rsid w:val="005766E8"/>
    <w:pPr>
      <w:keepNext/>
      <w:suppressAutoHyphens/>
      <w:spacing w:after="120" w:line="240" w:lineRule="auto"/>
      <w:jc w:val="center"/>
      <w:outlineLvl w:val="1"/>
    </w:pPr>
    <w:rPr>
      <w:rFonts w:eastAsia="Times New Roman"/>
      <w:b/>
      <w:sz w:val="24"/>
      <w:szCs w:val="20"/>
      <w:lang w:eastAsia="ar-SA"/>
    </w:rPr>
  </w:style>
  <w:style w:type="paragraph" w:styleId="Heading3">
    <w:name w:val="heading 3"/>
    <w:basedOn w:val="Normal"/>
    <w:next w:val="Normal"/>
    <w:link w:val="Heading3Char"/>
    <w:uiPriority w:val="9"/>
    <w:unhideWhenUsed/>
    <w:qFormat/>
    <w:rsid w:val="006D3AB5"/>
    <w:pPr>
      <w:keepNext/>
      <w:spacing w:before="240" w:after="60" w:line="240" w:lineRule="auto"/>
      <w:ind w:left="1350" w:hanging="720"/>
      <w:outlineLvl w:val="2"/>
    </w:pPr>
    <w:rPr>
      <w:rFonts w:eastAsia="Times New Roman"/>
      <w:b/>
      <w:bCs/>
      <w:szCs w:val="26"/>
    </w:rPr>
  </w:style>
  <w:style w:type="paragraph" w:styleId="Heading4">
    <w:name w:val="heading 4"/>
    <w:basedOn w:val="Normal"/>
    <w:next w:val="Normal"/>
    <w:link w:val="Heading4Char"/>
    <w:uiPriority w:val="9"/>
    <w:unhideWhenUsed/>
    <w:qFormat/>
    <w:rsid w:val="00AD5C6F"/>
    <w:pPr>
      <w:keepNext/>
      <w:spacing w:before="240" w:after="60" w:line="240" w:lineRule="auto"/>
      <w:ind w:left="3697" w:hanging="862"/>
      <w:outlineLvl w:val="3"/>
    </w:pPr>
    <w:rPr>
      <w:rFonts w:eastAsia="Times New Roman"/>
      <w:b/>
      <w:bCs/>
      <w:i/>
      <w:sz w:val="20"/>
      <w:szCs w:val="28"/>
    </w:rPr>
  </w:style>
  <w:style w:type="paragraph" w:styleId="Heading5">
    <w:name w:val="heading 5"/>
    <w:basedOn w:val="Normal"/>
    <w:next w:val="Normal"/>
    <w:link w:val="Heading5Char"/>
    <w:uiPriority w:val="9"/>
    <w:unhideWhenUsed/>
    <w:qFormat/>
    <w:rsid w:val="006D3AB5"/>
    <w:pPr>
      <w:spacing w:before="240" w:after="60" w:line="240" w:lineRule="auto"/>
      <w:ind w:left="1008" w:hanging="1008"/>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6D3AB5"/>
    <w:pPr>
      <w:spacing w:before="240" w:after="60" w:line="240" w:lineRule="auto"/>
      <w:ind w:left="1152" w:hanging="1152"/>
      <w:outlineLvl w:val="5"/>
    </w:pPr>
    <w:rPr>
      <w:rFonts w:eastAsia="Times New Roman"/>
      <w:b/>
      <w:bCs/>
    </w:rPr>
  </w:style>
  <w:style w:type="paragraph" w:styleId="Heading7">
    <w:name w:val="heading 7"/>
    <w:basedOn w:val="Normal"/>
    <w:next w:val="Normal"/>
    <w:link w:val="Heading7Char"/>
    <w:uiPriority w:val="9"/>
    <w:semiHidden/>
    <w:unhideWhenUsed/>
    <w:qFormat/>
    <w:rsid w:val="006D3AB5"/>
    <w:pPr>
      <w:spacing w:before="240" w:after="60" w:line="240" w:lineRule="auto"/>
      <w:ind w:left="1296" w:hanging="1296"/>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6D3AB5"/>
    <w:pPr>
      <w:spacing w:before="240" w:after="60" w:line="240" w:lineRule="auto"/>
      <w:ind w:left="1440" w:hanging="144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6D3AB5"/>
    <w:pPr>
      <w:spacing w:before="240" w:after="60" w:line="240" w:lineRule="auto"/>
      <w:ind w:left="1584" w:hanging="1584"/>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66E8"/>
    <w:rPr>
      <w:b/>
      <w:caps/>
      <w:sz w:val="28"/>
      <w:lang w:eastAsia="ar-SA"/>
    </w:rPr>
  </w:style>
  <w:style w:type="character" w:customStyle="1" w:styleId="Heading2Char">
    <w:name w:val="Heading 2 Char"/>
    <w:link w:val="Heading2"/>
    <w:uiPriority w:val="9"/>
    <w:rsid w:val="005766E8"/>
    <w:rPr>
      <w:rFonts w:eastAsia="Times New Roman"/>
      <w:b/>
      <w:sz w:val="24"/>
      <w:lang w:eastAsia="ar-SA"/>
    </w:rPr>
  </w:style>
  <w:style w:type="character" w:styleId="Hyperlink">
    <w:name w:val="Hyperlink"/>
    <w:uiPriority w:val="99"/>
    <w:rsid w:val="005766E8"/>
    <w:rPr>
      <w:color w:val="0000FF"/>
      <w:u w:val="single"/>
    </w:rPr>
  </w:style>
  <w:style w:type="paragraph" w:styleId="Header">
    <w:name w:val="header"/>
    <w:basedOn w:val="Normal"/>
    <w:link w:val="HeaderChar"/>
    <w:uiPriority w:val="99"/>
    <w:rsid w:val="005766E8"/>
    <w:pPr>
      <w:tabs>
        <w:tab w:val="center" w:pos="4153"/>
        <w:tab w:val="right" w:pos="8306"/>
      </w:tabs>
      <w:suppressAutoHyphens/>
      <w:spacing w:after="0" w:line="240" w:lineRule="auto"/>
    </w:pPr>
    <w:rPr>
      <w:rFonts w:ascii="Times New Roman" w:hAnsi="Times New Roman"/>
      <w:sz w:val="24"/>
      <w:szCs w:val="20"/>
      <w:lang w:val="en-US" w:eastAsia="ar-SA"/>
    </w:rPr>
  </w:style>
  <w:style w:type="character" w:customStyle="1" w:styleId="HeaderChar">
    <w:name w:val="Header Char"/>
    <w:link w:val="Header"/>
    <w:uiPriority w:val="99"/>
    <w:rsid w:val="005766E8"/>
    <w:rPr>
      <w:rFonts w:ascii="Times New Roman" w:hAnsi="Times New Roman"/>
      <w:sz w:val="24"/>
      <w:lang w:val="en-US" w:eastAsia="ar-SA"/>
    </w:rPr>
  </w:style>
  <w:style w:type="paragraph" w:styleId="Footer">
    <w:name w:val="footer"/>
    <w:basedOn w:val="Normal"/>
    <w:link w:val="FooterChar"/>
    <w:uiPriority w:val="99"/>
    <w:rsid w:val="005766E8"/>
    <w:pPr>
      <w:tabs>
        <w:tab w:val="center" w:pos="4153"/>
        <w:tab w:val="right" w:pos="8306"/>
      </w:tabs>
      <w:suppressAutoHyphens/>
      <w:spacing w:after="0" w:line="240" w:lineRule="auto"/>
    </w:pPr>
    <w:rPr>
      <w:rFonts w:ascii="Times New Roman" w:hAnsi="Times New Roman"/>
      <w:sz w:val="24"/>
      <w:szCs w:val="20"/>
      <w:lang w:val="en-US" w:eastAsia="ar-SA"/>
    </w:rPr>
  </w:style>
  <w:style w:type="character" w:customStyle="1" w:styleId="FooterChar">
    <w:name w:val="Footer Char"/>
    <w:link w:val="Footer"/>
    <w:uiPriority w:val="99"/>
    <w:rsid w:val="005766E8"/>
    <w:rPr>
      <w:rFonts w:ascii="Times New Roman" w:hAnsi="Times New Roman"/>
      <w:sz w:val="24"/>
      <w:lang w:val="en-US" w:eastAsia="ar-SA"/>
    </w:rPr>
  </w:style>
  <w:style w:type="paragraph" w:styleId="ListParagraph">
    <w:name w:val="List Paragraph"/>
    <w:basedOn w:val="Normal"/>
    <w:link w:val="ListParagraphChar"/>
    <w:uiPriority w:val="34"/>
    <w:qFormat/>
    <w:rsid w:val="005F0CFD"/>
    <w:pPr>
      <w:numPr>
        <w:numId w:val="71"/>
      </w:numPr>
      <w:suppressAutoHyphens/>
      <w:spacing w:after="0" w:line="240" w:lineRule="auto"/>
      <w:contextualSpacing/>
    </w:pPr>
    <w:rPr>
      <w:szCs w:val="24"/>
      <w:lang w:val="en-US" w:eastAsia="ar-SA"/>
    </w:rPr>
  </w:style>
  <w:style w:type="paragraph" w:styleId="TOCHeading">
    <w:name w:val="TOC Heading"/>
    <w:basedOn w:val="Heading1"/>
    <w:next w:val="Normal"/>
    <w:uiPriority w:val="39"/>
    <w:qFormat/>
    <w:rsid w:val="005766E8"/>
    <w:pPr>
      <w:keepLines/>
      <w:widowControl/>
      <w:snapToGrid/>
      <w:spacing w:before="480" w:line="276" w:lineRule="auto"/>
    </w:pPr>
    <w:rPr>
      <w:rFonts w:ascii="Cambria" w:hAnsi="Cambria" w:cs="Cambria"/>
      <w:b w:val="0"/>
      <w:bCs/>
      <w:color w:val="365F91"/>
      <w:szCs w:val="28"/>
      <w:lang w:val="en-US"/>
    </w:rPr>
  </w:style>
  <w:style w:type="paragraph" w:styleId="TOC1">
    <w:name w:val="toc 1"/>
    <w:basedOn w:val="Normal"/>
    <w:next w:val="Normal"/>
    <w:uiPriority w:val="39"/>
    <w:rsid w:val="005766E8"/>
    <w:pPr>
      <w:spacing w:before="120" w:after="120"/>
      <w:jc w:val="left"/>
    </w:pPr>
    <w:rPr>
      <w:b/>
      <w:bCs/>
      <w:caps/>
      <w:sz w:val="20"/>
      <w:szCs w:val="20"/>
    </w:rPr>
  </w:style>
  <w:style w:type="paragraph" w:styleId="TOC2">
    <w:name w:val="toc 2"/>
    <w:basedOn w:val="Normal"/>
    <w:next w:val="Normal"/>
    <w:uiPriority w:val="39"/>
    <w:rsid w:val="005766E8"/>
    <w:pPr>
      <w:spacing w:after="0"/>
      <w:ind w:left="220"/>
      <w:jc w:val="left"/>
    </w:pPr>
    <w:rPr>
      <w:smallCaps/>
      <w:sz w:val="20"/>
      <w:szCs w:val="20"/>
    </w:rPr>
  </w:style>
  <w:style w:type="character" w:customStyle="1" w:styleId="Heading3Char">
    <w:name w:val="Heading 3 Char"/>
    <w:link w:val="Heading3"/>
    <w:uiPriority w:val="9"/>
    <w:rsid w:val="006D3AB5"/>
    <w:rPr>
      <w:rFonts w:ascii="Calibri" w:eastAsia="Times New Roman" w:hAnsi="Calibri"/>
      <w:b/>
      <w:bCs/>
      <w:sz w:val="22"/>
      <w:szCs w:val="26"/>
    </w:rPr>
  </w:style>
  <w:style w:type="character" w:customStyle="1" w:styleId="Heading4Char">
    <w:name w:val="Heading 4 Char"/>
    <w:link w:val="Heading4"/>
    <w:uiPriority w:val="9"/>
    <w:rsid w:val="00AD5C6F"/>
    <w:rPr>
      <w:rFonts w:ascii="Calibri" w:eastAsia="Times New Roman" w:hAnsi="Calibri"/>
      <w:b/>
      <w:bCs/>
      <w:i/>
      <w:szCs w:val="28"/>
    </w:rPr>
  </w:style>
  <w:style w:type="character" w:customStyle="1" w:styleId="Heading5Char">
    <w:name w:val="Heading 5 Char"/>
    <w:link w:val="Heading5"/>
    <w:uiPriority w:val="9"/>
    <w:rsid w:val="006D3AB5"/>
    <w:rPr>
      <w:rFonts w:eastAsia="Times New Roman"/>
      <w:b/>
      <w:bCs/>
      <w:i/>
      <w:iCs/>
      <w:sz w:val="26"/>
      <w:szCs w:val="26"/>
    </w:rPr>
  </w:style>
  <w:style w:type="character" w:customStyle="1" w:styleId="Heading6Char">
    <w:name w:val="Heading 6 Char"/>
    <w:link w:val="Heading6"/>
    <w:uiPriority w:val="9"/>
    <w:semiHidden/>
    <w:rsid w:val="006D3AB5"/>
    <w:rPr>
      <w:rFonts w:eastAsia="Times New Roman"/>
      <w:b/>
      <w:bCs/>
      <w:sz w:val="22"/>
      <w:szCs w:val="22"/>
    </w:rPr>
  </w:style>
  <w:style w:type="character" w:customStyle="1" w:styleId="Heading7Char">
    <w:name w:val="Heading 7 Char"/>
    <w:link w:val="Heading7"/>
    <w:uiPriority w:val="9"/>
    <w:semiHidden/>
    <w:rsid w:val="006D3AB5"/>
    <w:rPr>
      <w:rFonts w:eastAsia="Times New Roman"/>
      <w:sz w:val="24"/>
      <w:szCs w:val="24"/>
    </w:rPr>
  </w:style>
  <w:style w:type="character" w:customStyle="1" w:styleId="Heading8Char">
    <w:name w:val="Heading 8 Char"/>
    <w:link w:val="Heading8"/>
    <w:uiPriority w:val="9"/>
    <w:semiHidden/>
    <w:rsid w:val="006D3AB5"/>
    <w:rPr>
      <w:rFonts w:eastAsia="Times New Roman"/>
      <w:i/>
      <w:iCs/>
      <w:sz w:val="24"/>
      <w:szCs w:val="24"/>
    </w:rPr>
  </w:style>
  <w:style w:type="character" w:customStyle="1" w:styleId="Heading9Char">
    <w:name w:val="Heading 9 Char"/>
    <w:link w:val="Heading9"/>
    <w:uiPriority w:val="9"/>
    <w:semiHidden/>
    <w:rsid w:val="006D3AB5"/>
    <w:rPr>
      <w:rFonts w:ascii="Cambria" w:eastAsia="Times New Roman" w:hAnsi="Cambria"/>
      <w:sz w:val="22"/>
      <w:szCs w:val="22"/>
    </w:rPr>
  </w:style>
  <w:style w:type="table" w:customStyle="1" w:styleId="tabulatekstam">
    <w:name w:val="tabula tekstam"/>
    <w:basedOn w:val="TableGrid"/>
    <w:rsid w:val="006D3AB5"/>
    <w:pPr>
      <w:spacing w:before="20" w:after="20"/>
      <w:jc w:val="center"/>
    </w:pPr>
    <w:rPr>
      <w:rFonts w:ascii="Times New Roman" w:eastAsia="Times New Roman" w:hAnsi="Times New Roman"/>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Times New Roman" w:hAnsi="Times New Roman"/>
        <w:b/>
        <w:sz w:val="20"/>
      </w:rPr>
      <w:tblPr/>
      <w:tcPr>
        <w:shd w:val="clear" w:color="auto" w:fill="D9D9D9"/>
      </w:tcPr>
    </w:tblStylePr>
    <w:tblStylePr w:type="lastRow">
      <w:pPr>
        <w:jc w:val="center"/>
      </w:pPr>
      <w:rPr>
        <w:rFonts w:ascii="Times New Roman" w:hAnsi="Times New Roman"/>
        <w:b/>
        <w:sz w:val="20"/>
      </w:rPr>
      <w:tblPr/>
      <w:tcPr>
        <w:shd w:val="clear" w:color="auto" w:fill="D9D9D9"/>
      </w:tcPr>
    </w:tblStylePr>
    <w:tblStylePr w:type="firstCol">
      <w:pPr>
        <w:jc w:val="left"/>
      </w:pPr>
      <w:rPr>
        <w:rFonts w:ascii="Times New Roman" w:hAnsi="Times New Roman"/>
        <w:sz w:val="20"/>
      </w:rPr>
    </w:tblStylePr>
    <w:tblStylePr w:type="band1Horz">
      <w:rPr>
        <w:rFonts w:ascii="Times New Roman" w:hAnsi="Times New Roman"/>
        <w:sz w:val="20"/>
      </w:rPr>
    </w:tblStylePr>
    <w:tblStylePr w:type="band2Horz">
      <w:rPr>
        <w:rFonts w:ascii="Times New Roman" w:hAnsi="Times New Roman"/>
        <w:sz w:val="20"/>
      </w:rPr>
      <w:tblPr/>
      <w:tcPr>
        <w:shd w:val="clear" w:color="auto" w:fill="FFFFFF"/>
      </w:tcPr>
    </w:tblStylePr>
  </w:style>
  <w:style w:type="table" w:styleId="TableGrid">
    <w:name w:val="Table Grid"/>
    <w:basedOn w:val="TableNormal"/>
    <w:uiPriority w:val="59"/>
    <w:rsid w:val="006D3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B426E"/>
    <w:pPr>
      <w:spacing w:before="120" w:after="0" w:line="240" w:lineRule="auto"/>
    </w:pPr>
    <w:rPr>
      <w:sz w:val="18"/>
      <w:szCs w:val="20"/>
    </w:rPr>
  </w:style>
  <w:style w:type="character" w:customStyle="1" w:styleId="FootnoteTextChar">
    <w:name w:val="Footnote Text Char"/>
    <w:link w:val="FootnoteText"/>
    <w:uiPriority w:val="99"/>
    <w:semiHidden/>
    <w:rsid w:val="00DB426E"/>
    <w:rPr>
      <w:sz w:val="18"/>
      <w:lang w:eastAsia="en-US"/>
    </w:rPr>
  </w:style>
  <w:style w:type="character" w:styleId="FootnoteReference">
    <w:name w:val="footnote reference"/>
    <w:uiPriority w:val="99"/>
    <w:semiHidden/>
    <w:unhideWhenUsed/>
    <w:rsid w:val="006D3AB5"/>
    <w:rPr>
      <w:vertAlign w:val="superscript"/>
    </w:rPr>
  </w:style>
  <w:style w:type="paragraph" w:styleId="Caption">
    <w:name w:val="caption"/>
    <w:basedOn w:val="Normal"/>
    <w:next w:val="Normal"/>
    <w:uiPriority w:val="35"/>
    <w:unhideWhenUsed/>
    <w:qFormat/>
    <w:rsid w:val="006D3AB5"/>
    <w:pPr>
      <w:spacing w:before="240" w:after="240" w:line="240" w:lineRule="auto"/>
      <w:jc w:val="center"/>
    </w:pPr>
    <w:rPr>
      <w:b/>
      <w:bCs/>
      <w:i/>
      <w:sz w:val="21"/>
      <w:szCs w:val="20"/>
    </w:rPr>
  </w:style>
  <w:style w:type="table" w:customStyle="1" w:styleId="LightShading1">
    <w:name w:val="Light Shading1"/>
    <w:basedOn w:val="TableNormal"/>
    <w:uiPriority w:val="60"/>
    <w:rsid w:val="006D3AB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uiPriority w:val="20"/>
    <w:qFormat/>
    <w:rsid w:val="006D3AB5"/>
    <w:rPr>
      <w:i/>
      <w:iCs/>
    </w:rPr>
  </w:style>
  <w:style w:type="paragraph" w:styleId="BalloonText">
    <w:name w:val="Balloon Text"/>
    <w:basedOn w:val="Normal"/>
    <w:link w:val="BalloonTextChar"/>
    <w:uiPriority w:val="99"/>
    <w:semiHidden/>
    <w:unhideWhenUsed/>
    <w:rsid w:val="006D3AB5"/>
    <w:pPr>
      <w:spacing w:after="0" w:line="240" w:lineRule="auto"/>
    </w:pPr>
    <w:rPr>
      <w:rFonts w:ascii="Arial" w:hAnsi="Arial"/>
      <w:sz w:val="16"/>
      <w:szCs w:val="16"/>
    </w:rPr>
  </w:style>
  <w:style w:type="character" w:customStyle="1" w:styleId="BalloonTextChar">
    <w:name w:val="Balloon Text Char"/>
    <w:link w:val="BalloonText"/>
    <w:uiPriority w:val="99"/>
    <w:semiHidden/>
    <w:rsid w:val="006D3AB5"/>
    <w:rPr>
      <w:rFonts w:ascii="Arial" w:hAnsi="Arial"/>
      <w:sz w:val="16"/>
      <w:szCs w:val="16"/>
      <w:lang w:eastAsia="en-US"/>
    </w:rPr>
  </w:style>
  <w:style w:type="paragraph" w:styleId="NormalWeb">
    <w:name w:val="Normal (Web)"/>
    <w:basedOn w:val="Normal"/>
    <w:uiPriority w:val="99"/>
    <w:rsid w:val="006D3AB5"/>
    <w:pPr>
      <w:spacing w:after="0" w:line="240" w:lineRule="auto"/>
    </w:pPr>
    <w:rPr>
      <w:rFonts w:ascii="Times New Roman" w:eastAsia="Times New Roman" w:hAnsi="Times New Roman"/>
      <w:sz w:val="24"/>
      <w:szCs w:val="24"/>
      <w:lang w:val="en-GB"/>
    </w:rPr>
  </w:style>
  <w:style w:type="paragraph" w:customStyle="1" w:styleId="footnotereferance">
    <w:name w:val="footnote referance"/>
    <w:basedOn w:val="Normal"/>
    <w:rsid w:val="006D3AB5"/>
    <w:pPr>
      <w:spacing w:before="120" w:after="0" w:line="240" w:lineRule="auto"/>
    </w:pPr>
    <w:rPr>
      <w:rFonts w:ascii="Times New Roman" w:eastAsia="Times New Roman" w:hAnsi="Times New Roman"/>
      <w:i/>
      <w:sz w:val="20"/>
      <w:szCs w:val="24"/>
      <w:lang w:eastAsia="lv-LV"/>
    </w:rPr>
  </w:style>
  <w:style w:type="paragraph" w:styleId="TOC3">
    <w:name w:val="toc 3"/>
    <w:basedOn w:val="Normal"/>
    <w:next w:val="Normal"/>
    <w:autoRedefine/>
    <w:uiPriority w:val="39"/>
    <w:unhideWhenUsed/>
    <w:rsid w:val="006D3AB5"/>
    <w:pPr>
      <w:spacing w:after="0"/>
      <w:ind w:left="440"/>
      <w:jc w:val="left"/>
    </w:pPr>
    <w:rPr>
      <w:i/>
      <w:iCs/>
      <w:sz w:val="20"/>
      <w:szCs w:val="20"/>
    </w:rPr>
  </w:style>
  <w:style w:type="paragraph" w:styleId="TOC4">
    <w:name w:val="toc 4"/>
    <w:basedOn w:val="Normal"/>
    <w:next w:val="Normal"/>
    <w:autoRedefine/>
    <w:uiPriority w:val="39"/>
    <w:unhideWhenUsed/>
    <w:rsid w:val="006D3AB5"/>
    <w:pPr>
      <w:spacing w:after="0"/>
      <w:ind w:left="660"/>
      <w:jc w:val="left"/>
    </w:pPr>
    <w:rPr>
      <w:sz w:val="18"/>
      <w:szCs w:val="18"/>
    </w:rPr>
  </w:style>
  <w:style w:type="paragraph" w:styleId="TOC5">
    <w:name w:val="toc 5"/>
    <w:basedOn w:val="Normal"/>
    <w:next w:val="Normal"/>
    <w:autoRedefine/>
    <w:uiPriority w:val="39"/>
    <w:unhideWhenUsed/>
    <w:rsid w:val="006D3AB5"/>
    <w:pPr>
      <w:spacing w:after="0"/>
      <w:ind w:left="880"/>
      <w:jc w:val="left"/>
    </w:pPr>
    <w:rPr>
      <w:sz w:val="18"/>
      <w:szCs w:val="18"/>
    </w:rPr>
  </w:style>
  <w:style w:type="paragraph" w:styleId="TOC6">
    <w:name w:val="toc 6"/>
    <w:basedOn w:val="Normal"/>
    <w:next w:val="Normal"/>
    <w:autoRedefine/>
    <w:uiPriority w:val="39"/>
    <w:unhideWhenUsed/>
    <w:rsid w:val="006D3AB5"/>
    <w:pPr>
      <w:spacing w:after="0"/>
      <w:ind w:left="1100"/>
      <w:jc w:val="left"/>
    </w:pPr>
    <w:rPr>
      <w:sz w:val="18"/>
      <w:szCs w:val="18"/>
    </w:rPr>
  </w:style>
  <w:style w:type="paragraph" w:styleId="TOC7">
    <w:name w:val="toc 7"/>
    <w:basedOn w:val="Normal"/>
    <w:next w:val="Normal"/>
    <w:autoRedefine/>
    <w:uiPriority w:val="39"/>
    <w:unhideWhenUsed/>
    <w:rsid w:val="006D3AB5"/>
    <w:pPr>
      <w:spacing w:after="0"/>
      <w:ind w:left="1320"/>
      <w:jc w:val="left"/>
    </w:pPr>
    <w:rPr>
      <w:sz w:val="18"/>
      <w:szCs w:val="18"/>
    </w:rPr>
  </w:style>
  <w:style w:type="paragraph" w:styleId="TOC8">
    <w:name w:val="toc 8"/>
    <w:basedOn w:val="Normal"/>
    <w:next w:val="Normal"/>
    <w:autoRedefine/>
    <w:uiPriority w:val="39"/>
    <w:unhideWhenUsed/>
    <w:rsid w:val="006D3AB5"/>
    <w:pPr>
      <w:spacing w:after="0"/>
      <w:ind w:left="1540"/>
      <w:jc w:val="left"/>
    </w:pPr>
    <w:rPr>
      <w:sz w:val="18"/>
      <w:szCs w:val="18"/>
    </w:rPr>
  </w:style>
  <w:style w:type="paragraph" w:styleId="TOC9">
    <w:name w:val="toc 9"/>
    <w:basedOn w:val="Normal"/>
    <w:next w:val="Normal"/>
    <w:autoRedefine/>
    <w:uiPriority w:val="39"/>
    <w:unhideWhenUsed/>
    <w:rsid w:val="006D3AB5"/>
    <w:pPr>
      <w:spacing w:after="0"/>
      <w:ind w:left="1760"/>
      <w:jc w:val="left"/>
    </w:pPr>
    <w:rPr>
      <w:sz w:val="18"/>
      <w:szCs w:val="18"/>
    </w:rPr>
  </w:style>
  <w:style w:type="character" w:styleId="CommentReference">
    <w:name w:val="annotation reference"/>
    <w:uiPriority w:val="99"/>
    <w:semiHidden/>
    <w:unhideWhenUsed/>
    <w:rsid w:val="006D3AB5"/>
    <w:rPr>
      <w:sz w:val="16"/>
      <w:szCs w:val="16"/>
    </w:rPr>
  </w:style>
  <w:style w:type="paragraph" w:styleId="CommentText">
    <w:name w:val="annotation text"/>
    <w:basedOn w:val="Normal"/>
    <w:link w:val="CommentTextChar"/>
    <w:uiPriority w:val="99"/>
    <w:unhideWhenUsed/>
    <w:rsid w:val="006D3AB5"/>
    <w:pPr>
      <w:spacing w:before="120" w:after="0" w:line="240" w:lineRule="auto"/>
    </w:pPr>
    <w:rPr>
      <w:sz w:val="20"/>
      <w:szCs w:val="20"/>
    </w:rPr>
  </w:style>
  <w:style w:type="character" w:customStyle="1" w:styleId="CommentTextChar">
    <w:name w:val="Comment Text Char"/>
    <w:link w:val="CommentText"/>
    <w:uiPriority w:val="99"/>
    <w:rsid w:val="006D3AB5"/>
    <w:rPr>
      <w:lang w:eastAsia="en-US"/>
    </w:rPr>
  </w:style>
  <w:style w:type="paragraph" w:styleId="CommentSubject">
    <w:name w:val="annotation subject"/>
    <w:basedOn w:val="CommentText"/>
    <w:next w:val="CommentText"/>
    <w:link w:val="CommentSubjectChar"/>
    <w:uiPriority w:val="99"/>
    <w:semiHidden/>
    <w:unhideWhenUsed/>
    <w:rsid w:val="006D3AB5"/>
    <w:rPr>
      <w:b/>
      <w:bCs/>
    </w:rPr>
  </w:style>
  <w:style w:type="character" w:customStyle="1" w:styleId="CommentSubjectChar">
    <w:name w:val="Comment Subject Char"/>
    <w:link w:val="CommentSubject"/>
    <w:uiPriority w:val="99"/>
    <w:semiHidden/>
    <w:rsid w:val="006D3AB5"/>
    <w:rPr>
      <w:b/>
      <w:bCs/>
      <w:lang w:eastAsia="en-US"/>
    </w:rPr>
  </w:style>
  <w:style w:type="character" w:customStyle="1" w:styleId="ListParagraphChar">
    <w:name w:val="List Paragraph Char"/>
    <w:link w:val="ListParagraph"/>
    <w:uiPriority w:val="34"/>
    <w:rsid w:val="005F0CFD"/>
    <w:rPr>
      <w:sz w:val="22"/>
      <w:szCs w:val="24"/>
      <w:lang w:val="en-US" w:eastAsia="ar-SA"/>
    </w:rPr>
  </w:style>
  <w:style w:type="paragraph" w:customStyle="1" w:styleId="tv2131">
    <w:name w:val="tv2131"/>
    <w:basedOn w:val="Normal"/>
    <w:rsid w:val="006D3AB5"/>
    <w:pPr>
      <w:spacing w:before="240" w:after="0" w:line="360" w:lineRule="auto"/>
      <w:ind w:firstLine="300"/>
    </w:pPr>
    <w:rPr>
      <w:rFonts w:ascii="Verdana" w:eastAsia="Times New Roman" w:hAnsi="Verdana"/>
      <w:sz w:val="18"/>
      <w:szCs w:val="18"/>
      <w:lang w:val="en-US"/>
    </w:rPr>
  </w:style>
  <w:style w:type="character" w:customStyle="1" w:styleId="apple-converted-space">
    <w:name w:val="apple-converted-space"/>
    <w:rsid w:val="006D3AB5"/>
  </w:style>
  <w:style w:type="character" w:styleId="FollowedHyperlink">
    <w:name w:val="FollowedHyperlink"/>
    <w:uiPriority w:val="99"/>
    <w:semiHidden/>
    <w:unhideWhenUsed/>
    <w:rsid w:val="006D3AB5"/>
    <w:rPr>
      <w:color w:val="800080"/>
      <w:u w:val="single"/>
    </w:rPr>
  </w:style>
  <w:style w:type="paragraph" w:customStyle="1" w:styleId="tv213">
    <w:name w:val="tv213"/>
    <w:basedOn w:val="Normal"/>
    <w:rsid w:val="006D3A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6D3AB5"/>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6D3AB5"/>
    <w:rPr>
      <w:b/>
      <w:bCs/>
    </w:rPr>
  </w:style>
  <w:style w:type="paragraph" w:styleId="DocumentMap">
    <w:name w:val="Document Map"/>
    <w:basedOn w:val="Normal"/>
    <w:link w:val="DocumentMapChar"/>
    <w:uiPriority w:val="99"/>
    <w:semiHidden/>
    <w:unhideWhenUsed/>
    <w:rsid w:val="006D3AB5"/>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6D3AB5"/>
    <w:rPr>
      <w:rFonts w:ascii="Tahoma" w:hAnsi="Tahoma" w:cs="Tahoma"/>
      <w:sz w:val="16"/>
      <w:szCs w:val="16"/>
      <w:lang w:eastAsia="en-US"/>
    </w:rPr>
  </w:style>
  <w:style w:type="paragraph" w:styleId="NoSpacing">
    <w:name w:val="No Spacing"/>
    <w:uiPriority w:val="1"/>
    <w:qFormat/>
    <w:rsid w:val="00E76417"/>
    <w:pPr>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946724">
      <w:bodyDiv w:val="1"/>
      <w:marLeft w:val="0"/>
      <w:marRight w:val="0"/>
      <w:marTop w:val="0"/>
      <w:marBottom w:val="0"/>
      <w:divBdr>
        <w:top w:val="none" w:sz="0" w:space="0" w:color="auto"/>
        <w:left w:val="none" w:sz="0" w:space="0" w:color="auto"/>
        <w:bottom w:val="none" w:sz="0" w:space="0" w:color="auto"/>
        <w:right w:val="none" w:sz="0" w:space="0" w:color="auto"/>
      </w:divBdr>
    </w:div>
    <w:div w:id="373579204">
      <w:bodyDiv w:val="1"/>
      <w:marLeft w:val="0"/>
      <w:marRight w:val="0"/>
      <w:marTop w:val="0"/>
      <w:marBottom w:val="0"/>
      <w:divBdr>
        <w:top w:val="none" w:sz="0" w:space="0" w:color="auto"/>
        <w:left w:val="none" w:sz="0" w:space="0" w:color="auto"/>
        <w:bottom w:val="none" w:sz="0" w:space="0" w:color="auto"/>
        <w:right w:val="none" w:sz="0" w:space="0" w:color="auto"/>
      </w:divBdr>
    </w:div>
    <w:div w:id="410589241">
      <w:bodyDiv w:val="1"/>
      <w:marLeft w:val="0"/>
      <w:marRight w:val="0"/>
      <w:marTop w:val="0"/>
      <w:marBottom w:val="0"/>
      <w:divBdr>
        <w:top w:val="none" w:sz="0" w:space="0" w:color="auto"/>
        <w:left w:val="none" w:sz="0" w:space="0" w:color="auto"/>
        <w:bottom w:val="none" w:sz="0" w:space="0" w:color="auto"/>
        <w:right w:val="none" w:sz="0" w:space="0" w:color="auto"/>
      </w:divBdr>
    </w:div>
    <w:div w:id="817768469">
      <w:bodyDiv w:val="1"/>
      <w:marLeft w:val="0"/>
      <w:marRight w:val="0"/>
      <w:marTop w:val="0"/>
      <w:marBottom w:val="0"/>
      <w:divBdr>
        <w:top w:val="none" w:sz="0" w:space="0" w:color="auto"/>
        <w:left w:val="none" w:sz="0" w:space="0" w:color="auto"/>
        <w:bottom w:val="none" w:sz="0" w:space="0" w:color="auto"/>
        <w:right w:val="none" w:sz="0" w:space="0" w:color="auto"/>
      </w:divBdr>
    </w:div>
    <w:div w:id="1096755613">
      <w:bodyDiv w:val="1"/>
      <w:marLeft w:val="0"/>
      <w:marRight w:val="0"/>
      <w:marTop w:val="0"/>
      <w:marBottom w:val="0"/>
      <w:divBdr>
        <w:top w:val="none" w:sz="0" w:space="0" w:color="auto"/>
        <w:left w:val="none" w:sz="0" w:space="0" w:color="auto"/>
        <w:bottom w:val="none" w:sz="0" w:space="0" w:color="auto"/>
        <w:right w:val="none" w:sz="0" w:space="0" w:color="auto"/>
      </w:divBdr>
    </w:div>
    <w:div w:id="1665433355">
      <w:bodyDiv w:val="1"/>
      <w:marLeft w:val="0"/>
      <w:marRight w:val="0"/>
      <w:marTop w:val="0"/>
      <w:marBottom w:val="0"/>
      <w:divBdr>
        <w:top w:val="none" w:sz="0" w:space="0" w:color="auto"/>
        <w:left w:val="none" w:sz="0" w:space="0" w:color="auto"/>
        <w:bottom w:val="none" w:sz="0" w:space="0" w:color="auto"/>
        <w:right w:val="none" w:sz="0" w:space="0" w:color="auto"/>
      </w:divBdr>
    </w:div>
    <w:div w:id="1681200350">
      <w:bodyDiv w:val="1"/>
      <w:marLeft w:val="0"/>
      <w:marRight w:val="0"/>
      <w:marTop w:val="0"/>
      <w:marBottom w:val="0"/>
      <w:divBdr>
        <w:top w:val="none" w:sz="0" w:space="0" w:color="auto"/>
        <w:left w:val="none" w:sz="0" w:space="0" w:color="auto"/>
        <w:bottom w:val="none" w:sz="0" w:space="0" w:color="auto"/>
        <w:right w:val="none" w:sz="0" w:space="0" w:color="auto"/>
      </w:divBdr>
    </w:div>
    <w:div w:id="1863278785">
      <w:bodyDiv w:val="1"/>
      <w:marLeft w:val="0"/>
      <w:marRight w:val="0"/>
      <w:marTop w:val="0"/>
      <w:marBottom w:val="0"/>
      <w:divBdr>
        <w:top w:val="none" w:sz="0" w:space="0" w:color="auto"/>
        <w:left w:val="none" w:sz="0" w:space="0" w:color="auto"/>
        <w:bottom w:val="none" w:sz="0" w:space="0" w:color="auto"/>
        <w:right w:val="none" w:sz="0" w:space="0" w:color="auto"/>
      </w:divBdr>
    </w:div>
    <w:div w:id="1871146784">
      <w:bodyDiv w:val="1"/>
      <w:marLeft w:val="0"/>
      <w:marRight w:val="0"/>
      <w:marTop w:val="0"/>
      <w:marBottom w:val="0"/>
      <w:divBdr>
        <w:top w:val="none" w:sz="0" w:space="0" w:color="auto"/>
        <w:left w:val="none" w:sz="0" w:space="0" w:color="auto"/>
        <w:bottom w:val="none" w:sz="0" w:space="0" w:color="auto"/>
        <w:right w:val="none" w:sz="0" w:space="0" w:color="auto"/>
      </w:divBdr>
    </w:div>
    <w:div w:id="208865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117" Type="http://schemas.openxmlformats.org/officeDocument/2006/relationships/hyperlink" Target="http://www.likumi.lv/doc.php?id=33419&amp;from=off" TargetMode="External"/><Relationship Id="rId21" Type="http://schemas.openxmlformats.org/officeDocument/2006/relationships/chart" Target="charts/chart7.xm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chart" Target="charts/chart19.xml"/><Relationship Id="rId68" Type="http://schemas.openxmlformats.org/officeDocument/2006/relationships/image" Target="media/image33.emf"/><Relationship Id="rId84" Type="http://schemas.openxmlformats.org/officeDocument/2006/relationships/chart" Target="charts/chart24.xml"/><Relationship Id="rId89" Type="http://schemas.openxmlformats.org/officeDocument/2006/relationships/hyperlink" Target="http://www.likumi.lv/doc.php?id=33419" TargetMode="External"/><Relationship Id="rId112" Type="http://schemas.openxmlformats.org/officeDocument/2006/relationships/hyperlink" Target="http://www.likumi.lv/doc.php?id=33419&amp;from=off" TargetMode="External"/><Relationship Id="rId133" Type="http://schemas.openxmlformats.org/officeDocument/2006/relationships/hyperlink" Target="http://www.likumi.lv/doc.php?id=253451" TargetMode="External"/><Relationship Id="rId138" Type="http://schemas.openxmlformats.org/officeDocument/2006/relationships/hyperlink" Target="http://www.likumi.lv/doc.php?id=253451" TargetMode="External"/><Relationship Id="rId154" Type="http://schemas.openxmlformats.org/officeDocument/2006/relationships/hyperlink" Target="http://www.likumi.lv/doc.php?id=253451" TargetMode="External"/><Relationship Id="rId159" Type="http://schemas.openxmlformats.org/officeDocument/2006/relationships/hyperlink" Target="http://www.likumi.lv/doc.php?id=253451" TargetMode="External"/><Relationship Id="rId175" Type="http://schemas.openxmlformats.org/officeDocument/2006/relationships/fontTable" Target="fontTable.xml"/><Relationship Id="rId170" Type="http://schemas.openxmlformats.org/officeDocument/2006/relationships/header" Target="header3.xml"/><Relationship Id="rId16" Type="http://schemas.openxmlformats.org/officeDocument/2006/relationships/chart" Target="charts/chart5.xml"/><Relationship Id="rId107" Type="http://schemas.openxmlformats.org/officeDocument/2006/relationships/hyperlink" Target="http://www.likumi.lv/doc.php?id=33419&amp;from=off" TargetMode="External"/><Relationship Id="rId11" Type="http://schemas.openxmlformats.org/officeDocument/2006/relationships/footer" Target="footer1.xml"/><Relationship Id="rId32" Type="http://schemas.openxmlformats.org/officeDocument/2006/relationships/image" Target="media/image11.png"/><Relationship Id="rId37" Type="http://schemas.openxmlformats.org/officeDocument/2006/relationships/hyperlink" Target="http://www.tekes.fi/en/community/Home/351/Home/473" TargetMode="External"/><Relationship Id="rId53" Type="http://schemas.openxmlformats.org/officeDocument/2006/relationships/chart" Target="charts/chart17.xml"/><Relationship Id="rId58" Type="http://schemas.openxmlformats.org/officeDocument/2006/relationships/image" Target="media/image25.emf"/><Relationship Id="rId74" Type="http://schemas.openxmlformats.org/officeDocument/2006/relationships/image" Target="media/image38.emf"/><Relationship Id="rId79" Type="http://schemas.openxmlformats.org/officeDocument/2006/relationships/chart" Target="charts/chart22.xml"/><Relationship Id="rId102" Type="http://schemas.openxmlformats.org/officeDocument/2006/relationships/hyperlink" Target="http://eur-lex.europa.eu/LexUriServ/LexUriServ.do?uri=CONSLEG:2001R0070:20070101:LV:HTML" TargetMode="External"/><Relationship Id="rId123" Type="http://schemas.openxmlformats.org/officeDocument/2006/relationships/hyperlink" Target="http://www.likumi.lv/doc.php?id=253451" TargetMode="External"/><Relationship Id="rId128" Type="http://schemas.openxmlformats.org/officeDocument/2006/relationships/hyperlink" Target="http://www.likumi.lv/doc.php?id=253451" TargetMode="External"/><Relationship Id="rId144" Type="http://schemas.openxmlformats.org/officeDocument/2006/relationships/hyperlink" Target="http://www.likumi.lv/doc.php?id=253451" TargetMode="External"/><Relationship Id="rId149" Type="http://schemas.openxmlformats.org/officeDocument/2006/relationships/hyperlink" Target="http://www.likumi.lv/doc.php?id=253451" TargetMode="External"/><Relationship Id="rId5" Type="http://schemas.openxmlformats.org/officeDocument/2006/relationships/settings" Target="settings.xml"/><Relationship Id="rId90" Type="http://schemas.openxmlformats.org/officeDocument/2006/relationships/hyperlink" Target="http://eur-lex.europa.eu/LexUriServ/LexUriServ.do?uri=OJ:L:2008:214:0003:01:LV:HTML" TargetMode="External"/><Relationship Id="rId95" Type="http://schemas.openxmlformats.org/officeDocument/2006/relationships/hyperlink" Target="http://eur-lex.europa.eu/LexUriServ/LexUriServ.do?uri=OJ:L:2004:063:0022:01:LV:HTML" TargetMode="External"/><Relationship Id="rId160" Type="http://schemas.openxmlformats.org/officeDocument/2006/relationships/hyperlink" Target="http://www.likumi.lv/doc.php?id=253451" TargetMode="External"/><Relationship Id="rId165" Type="http://schemas.openxmlformats.org/officeDocument/2006/relationships/hyperlink" Target="http://www.likumi.lv/doc.php?id=253451" TargetMode="External"/><Relationship Id="rId22" Type="http://schemas.openxmlformats.org/officeDocument/2006/relationships/chart" Target="charts/chart8.xml"/><Relationship Id="rId27" Type="http://schemas.openxmlformats.org/officeDocument/2006/relationships/image" Target="media/image7.emf"/><Relationship Id="rId43" Type="http://schemas.openxmlformats.org/officeDocument/2006/relationships/image" Target="media/image14.emf"/><Relationship Id="rId48" Type="http://schemas.openxmlformats.org/officeDocument/2006/relationships/chart" Target="charts/chart15.xml"/><Relationship Id="rId64" Type="http://schemas.openxmlformats.org/officeDocument/2006/relationships/chart" Target="charts/chart20.xml"/><Relationship Id="rId69" Type="http://schemas.openxmlformats.org/officeDocument/2006/relationships/image" Target="media/image34.emf"/><Relationship Id="rId113" Type="http://schemas.openxmlformats.org/officeDocument/2006/relationships/hyperlink" Target="http://www.likumi.lv/doc.php?id=33419&amp;from=off" TargetMode="External"/><Relationship Id="rId118" Type="http://schemas.openxmlformats.org/officeDocument/2006/relationships/hyperlink" Target="http://www.likumi.lv/doc.php?id=33419" TargetMode="External"/><Relationship Id="rId134" Type="http://schemas.openxmlformats.org/officeDocument/2006/relationships/hyperlink" Target="http://www.likumi.lv/doc.php?id=253451" TargetMode="External"/><Relationship Id="rId139" Type="http://schemas.openxmlformats.org/officeDocument/2006/relationships/hyperlink" Target="http://www.likumi.lv/doc.php?id=253451" TargetMode="External"/><Relationship Id="rId80" Type="http://schemas.openxmlformats.org/officeDocument/2006/relationships/image" Target="media/image43.emf"/><Relationship Id="rId85" Type="http://schemas.openxmlformats.org/officeDocument/2006/relationships/chart" Target="charts/chart25.xml"/><Relationship Id="rId150" Type="http://schemas.openxmlformats.org/officeDocument/2006/relationships/hyperlink" Target="http://www.likumi.lv/doc.php?id=253451" TargetMode="External"/><Relationship Id="rId155" Type="http://schemas.openxmlformats.org/officeDocument/2006/relationships/hyperlink" Target="http://eur-lex.europa.eu/LexUriServ/LexUriServ.do?uri=CELEX:31987R2658:LV:HTML" TargetMode="External"/><Relationship Id="rId171" Type="http://schemas.openxmlformats.org/officeDocument/2006/relationships/footer" Target="footer2.xml"/><Relationship Id="rId176" Type="http://schemas.openxmlformats.org/officeDocument/2006/relationships/theme" Target="theme/theme1.xml"/><Relationship Id="rId12" Type="http://schemas.openxmlformats.org/officeDocument/2006/relationships/chart" Target="charts/chart1.xml"/><Relationship Id="rId17" Type="http://schemas.openxmlformats.org/officeDocument/2006/relationships/image" Target="media/image4.png"/><Relationship Id="rId33" Type="http://schemas.openxmlformats.org/officeDocument/2006/relationships/image" Target="media/image12.emf"/><Relationship Id="rId38" Type="http://schemas.openxmlformats.org/officeDocument/2006/relationships/hyperlink" Target="http://www.sitra.fi/en" TargetMode="External"/><Relationship Id="rId59" Type="http://schemas.openxmlformats.org/officeDocument/2006/relationships/image" Target="media/image26.emf"/><Relationship Id="rId103" Type="http://schemas.openxmlformats.org/officeDocument/2006/relationships/hyperlink" Target="http://eur-lex.europa.eu/LexUriServ/LexUriServ.do?uri=OJ:L:2006:302:0029:01:LV:HTML" TargetMode="External"/><Relationship Id="rId108" Type="http://schemas.openxmlformats.org/officeDocument/2006/relationships/hyperlink" Target="http://www.likumi.lv/doc.php?id=33419&amp;from=off" TargetMode="External"/><Relationship Id="rId124" Type="http://schemas.openxmlformats.org/officeDocument/2006/relationships/hyperlink" Target="http://www.likumi.lv/doc.php?id=253451" TargetMode="External"/><Relationship Id="rId129" Type="http://schemas.openxmlformats.org/officeDocument/2006/relationships/hyperlink" Target="http://www.likumi.lv/doc.php?id=253451" TargetMode="External"/><Relationship Id="rId54" Type="http://schemas.openxmlformats.org/officeDocument/2006/relationships/chart" Target="charts/chart18.xml"/><Relationship Id="rId70" Type="http://schemas.openxmlformats.org/officeDocument/2006/relationships/image" Target="media/image35.emf"/><Relationship Id="rId75" Type="http://schemas.openxmlformats.org/officeDocument/2006/relationships/image" Target="media/image39.png"/><Relationship Id="rId91" Type="http://schemas.openxmlformats.org/officeDocument/2006/relationships/hyperlink" Target="http://www.likumi.lv/doc.php?id=33946" TargetMode="External"/><Relationship Id="rId96" Type="http://schemas.openxmlformats.org/officeDocument/2006/relationships/hyperlink" Target="http://eur-lex.europa.eu/LexUriServ/LexUriServ.do?uri=CONSLEG:2001R0070:20070101:LV:HTML" TargetMode="External"/><Relationship Id="rId140" Type="http://schemas.openxmlformats.org/officeDocument/2006/relationships/hyperlink" Target="http://www.likumi.lv/doc.php?id=253451" TargetMode="External"/><Relationship Id="rId145" Type="http://schemas.openxmlformats.org/officeDocument/2006/relationships/hyperlink" Target="http://www.likumi.lv/doc.php?id=253451" TargetMode="External"/><Relationship Id="rId161" Type="http://schemas.openxmlformats.org/officeDocument/2006/relationships/hyperlink" Target="http://www.likumi.lv/doc.php?id=253451" TargetMode="External"/><Relationship Id="rId166" Type="http://schemas.openxmlformats.org/officeDocument/2006/relationships/hyperlink" Target="http://www.likumi.lv/doc.php?id=253451"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9.xml"/><Relationship Id="rId28" Type="http://schemas.openxmlformats.org/officeDocument/2006/relationships/chart" Target="charts/chart13.xml"/><Relationship Id="rId49" Type="http://schemas.openxmlformats.org/officeDocument/2006/relationships/chart" Target="charts/chart16.xml"/><Relationship Id="rId114" Type="http://schemas.openxmlformats.org/officeDocument/2006/relationships/hyperlink" Target="http://www.likumi.lv/doc.php?id=33419&amp;from=off" TargetMode="External"/><Relationship Id="rId119" Type="http://schemas.openxmlformats.org/officeDocument/2006/relationships/hyperlink" Target="http://eur-lex.europa.eu/LexUriServ/LexUriServ.do?uri=OJ:L:2006:302:0029:01:LV:HTML" TargetMode="External"/><Relationship Id="rId10" Type="http://schemas.openxmlformats.org/officeDocument/2006/relationships/header" Target="header1.xml"/><Relationship Id="rId31" Type="http://schemas.openxmlformats.org/officeDocument/2006/relationships/image" Target="media/image10.png"/><Relationship Id="rId44" Type="http://schemas.openxmlformats.org/officeDocument/2006/relationships/image" Target="media/image15.emf"/><Relationship Id="rId52" Type="http://schemas.openxmlformats.org/officeDocument/2006/relationships/image" Target="media/image21.emf"/><Relationship Id="rId60" Type="http://schemas.openxmlformats.org/officeDocument/2006/relationships/image" Target="media/image27.emf"/><Relationship Id="rId65" Type="http://schemas.openxmlformats.org/officeDocument/2006/relationships/image" Target="media/image30.emf"/><Relationship Id="rId73" Type="http://schemas.openxmlformats.org/officeDocument/2006/relationships/image" Target="media/image37.emf"/><Relationship Id="rId78" Type="http://schemas.openxmlformats.org/officeDocument/2006/relationships/image" Target="media/image42.emf"/><Relationship Id="rId81" Type="http://schemas.openxmlformats.org/officeDocument/2006/relationships/image" Target="media/image44.emf"/><Relationship Id="rId86" Type="http://schemas.openxmlformats.org/officeDocument/2006/relationships/chart" Target="charts/chart26.xml"/><Relationship Id="rId94" Type="http://schemas.openxmlformats.org/officeDocument/2006/relationships/hyperlink" Target="http://www.likumi.lv/doc.php?id=33419&amp;from=off" TargetMode="External"/><Relationship Id="rId99" Type="http://schemas.openxmlformats.org/officeDocument/2006/relationships/hyperlink" Target="http://eur-lex.europa.eu/LexUriServ/LexUriServ.do?uri=CONSLEG:2001R0070:20070101:LV:HTML" TargetMode="External"/><Relationship Id="rId101" Type="http://schemas.openxmlformats.org/officeDocument/2006/relationships/hyperlink" Target="http://eur-lex.europa.eu/LexUriServ/LexUriServ.do?uri=OJ:L:2004:063:0022:01:LV:HTML" TargetMode="External"/><Relationship Id="rId122" Type="http://schemas.openxmlformats.org/officeDocument/2006/relationships/hyperlink" Target="http://www.likumi.lv/doc.php?id=253451" TargetMode="External"/><Relationship Id="rId130" Type="http://schemas.openxmlformats.org/officeDocument/2006/relationships/hyperlink" Target="http://www.likumi.lv/doc.php?id=253451" TargetMode="External"/><Relationship Id="rId135" Type="http://schemas.openxmlformats.org/officeDocument/2006/relationships/hyperlink" Target="http://www.likumi.lv/doc.php?id=253451" TargetMode="External"/><Relationship Id="rId143" Type="http://schemas.openxmlformats.org/officeDocument/2006/relationships/hyperlink" Target="http://www.likumi.lv/doc.php?id=253451" TargetMode="External"/><Relationship Id="rId148" Type="http://schemas.openxmlformats.org/officeDocument/2006/relationships/hyperlink" Target="http://www.likumi.lv/doc.php?id=253451" TargetMode="External"/><Relationship Id="rId151" Type="http://schemas.openxmlformats.org/officeDocument/2006/relationships/hyperlink" Target="http://www.likumi.lv/doc.php?id=253451" TargetMode="External"/><Relationship Id="rId156" Type="http://schemas.openxmlformats.org/officeDocument/2006/relationships/hyperlink" Target="http://www.likumi.lv/doc.php?id=253451" TargetMode="External"/><Relationship Id="rId164" Type="http://schemas.openxmlformats.org/officeDocument/2006/relationships/hyperlink" Target="http://www.likumi.lv/doc.php?id=253451" TargetMode="External"/><Relationship Id="rId16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footer" Target="footer3.xml"/><Relationship Id="rId13" Type="http://schemas.openxmlformats.org/officeDocument/2006/relationships/chart" Target="charts/chart2.xml"/><Relationship Id="rId18" Type="http://schemas.openxmlformats.org/officeDocument/2006/relationships/image" Target="media/image5.png"/><Relationship Id="rId39" Type="http://schemas.openxmlformats.org/officeDocument/2006/relationships/hyperlink" Target="http://www.sitra.fi/en" TargetMode="External"/><Relationship Id="rId109" Type="http://schemas.openxmlformats.org/officeDocument/2006/relationships/hyperlink" Target="http://www.likumi.lv/doc.php?id=33419&amp;from=off" TargetMode="External"/><Relationship Id="rId34" Type="http://schemas.openxmlformats.org/officeDocument/2006/relationships/chart" Target="charts/chart14.xml"/><Relationship Id="rId50" Type="http://schemas.openxmlformats.org/officeDocument/2006/relationships/image" Target="media/image19.emf"/><Relationship Id="rId55" Type="http://schemas.openxmlformats.org/officeDocument/2006/relationships/image" Target="media/image22.emf"/><Relationship Id="rId76" Type="http://schemas.openxmlformats.org/officeDocument/2006/relationships/image" Target="media/image40.png"/><Relationship Id="rId97" Type="http://schemas.openxmlformats.org/officeDocument/2006/relationships/hyperlink" Target="http://eur-lex.europa.eu/LexUriServ/LexUriServ.do?uri=OJ:L:2006:302:0029:01:LV:HTML" TargetMode="External"/><Relationship Id="rId104" Type="http://schemas.openxmlformats.org/officeDocument/2006/relationships/hyperlink" Target="http://www.likumi.lv/doc.php?id=33419&amp;from=off" TargetMode="External"/><Relationship Id="rId120" Type="http://schemas.openxmlformats.org/officeDocument/2006/relationships/hyperlink" Target="http://eur-lex.europa.eu/LexUriServ/LexUriServ.do?uri=OJ:L:2006:302:0029:01:LV:HTML" TargetMode="External"/><Relationship Id="rId125" Type="http://schemas.openxmlformats.org/officeDocument/2006/relationships/hyperlink" Target="http://www.likumi.lv/doc.php?id=253451" TargetMode="External"/><Relationship Id="rId141" Type="http://schemas.openxmlformats.org/officeDocument/2006/relationships/hyperlink" Target="http://www.likumi.lv/doc.php?id=253451" TargetMode="External"/><Relationship Id="rId146" Type="http://schemas.openxmlformats.org/officeDocument/2006/relationships/hyperlink" Target="http://www.likumi.lv/doc.php?id=253451" TargetMode="External"/><Relationship Id="rId167" Type="http://schemas.openxmlformats.org/officeDocument/2006/relationships/hyperlink" Target="http://www.likumi.lv/doc.php?id=253451" TargetMode="External"/><Relationship Id="rId7" Type="http://schemas.openxmlformats.org/officeDocument/2006/relationships/footnotes" Target="footnotes.xml"/><Relationship Id="rId71" Type="http://schemas.openxmlformats.org/officeDocument/2006/relationships/chart" Target="charts/chart21.xml"/><Relationship Id="rId92" Type="http://schemas.openxmlformats.org/officeDocument/2006/relationships/hyperlink" Target="http://www.likumi.lv/doc.php?id=61002" TargetMode="External"/><Relationship Id="rId162" Type="http://schemas.openxmlformats.org/officeDocument/2006/relationships/hyperlink" Target="http://www.likumi.lv/doc.php?id=253451" TargetMode="External"/><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chart" Target="charts/chart10.xml"/><Relationship Id="rId40" Type="http://schemas.openxmlformats.org/officeDocument/2006/relationships/hyperlink" Target="http://eur-lex.europa.eu/LexUriServ/LexUriServ.do?uri=OJ:L:2008:214:0003:01:LV:HTML" TargetMode="External"/><Relationship Id="rId45" Type="http://schemas.openxmlformats.org/officeDocument/2006/relationships/image" Target="media/image16.emf"/><Relationship Id="rId66" Type="http://schemas.openxmlformats.org/officeDocument/2006/relationships/image" Target="media/image31.emf"/><Relationship Id="rId87" Type="http://schemas.openxmlformats.org/officeDocument/2006/relationships/hyperlink" Target="http://www.likumi.lv/doc.php?id=61002" TargetMode="External"/><Relationship Id="rId110" Type="http://schemas.openxmlformats.org/officeDocument/2006/relationships/hyperlink" Target="http://www.likumi.lv/doc.php?id=33419&amp;from=off" TargetMode="External"/><Relationship Id="rId115" Type="http://schemas.openxmlformats.org/officeDocument/2006/relationships/hyperlink" Target="http://www.likumi.lv/doc.php?id=33419&amp;from=off" TargetMode="External"/><Relationship Id="rId131" Type="http://schemas.openxmlformats.org/officeDocument/2006/relationships/hyperlink" Target="http://www.likumi.lv/doc.php?id=253451" TargetMode="External"/><Relationship Id="rId136" Type="http://schemas.openxmlformats.org/officeDocument/2006/relationships/hyperlink" Target="http://www.likumi.lv/doc.php?id=253451" TargetMode="External"/><Relationship Id="rId157" Type="http://schemas.openxmlformats.org/officeDocument/2006/relationships/hyperlink" Target="http://www.likumi.lv/doc.php?id=253451" TargetMode="External"/><Relationship Id="rId61" Type="http://schemas.openxmlformats.org/officeDocument/2006/relationships/image" Target="media/image28.png"/><Relationship Id="rId82" Type="http://schemas.openxmlformats.org/officeDocument/2006/relationships/image" Target="media/image45.emf"/><Relationship Id="rId152" Type="http://schemas.openxmlformats.org/officeDocument/2006/relationships/hyperlink" Target="http://www.likumi.lv/doc.php?id=253451" TargetMode="External"/><Relationship Id="rId173" Type="http://schemas.openxmlformats.org/officeDocument/2006/relationships/header" Target="header4.xml"/><Relationship Id="rId19" Type="http://schemas.openxmlformats.org/officeDocument/2006/relationships/image" Target="media/image6.png"/><Relationship Id="rId14" Type="http://schemas.openxmlformats.org/officeDocument/2006/relationships/chart" Target="charts/chart3.xml"/><Relationship Id="rId30" Type="http://schemas.openxmlformats.org/officeDocument/2006/relationships/image" Target="media/image9.emf"/><Relationship Id="rId35" Type="http://schemas.openxmlformats.org/officeDocument/2006/relationships/hyperlink" Target="http://www.ibfd.org" TargetMode="External"/><Relationship Id="rId56" Type="http://schemas.openxmlformats.org/officeDocument/2006/relationships/image" Target="media/image23.emf"/><Relationship Id="rId77" Type="http://schemas.openxmlformats.org/officeDocument/2006/relationships/image" Target="media/image41.emf"/><Relationship Id="rId100" Type="http://schemas.openxmlformats.org/officeDocument/2006/relationships/hyperlink" Target="http://eur-lex.europa.eu/LexUriServ/LexUriServ.do?uri=OJ:L:2006:302:0029:01:LV:HTML" TargetMode="External"/><Relationship Id="rId105" Type="http://schemas.openxmlformats.org/officeDocument/2006/relationships/hyperlink" Target="http://eur-lex.europa.eu/LexUriServ/LexUriServ.do?uri=OJ:L:2006:302:0029:01:LV:HTML" TargetMode="External"/><Relationship Id="rId126" Type="http://schemas.openxmlformats.org/officeDocument/2006/relationships/hyperlink" Target="http://www.likumi.lv/doc.php?id=253451" TargetMode="External"/><Relationship Id="rId147" Type="http://schemas.openxmlformats.org/officeDocument/2006/relationships/hyperlink" Target="http://www.likumi.lv/doc.php?id=253451" TargetMode="External"/><Relationship Id="rId168" Type="http://schemas.openxmlformats.org/officeDocument/2006/relationships/hyperlink" Target="http://eur-lex.europa.eu/LexUriServ/LexUriServ.do?uri=OJ:L:2011:302:0016:01:LV:HTML" TargetMode="External"/><Relationship Id="rId8" Type="http://schemas.openxmlformats.org/officeDocument/2006/relationships/endnotes" Target="endnotes.xml"/><Relationship Id="rId51" Type="http://schemas.openxmlformats.org/officeDocument/2006/relationships/image" Target="media/image20.emf"/><Relationship Id="rId72" Type="http://schemas.openxmlformats.org/officeDocument/2006/relationships/image" Target="media/image36.emf"/><Relationship Id="rId93" Type="http://schemas.openxmlformats.org/officeDocument/2006/relationships/hyperlink" Target="http://www.likumi.lv/doc.php?id=33419&amp;from=off" TargetMode="External"/><Relationship Id="rId98" Type="http://schemas.openxmlformats.org/officeDocument/2006/relationships/hyperlink" Target="http://eur-lex.europa.eu/LexUriServ/LexUriServ.do?uri=OJ:L:2004:063:0022:01:LV:HTML" TargetMode="External"/><Relationship Id="rId121" Type="http://schemas.openxmlformats.org/officeDocument/2006/relationships/hyperlink" Target="http://www.likumi.lv/doc.php?id=253451" TargetMode="External"/><Relationship Id="rId142" Type="http://schemas.openxmlformats.org/officeDocument/2006/relationships/hyperlink" Target="http://www.likumi.lv/doc.php?id=253451" TargetMode="External"/><Relationship Id="rId163" Type="http://schemas.openxmlformats.org/officeDocument/2006/relationships/hyperlink" Target="http://www.likumi.lv/doc.php?id=253451" TargetMode="External"/><Relationship Id="rId3" Type="http://schemas.openxmlformats.org/officeDocument/2006/relationships/styles" Target="styles.xml"/><Relationship Id="rId25" Type="http://schemas.openxmlformats.org/officeDocument/2006/relationships/chart" Target="charts/chart11.xml"/><Relationship Id="rId46" Type="http://schemas.openxmlformats.org/officeDocument/2006/relationships/image" Target="media/image17.png"/><Relationship Id="rId67" Type="http://schemas.openxmlformats.org/officeDocument/2006/relationships/image" Target="media/image32.emf"/><Relationship Id="rId116" Type="http://schemas.openxmlformats.org/officeDocument/2006/relationships/hyperlink" Target="http://www.likumi.lv/doc.php?id=33419&amp;from=off" TargetMode="External"/><Relationship Id="rId137" Type="http://schemas.openxmlformats.org/officeDocument/2006/relationships/hyperlink" Target="http://www.likumi.lv/doc.php?id=253451" TargetMode="External"/><Relationship Id="rId158" Type="http://schemas.openxmlformats.org/officeDocument/2006/relationships/hyperlink" Target="http://www.likumi.lv/doc.php?id=253451" TargetMode="External"/><Relationship Id="rId20" Type="http://schemas.openxmlformats.org/officeDocument/2006/relationships/chart" Target="charts/chart6.xml"/><Relationship Id="rId41" Type="http://schemas.openxmlformats.org/officeDocument/2006/relationships/hyperlink" Target="http://eur-lex.europa.eu/LexUriServ/LexUriServ.do?uri=OJ:L:2008:214:0003:01:LV:HTML" TargetMode="External"/><Relationship Id="rId62" Type="http://schemas.openxmlformats.org/officeDocument/2006/relationships/image" Target="media/image29.png"/><Relationship Id="rId83" Type="http://schemas.openxmlformats.org/officeDocument/2006/relationships/chart" Target="charts/chart23.xml"/><Relationship Id="rId88" Type="http://schemas.openxmlformats.org/officeDocument/2006/relationships/hyperlink" Target="http://www.likumi.lv/doc.php?id=34094" TargetMode="External"/><Relationship Id="rId111" Type="http://schemas.openxmlformats.org/officeDocument/2006/relationships/hyperlink" Target="http://www.likumi.lv/doc.php?id=33419&amp;from=off" TargetMode="External"/><Relationship Id="rId132" Type="http://schemas.openxmlformats.org/officeDocument/2006/relationships/hyperlink" Target="http://www.likumi.lv/doc.php?id=253451" TargetMode="External"/><Relationship Id="rId153" Type="http://schemas.openxmlformats.org/officeDocument/2006/relationships/hyperlink" Target="http://www.likumi.lv/doc.php?id=253451" TargetMode="External"/><Relationship Id="rId174" Type="http://schemas.openxmlformats.org/officeDocument/2006/relationships/footer" Target="footer4.xml"/><Relationship Id="rId15" Type="http://schemas.openxmlformats.org/officeDocument/2006/relationships/chart" Target="charts/chart4.xml"/><Relationship Id="rId36" Type="http://schemas.openxmlformats.org/officeDocument/2006/relationships/hyperlink" Target="http://www.cia.gov" TargetMode="External"/><Relationship Id="rId57" Type="http://schemas.openxmlformats.org/officeDocument/2006/relationships/image" Target="media/image24.emf"/><Relationship Id="rId106" Type="http://schemas.openxmlformats.org/officeDocument/2006/relationships/hyperlink" Target="http://eur-lex.europa.eu/LexUriServ/LexUriServ.do?uri=OJ:L:2006:302:0029:01:LV:HTML" TargetMode="External"/><Relationship Id="rId127" Type="http://schemas.openxmlformats.org/officeDocument/2006/relationships/hyperlink" Target="http://www.likumi.lv/doc.php?id=25345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ikumi.lv/doc.php?id=184991" TargetMode="External"/><Relationship Id="rId13" Type="http://schemas.openxmlformats.org/officeDocument/2006/relationships/hyperlink" Target="http://www.likumi.lv/doc.php?id=254171" TargetMode="External"/><Relationship Id="rId18" Type="http://schemas.openxmlformats.org/officeDocument/2006/relationships/hyperlink" Target="http://www.likumi.lv/doc.php?id=183245" TargetMode="External"/><Relationship Id="rId26" Type="http://schemas.openxmlformats.org/officeDocument/2006/relationships/hyperlink" Target="http://www.likumi.lv/doc.php?id=238462" TargetMode="External"/><Relationship Id="rId39" Type="http://schemas.openxmlformats.org/officeDocument/2006/relationships/hyperlink" Target="http://www.vinnova.se/en/" TargetMode="External"/><Relationship Id="rId3" Type="http://schemas.openxmlformats.org/officeDocument/2006/relationships/hyperlink" Target="http://www.oecd.org/sti/ind/44210785.pdf" TargetMode="External"/><Relationship Id="rId21" Type="http://schemas.openxmlformats.org/officeDocument/2006/relationships/hyperlink" Target="http://www.likumi.lv/doc.php?id=238294" TargetMode="External"/><Relationship Id="rId34" Type="http://schemas.openxmlformats.org/officeDocument/2006/relationships/hyperlink" Target="http://www.mkm.ee/public/Ettevotlustoetuste_loppraport.pdf" TargetMode="External"/><Relationship Id="rId42" Type="http://schemas.openxmlformats.org/officeDocument/2006/relationships/hyperlink" Target="http://www.oseo.fr/votre_projet/se_developper/aides_et_financements/aides" TargetMode="External"/><Relationship Id="rId7" Type="http://schemas.openxmlformats.org/officeDocument/2006/relationships/hyperlink" Target="http://www.likumi.lv/doc.php?id=58057" TargetMode="External"/><Relationship Id="rId12" Type="http://schemas.openxmlformats.org/officeDocument/2006/relationships/hyperlink" Target="http://www.esfondi.lv/upload/04-kohezijas_politikas_nakotne/dp_aktivitates/2dp/FMProgr_240907.pdf" TargetMode="External"/><Relationship Id="rId17" Type="http://schemas.openxmlformats.org/officeDocument/2006/relationships/hyperlink" Target="http://www.likumi.lv/doc.php?id=172703" TargetMode="External"/><Relationship Id="rId25" Type="http://schemas.openxmlformats.org/officeDocument/2006/relationships/hyperlink" Target="http://www.likumi.lv/doc.php?id=238455" TargetMode="External"/><Relationship Id="rId33" Type="http://schemas.openxmlformats.org/officeDocument/2006/relationships/hyperlink" Target="http://www.practica.lt" TargetMode="External"/><Relationship Id="rId38" Type="http://schemas.openxmlformats.org/officeDocument/2006/relationships/hyperlink" Target="http://www.investinspain.org/icex/cda/controller/interes/0,5464,5322992_6261692_6278959_0,00.html" TargetMode="External"/><Relationship Id="rId2" Type="http://schemas.openxmlformats.org/officeDocument/2006/relationships/hyperlink" Target="http://ec.europa.eu/research/era/instruments/instruments/state_aid_de.htm" TargetMode="External"/><Relationship Id="rId16" Type="http://schemas.openxmlformats.org/officeDocument/2006/relationships/hyperlink" Target="http://www.likumi.lv/doc.php?id=209078" TargetMode="External"/><Relationship Id="rId20" Type="http://schemas.openxmlformats.org/officeDocument/2006/relationships/hyperlink" Target="http://www.likumi.lv/doc.php?id=183245" TargetMode="External"/><Relationship Id="rId29" Type="http://schemas.openxmlformats.org/officeDocument/2006/relationships/hyperlink" Target="http://www.likumi.lv/doc.php?id=234581" TargetMode="External"/><Relationship Id="rId41" Type="http://schemas.openxmlformats.org/officeDocument/2006/relationships/hyperlink" Target="http://www.answersforbusiness.nl/subsidies/innovation/research-development" TargetMode="External"/><Relationship Id="rId1" Type="http://schemas.openxmlformats.org/officeDocument/2006/relationships/hyperlink" Target="http://www.oecd.org/sti/ind/44210785.pdf" TargetMode="External"/><Relationship Id="rId6" Type="http://schemas.openxmlformats.org/officeDocument/2006/relationships/hyperlink" Target="http://www.likumi.lv/doc.php?id=244949" TargetMode="External"/><Relationship Id="rId11" Type="http://schemas.openxmlformats.org/officeDocument/2006/relationships/hyperlink" Target="http://www.likumi.lv/doc.php?id=172475" TargetMode="External"/><Relationship Id="rId24" Type="http://schemas.openxmlformats.org/officeDocument/2006/relationships/hyperlink" Target="http://www.likumi.lv/doc.php?id=189065" TargetMode="External"/><Relationship Id="rId32" Type="http://schemas.openxmlformats.org/officeDocument/2006/relationships/hyperlink" Target="http://www.verslilietuva.lt" TargetMode="External"/><Relationship Id="rId37" Type="http://schemas.openxmlformats.org/officeDocument/2006/relationships/hyperlink" Target="http://www.investingreece.gov.gr/default.asp?pid=180&amp;la=1" TargetMode="External"/><Relationship Id="rId40" Type="http://schemas.openxmlformats.org/officeDocument/2006/relationships/hyperlink" Target="http://www.sisp.se/?language=en" TargetMode="External"/><Relationship Id="rId5" Type="http://schemas.openxmlformats.org/officeDocument/2006/relationships/hyperlink" Target="http://www.likumi.lv/doc.php?id=87480" TargetMode="External"/><Relationship Id="rId15" Type="http://schemas.openxmlformats.org/officeDocument/2006/relationships/hyperlink" Target="http://www.likumi.lv/doc.php?id=228665" TargetMode="External"/><Relationship Id="rId23" Type="http://schemas.openxmlformats.org/officeDocument/2006/relationships/hyperlink" Target="http://likumi.lv/doc.php?id=183034" TargetMode="External"/><Relationship Id="rId28" Type="http://schemas.openxmlformats.org/officeDocument/2006/relationships/hyperlink" Target="http://www.likumi.lv/doc.php?id=189263" TargetMode="External"/><Relationship Id="rId36" Type="http://schemas.openxmlformats.org/officeDocument/2006/relationships/hyperlink" Target="http://www.investingreece.gov.gr" TargetMode="External"/><Relationship Id="rId10" Type="http://schemas.openxmlformats.org/officeDocument/2006/relationships/hyperlink" Target="http://www.likumi.lv/doc.php?id=246032" TargetMode="External"/><Relationship Id="rId19" Type="http://schemas.openxmlformats.org/officeDocument/2006/relationships/hyperlink" Target="http://www.likumi.lv/doc.php?id=219070" TargetMode="External"/><Relationship Id="rId31" Type="http://schemas.openxmlformats.org/officeDocument/2006/relationships/hyperlink" Target="http://www.mita.lt" TargetMode="External"/><Relationship Id="rId4" Type="http://schemas.openxmlformats.org/officeDocument/2006/relationships/hyperlink" Target="http://www.likumi.lv/doc.php?id=153465" TargetMode="External"/><Relationship Id="rId9" Type="http://schemas.openxmlformats.org/officeDocument/2006/relationships/hyperlink" Target="http://www.waipa.org/members.htm" TargetMode="External"/><Relationship Id="rId14" Type="http://schemas.openxmlformats.org/officeDocument/2006/relationships/hyperlink" Target="http://www.likumi.lv/doc.php?id=198720" TargetMode="External"/><Relationship Id="rId22" Type="http://schemas.openxmlformats.org/officeDocument/2006/relationships/hyperlink" Target="http://www.likumi.lv/doc.php?id=189067" TargetMode="External"/><Relationship Id="rId27" Type="http://schemas.openxmlformats.org/officeDocument/2006/relationships/hyperlink" Target="http://www.likumi.lv/doc.php?id=189264" TargetMode="External"/><Relationship Id="rId30" Type="http://schemas.openxmlformats.org/officeDocument/2006/relationships/hyperlink" Target="http://www.hipo.lv/lv/attistibas_programmas/mvu_izaugsmes_aizdevums" TargetMode="External"/><Relationship Id="rId35" Type="http://schemas.openxmlformats.org/officeDocument/2006/relationships/hyperlink" Target="http://books.google.lv/books?id=tcDggX8E9twC&amp;pg=PA256&amp;redir_esc=y" TargetMode="External"/><Relationship Id="rId43" Type="http://schemas.openxmlformats.org/officeDocument/2006/relationships/hyperlink" Target="http://www.oseo.fr/votre_projet/se_developper/aides_et_financements/financements_bancair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7.jpeg"/><Relationship Id="rId1" Type="http://schemas.openxmlformats.org/officeDocument/2006/relationships/image" Target="media/image46.jpeg"/></Relationships>
</file>

<file path=word/charts/_rels/chart1.xml.rels><?xml version="1.0" encoding="UTF-8" standalone="yes"?>
<Relationships xmlns="http://schemas.openxmlformats.org/package/2006/relationships"><Relationship Id="rId2" Type="http://schemas.openxmlformats.org/officeDocument/2006/relationships/oleObject" Target="file:///\\KONSORTS-NAS\files\Personals\KT\PROJECTS%202013\R&amp;D\DATI\EUROSTAT\R&amp;D_USA%20BRICS...%202000-2009.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KONSORTS-NAS\files\Personals\KT\PROJECTS%202013\R&amp;D\DATI\LR%20CSP\Latvija_IKP_izlietojums%20_ZP%20izdevumi_R&amp;D.xls"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KONSORTS-NAS\files\Personals\KT\PROJECTS%202013\R&amp;D\DATI\LR%20CSP\CSP_Latvija_INOV2008-2010_uz&#326;%20skaits_NA_izd.xls"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KONSORTS-NAS\files\Personals\KT\PROJECTS%202013\R&amp;D\DATI\LR%20CSP\CSP_Latvija_INOV2008-2010_uz&#326;%20skaits_NA_izd.xls"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KONSORTS-NAS\files\Personals\KT\PROJECTS%202013\R&amp;D\DATI\LR%20CSP\Latvija_IKP_izlietojums%20_ZP%20izdevumi_R&amp;D.xls"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1.xlsx"/></Relationships>
</file>

<file path=word/charts/_rels/chart15.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9.04.2013\MIKROmod_21.versija_1%20gads_revers_%2029.04.2013.xls" TargetMode="External"/><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9.04.2013\MIKROmod_21.versija_1%20gads_revers_%2029.04.2013.xls" TargetMode="External"/><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9.04.2013\MIKROmod_21.versija_1%20gads_revers_%2029.04.2013.xls" TargetMode="External"/><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9.04.2013\MIKROmod_21.versija_1%20gads_revers_%2029.04.2013.xls" TargetMode="External"/><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5.04.2013\MIKROmod_21.versija_1%20gads_revers_%2024.04.2013.xls" TargetMode="External"/><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oleObject" Target="file:///\\KONSORTS-NAS\files\Personals\KT\PROJECTS%202013\R&amp;D\DATI\EUROSTAT\R&amp;D_USA%20BRICS...%202000-2009.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E:\KONSORTA%20projekti\R&amp;D\Konsorta%20materi&#257;li\MIKROmod_11_1%20gads%20DA%20baze%20CONST_%2023.04.2013.xls" TargetMode="External"/><Relationship Id="rId1" Type="http://schemas.openxmlformats.org/officeDocument/2006/relationships/themeOverride" Target="../theme/themeOverride19.xm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KONSORTS-NAS\files\Personals\KT\PROJECTS%202013\R&amp;D\Konsorta%20materi&#257;li\12.06.2013_papildus%20apr&#275;&#311;ini_MAZIE\MIKROmod_33.versija_1%20gads_%2012.06.2013.xls" TargetMode="External"/></Relationships>
</file>

<file path=word/charts/_rels/chart22.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5.04.2013\MIKROmod_21.versija_1%20gads_revers_%2024.04.2013.xls" TargetMode="External"/><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6.042013\MIKROmod_21.versija_1%20gads_revers_%2024.04.2013.xls" TargetMode="External"/><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oleObject" Target="file:///\\KONSORTS-NAS\files\Personals\KT\PROJECTS%202013\R&amp;D\Konsorta%20materi&#257;li\26.042013\MIKROmod_21.versija_1%20gads_revers_%2024.04.2013.xls" TargetMode="External"/><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1" Type="http://schemas.openxmlformats.org/officeDocument/2006/relationships/oleObject" Target="file:///\\KONSORTS-NAS\files\Personals\KT\PROJECTS%202013\R&amp;D\Konsorta%20materi&#257;li\12.06.2013_papildus%20apr&#275;&#311;ini_MAZIE\MIKROmod_33.versija_1%20gads_%2012.06.2013.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E:\KONSORTA%20projekti\R&amp;D\Konsorta%20materi&#257;li\10.06.2013_papildus%20apr&#275;&#311;ini\MIKROmod_33.versija_%20prognoze_12.06.2013.xls" TargetMode="Externa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KONSORTS-NAS\files\Personals\KT\PROJECTS%202013\R&amp;D\DATI\EUROSTAT\R&amp;D_expenditures_2000-2011_avoti.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KONSORTS-NAS\files\Personals\KT\PROJECTS%202013\R&amp;D\DATI\EUROSTAT\R&amp;D_expenditures_2000-2011_avoti.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KONSORTS-NAS\files\Personals\KT\PROJECTS%202013\R&amp;D\DATI\EUROSTAT\R&amp;D_expenditures_2000-2011_avoti.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KONSORTS-NAS\files\Personals\KT\PROJECTS%202013\R&amp;D\DATI\EUROSTAT\INNOVATION%20index.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KONSORTS-NAS\files\Personals\KT\PROJECTS%202013\R&amp;D\DATI\EUROSTAT\R&amp;D_expenditures_2000-2011_kur.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KONSORTS-NAS\files\Personals\KT\PROJECTS%202013\R&amp;D\DATI\LR%20CSP\Latvija_IKP_izlietojums%20_ZP%20izdevumi_R&amp;D.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KONSORTS-NAS\files\Personals\KT\PROJECTS%202013\R&amp;D\DATI\LR%20CSP\Latvija_IKP_izlietojums%20_ZP%20izdevumi_R&amp;D.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400"/>
            </a:pPr>
            <a:r>
              <a:rPr lang="lv-LV" sz="1400"/>
              <a:t>Participation in global R&amp;D, 2000</a:t>
            </a:r>
          </a:p>
        </c:rich>
      </c:tx>
      <c:layout>
        <c:manualLayout>
          <c:xMode val="edge"/>
          <c:yMode val="edge"/>
          <c:x val="0.32476458961148391"/>
          <c:y val="2.4502451662995497E-2"/>
        </c:manualLayout>
      </c:layout>
      <c:overlay val="1"/>
    </c:title>
    <c:autoTitleDeleted val="0"/>
    <c:plotArea>
      <c:layout>
        <c:manualLayout>
          <c:layoutTarget val="inner"/>
          <c:xMode val="edge"/>
          <c:yMode val="edge"/>
          <c:x val="0.25769320390810341"/>
          <c:y val="0.11626531031575482"/>
          <c:w val="0.70722678285404672"/>
          <c:h val="0.49576981735501935"/>
        </c:manualLayout>
      </c:layout>
      <c:barChart>
        <c:barDir val="bar"/>
        <c:grouping val="percentStacked"/>
        <c:varyColors val="0"/>
        <c:ser>
          <c:idx val="0"/>
          <c:order val="0"/>
          <c:tx>
            <c:strRef>
              <c:f>'USA 2008 '!$A$12</c:f>
              <c:strCache>
                <c:ptCount val="1"/>
                <c:pt idx="0">
                  <c:v>EU</c:v>
                </c:pt>
              </c:strCache>
            </c:strRef>
          </c:tx>
          <c:invertIfNegative val="0"/>
          <c:dLbls>
            <c:txPr>
              <a:bodyPr/>
              <a:lstStyle/>
              <a:p>
                <a:pPr>
                  <a:defRPr b="1"/>
                </a:pPr>
                <a:endParaRPr lang="lv-LV"/>
              </a:p>
            </c:txPr>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'!$B$12:$E$12</c:f>
              <c:numCache>
                <c:formatCode>General</c:formatCode>
                <c:ptCount val="4"/>
                <c:pt idx="0">
                  <c:v>22.3</c:v>
                </c:pt>
                <c:pt idx="1">
                  <c:v>26.5</c:v>
                </c:pt>
                <c:pt idx="2">
                  <c:v>33.200000000000003</c:v>
                </c:pt>
                <c:pt idx="3" formatCode="0.0">
                  <c:v>36</c:v>
                </c:pt>
              </c:numCache>
            </c:numRef>
          </c:val>
        </c:ser>
        <c:ser>
          <c:idx val="1"/>
          <c:order val="1"/>
          <c:tx>
            <c:strRef>
              <c:f>'USA 2008 '!$A$13</c:f>
              <c:strCache>
                <c:ptCount val="1"/>
                <c:pt idx="0">
                  <c:v>United States</c:v>
                </c:pt>
              </c:strCache>
            </c:strRef>
          </c:tx>
          <c:invertIfNegative val="0"/>
          <c:dLbls>
            <c:txPr>
              <a:bodyPr/>
              <a:lstStyle/>
              <a:p>
                <a:pPr>
                  <a:defRPr b="1"/>
                </a:pPr>
                <a:endParaRPr lang="lv-LV"/>
              </a:p>
            </c:txPr>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'!$B$13:$E$13</c:f>
              <c:numCache>
                <c:formatCode>General</c:formatCode>
                <c:ptCount val="4"/>
                <c:pt idx="0">
                  <c:v>25.8</c:v>
                </c:pt>
                <c:pt idx="1">
                  <c:v>38.6</c:v>
                </c:pt>
                <c:pt idx="2">
                  <c:v>40.800000000000004</c:v>
                </c:pt>
                <c:pt idx="3">
                  <c:v>39.800000000000004</c:v>
                </c:pt>
              </c:numCache>
            </c:numRef>
          </c:val>
        </c:ser>
        <c:ser>
          <c:idx val="2"/>
          <c:order val="2"/>
          <c:tx>
            <c:strRef>
              <c:f>'USA 2008 '!$A$14</c:f>
              <c:strCache>
                <c:ptCount val="1"/>
                <c:pt idx="0">
                  <c:v>Developed Asian Economies (JP+KR+SG+TW)</c:v>
                </c:pt>
              </c:strCache>
            </c:strRef>
          </c:tx>
          <c:invertIfNegative val="0"/>
          <c:dLbls>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'!$B$14:$E$14</c:f>
              <c:numCache>
                <c:formatCode>General</c:formatCode>
                <c:ptCount val="4"/>
                <c:pt idx="0">
                  <c:v>16.5</c:v>
                </c:pt>
                <c:pt idx="1">
                  <c:v>18.5</c:v>
                </c:pt>
                <c:pt idx="2">
                  <c:v>7.3</c:v>
                </c:pt>
                <c:pt idx="3">
                  <c:v>12.8</c:v>
                </c:pt>
              </c:numCache>
            </c:numRef>
          </c:val>
        </c:ser>
        <c:ser>
          <c:idx val="3"/>
          <c:order val="3"/>
          <c:tx>
            <c:strRef>
              <c:f>'USA 2008 '!$A$15</c:f>
              <c:strCache>
                <c:ptCount val="1"/>
                <c:pt idx="0">
                  <c:v>China</c:v>
                </c:pt>
              </c:strCache>
            </c:strRef>
          </c:tx>
          <c:invertIfNegative val="0"/>
          <c:dLbls>
            <c:dLbl>
              <c:idx val="2"/>
              <c:delete val="1"/>
            </c:dLbl>
            <c:dLbl>
              <c:idx val="3"/>
              <c:delete val="1"/>
            </c:dLbl>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'!$B$15:$E$15</c:f>
              <c:numCache>
                <c:formatCode>General</c:formatCode>
                <c:ptCount val="4"/>
                <c:pt idx="0">
                  <c:v>13.9</c:v>
                </c:pt>
                <c:pt idx="1">
                  <c:v>3.9</c:v>
                </c:pt>
                <c:pt idx="2">
                  <c:v>2.5</c:v>
                </c:pt>
                <c:pt idx="3">
                  <c:v>1.5</c:v>
                </c:pt>
              </c:numCache>
            </c:numRef>
          </c:val>
        </c:ser>
        <c:ser>
          <c:idx val="4"/>
          <c:order val="4"/>
          <c:tx>
            <c:strRef>
              <c:f>'USA 2008 '!$A$16</c:f>
              <c:strCache>
                <c:ptCount val="1"/>
                <c:pt idx="0">
                  <c:v>BRIS(BR+RU+IN+ZA)</c:v>
                </c:pt>
              </c:strCache>
            </c:strRef>
          </c:tx>
          <c:invertIfNegative val="0"/>
          <c:dLbls>
            <c:dLbl>
              <c:idx val="2"/>
              <c:delete val="1"/>
            </c:dLbl>
            <c:dLbl>
              <c:idx val="3"/>
              <c:delete val="1"/>
            </c:dLbl>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'!$B$16:$E$16</c:f>
              <c:numCache>
                <c:formatCode>General</c:formatCode>
                <c:ptCount val="4"/>
                <c:pt idx="0">
                  <c:v>14</c:v>
                </c:pt>
                <c:pt idx="1">
                  <c:v>5.5</c:v>
                </c:pt>
                <c:pt idx="2">
                  <c:v>1.7</c:v>
                </c:pt>
                <c:pt idx="3">
                  <c:v>1.4</c:v>
                </c:pt>
              </c:numCache>
            </c:numRef>
          </c:val>
        </c:ser>
        <c:ser>
          <c:idx val="5"/>
          <c:order val="5"/>
          <c:tx>
            <c:strRef>
              <c:f>'USA 2008 '!$A$17</c:f>
              <c:strCache>
                <c:ptCount val="1"/>
                <c:pt idx="0">
                  <c:v>Rest of the World</c:v>
                </c:pt>
              </c:strCache>
            </c:strRef>
          </c:tx>
          <c:invertIfNegative val="0"/>
          <c:dLbls>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'!$B$17:$E$17</c:f>
              <c:numCache>
                <c:formatCode>General</c:formatCode>
                <c:ptCount val="4"/>
                <c:pt idx="0">
                  <c:v>7.4</c:v>
                </c:pt>
                <c:pt idx="1">
                  <c:v>7</c:v>
                </c:pt>
                <c:pt idx="2">
                  <c:v>14.5</c:v>
                </c:pt>
                <c:pt idx="3">
                  <c:v>8.5</c:v>
                </c:pt>
              </c:numCache>
            </c:numRef>
          </c:val>
        </c:ser>
        <c:dLbls>
          <c:showLegendKey val="0"/>
          <c:showVal val="0"/>
          <c:showCatName val="0"/>
          <c:showSerName val="0"/>
          <c:showPercent val="0"/>
          <c:showBubbleSize val="0"/>
        </c:dLbls>
        <c:gapWidth val="50"/>
        <c:overlap val="100"/>
        <c:axId val="59380864"/>
        <c:axId val="59382400"/>
      </c:barChart>
      <c:catAx>
        <c:axId val="59380864"/>
        <c:scaling>
          <c:orientation val="minMax"/>
        </c:scaling>
        <c:delete val="0"/>
        <c:axPos val="l"/>
        <c:numFmt formatCode="General" sourceLinked="1"/>
        <c:majorTickMark val="out"/>
        <c:minorTickMark val="none"/>
        <c:tickLblPos val="nextTo"/>
        <c:txPr>
          <a:bodyPr/>
          <a:lstStyle/>
          <a:p>
            <a:pPr>
              <a:defRPr sz="1200" b="1"/>
            </a:pPr>
            <a:endParaRPr lang="lv-LV"/>
          </a:p>
        </c:txPr>
        <c:crossAx val="59382400"/>
        <c:crosses val="autoZero"/>
        <c:auto val="1"/>
        <c:lblAlgn val="ctr"/>
        <c:lblOffset val="100"/>
        <c:noMultiLvlLbl val="0"/>
      </c:catAx>
      <c:valAx>
        <c:axId val="59382400"/>
        <c:scaling>
          <c:orientation val="minMax"/>
        </c:scaling>
        <c:delete val="0"/>
        <c:axPos val="b"/>
        <c:majorGridlines/>
        <c:numFmt formatCode="0%" sourceLinked="1"/>
        <c:majorTickMark val="out"/>
        <c:minorTickMark val="none"/>
        <c:tickLblPos val="nextTo"/>
        <c:txPr>
          <a:bodyPr/>
          <a:lstStyle/>
          <a:p>
            <a:pPr>
              <a:defRPr b="1"/>
            </a:pPr>
            <a:endParaRPr lang="lv-LV"/>
          </a:p>
        </c:txPr>
        <c:crossAx val="59380864"/>
        <c:crosses val="autoZero"/>
        <c:crossBetween val="between"/>
      </c:valAx>
      <c:spPr>
        <a:solidFill>
          <a:schemeClr val="bg1">
            <a:lumMod val="85000"/>
          </a:schemeClr>
        </a:solidFill>
      </c:spPr>
    </c:plotArea>
    <c:legend>
      <c:legendPos val="b"/>
      <c:layout>
        <c:manualLayout>
          <c:xMode val="edge"/>
          <c:yMode val="edge"/>
          <c:x val="0.18867783502370847"/>
          <c:y val="0.73264467343511386"/>
          <c:w val="0.72089735696618196"/>
          <c:h val="0.22651070545442273"/>
        </c:manualLayout>
      </c:layout>
      <c:overlay val="0"/>
      <c:txPr>
        <a:bodyPr/>
        <a:lstStyle/>
        <a:p>
          <a:pPr>
            <a:defRPr b="1"/>
          </a:pPr>
          <a:endParaRPr lang="lv-LV"/>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8"/>
    </mc:Choice>
    <mc:Fallback>
      <c:style val="2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557961504811971E-2"/>
          <c:y val="0.11196959755030615"/>
          <c:w val="0.87655314960629926"/>
          <c:h val="0.67019867308253189"/>
        </c:manualLayout>
      </c:layout>
      <c:barChart>
        <c:barDir val="col"/>
        <c:grouping val="clustered"/>
        <c:varyColors val="0"/>
        <c:ser>
          <c:idx val="0"/>
          <c:order val="0"/>
          <c:tx>
            <c:strRef>
              <c:f>'E27_R&amp;D'!$A$42</c:f>
              <c:strCache>
                <c:ptCount val="1"/>
                <c:pt idx="0">
                  <c:v>Latvija</c:v>
                </c:pt>
              </c:strCache>
            </c:strRef>
          </c:tx>
          <c:spPr>
            <a:solidFill>
              <a:schemeClr val="tx2">
                <a:lumMod val="60000"/>
                <a:lumOff val="40000"/>
              </a:schemeClr>
            </a:solidFill>
          </c:spPr>
          <c:invertIfNegative val="0"/>
          <c:cat>
            <c:strRef>
              <c:f>'E27_R&amp;D'!$B$41:$I$41</c:f>
              <c:strCache>
                <c:ptCount val="8"/>
                <c:pt idx="0">
                  <c:v>2004</c:v>
                </c:pt>
                <c:pt idx="1">
                  <c:v>2005</c:v>
                </c:pt>
                <c:pt idx="2">
                  <c:v>2006</c:v>
                </c:pt>
                <c:pt idx="3">
                  <c:v>2007</c:v>
                </c:pt>
                <c:pt idx="4">
                  <c:v>2008</c:v>
                </c:pt>
                <c:pt idx="5">
                  <c:v>2009</c:v>
                </c:pt>
                <c:pt idx="6">
                  <c:v>2010</c:v>
                </c:pt>
                <c:pt idx="7">
                  <c:v>2011</c:v>
                </c:pt>
              </c:strCache>
            </c:strRef>
          </c:cat>
          <c:val>
            <c:numRef>
              <c:f>'E27_R&amp;D'!$B$42:$I$42</c:f>
              <c:numCache>
                <c:formatCode>General</c:formatCode>
                <c:ptCount val="8"/>
                <c:pt idx="0">
                  <c:v>0.19</c:v>
                </c:pt>
                <c:pt idx="1">
                  <c:v>0.23</c:v>
                </c:pt>
                <c:pt idx="2">
                  <c:v>0.35000000000000009</c:v>
                </c:pt>
                <c:pt idx="3">
                  <c:v>0.19</c:v>
                </c:pt>
                <c:pt idx="4">
                  <c:v>0.15000000000000005</c:v>
                </c:pt>
                <c:pt idx="5">
                  <c:v>0.17</c:v>
                </c:pt>
                <c:pt idx="6">
                  <c:v>0.22</c:v>
                </c:pt>
                <c:pt idx="7">
                  <c:v>0.19</c:v>
                </c:pt>
              </c:numCache>
            </c:numRef>
          </c:val>
        </c:ser>
        <c:ser>
          <c:idx val="1"/>
          <c:order val="1"/>
          <c:tx>
            <c:strRef>
              <c:f>'E27_R&amp;D'!$A$43</c:f>
              <c:strCache>
                <c:ptCount val="1"/>
                <c:pt idx="0">
                  <c:v>Lietuva</c:v>
                </c:pt>
              </c:strCache>
            </c:strRef>
          </c:tx>
          <c:spPr>
            <a:solidFill>
              <a:schemeClr val="bg1">
                <a:lumMod val="85000"/>
              </a:schemeClr>
            </a:solidFill>
          </c:spPr>
          <c:invertIfNegative val="0"/>
          <c:cat>
            <c:strRef>
              <c:f>'E27_R&amp;D'!$B$41:$I$41</c:f>
              <c:strCache>
                <c:ptCount val="8"/>
                <c:pt idx="0">
                  <c:v>2004</c:v>
                </c:pt>
                <c:pt idx="1">
                  <c:v>2005</c:v>
                </c:pt>
                <c:pt idx="2">
                  <c:v>2006</c:v>
                </c:pt>
                <c:pt idx="3">
                  <c:v>2007</c:v>
                </c:pt>
                <c:pt idx="4">
                  <c:v>2008</c:v>
                </c:pt>
                <c:pt idx="5">
                  <c:v>2009</c:v>
                </c:pt>
                <c:pt idx="6">
                  <c:v>2010</c:v>
                </c:pt>
                <c:pt idx="7">
                  <c:v>2011</c:v>
                </c:pt>
              </c:strCache>
            </c:strRef>
          </c:cat>
          <c:val>
            <c:numRef>
              <c:f>'E27_R&amp;D'!$B$43:$I$43</c:f>
              <c:numCache>
                <c:formatCode>General</c:formatCode>
                <c:ptCount val="8"/>
                <c:pt idx="0">
                  <c:v>0.16</c:v>
                </c:pt>
                <c:pt idx="1">
                  <c:v>0.15000000000000005</c:v>
                </c:pt>
                <c:pt idx="2">
                  <c:v>0.22</c:v>
                </c:pt>
                <c:pt idx="3">
                  <c:v>0.23</c:v>
                </c:pt>
                <c:pt idx="4">
                  <c:v>0.19</c:v>
                </c:pt>
                <c:pt idx="5">
                  <c:v>0.2</c:v>
                </c:pt>
                <c:pt idx="6">
                  <c:v>0.23</c:v>
                </c:pt>
                <c:pt idx="7">
                  <c:v>0.24000000000000005</c:v>
                </c:pt>
              </c:numCache>
            </c:numRef>
          </c:val>
        </c:ser>
        <c:ser>
          <c:idx val="2"/>
          <c:order val="2"/>
          <c:tx>
            <c:strRef>
              <c:f>'E27_R&amp;D'!$A$44</c:f>
              <c:strCache>
                <c:ptCount val="1"/>
                <c:pt idx="0">
                  <c:v>Igaunija</c:v>
                </c:pt>
              </c:strCache>
            </c:strRef>
          </c:tx>
          <c:spPr>
            <a:solidFill>
              <a:schemeClr val="accent6">
                <a:lumMod val="60000"/>
                <a:lumOff val="40000"/>
              </a:schemeClr>
            </a:solidFill>
          </c:spPr>
          <c:invertIfNegative val="0"/>
          <c:cat>
            <c:strRef>
              <c:f>'E27_R&amp;D'!$B$41:$I$41</c:f>
              <c:strCache>
                <c:ptCount val="8"/>
                <c:pt idx="0">
                  <c:v>2004</c:v>
                </c:pt>
                <c:pt idx="1">
                  <c:v>2005</c:v>
                </c:pt>
                <c:pt idx="2">
                  <c:v>2006</c:v>
                </c:pt>
                <c:pt idx="3">
                  <c:v>2007</c:v>
                </c:pt>
                <c:pt idx="4">
                  <c:v>2008</c:v>
                </c:pt>
                <c:pt idx="5">
                  <c:v>2009</c:v>
                </c:pt>
                <c:pt idx="6">
                  <c:v>2010</c:v>
                </c:pt>
                <c:pt idx="7">
                  <c:v>2011</c:v>
                </c:pt>
              </c:strCache>
            </c:strRef>
          </c:cat>
          <c:val>
            <c:numRef>
              <c:f>'E27_R&amp;D'!$B$44:$I$44</c:f>
              <c:numCache>
                <c:formatCode>General</c:formatCode>
                <c:ptCount val="8"/>
                <c:pt idx="0">
                  <c:v>0.33000000000000013</c:v>
                </c:pt>
                <c:pt idx="1">
                  <c:v>0.4200000000000001</c:v>
                </c:pt>
                <c:pt idx="2">
                  <c:v>0.5</c:v>
                </c:pt>
                <c:pt idx="3">
                  <c:v>0.51</c:v>
                </c:pt>
                <c:pt idx="4">
                  <c:v>0.55000000000000004</c:v>
                </c:pt>
                <c:pt idx="5">
                  <c:v>0.64000000000000024</c:v>
                </c:pt>
                <c:pt idx="6">
                  <c:v>0.82000000000000017</c:v>
                </c:pt>
                <c:pt idx="7">
                  <c:v>1.49</c:v>
                </c:pt>
              </c:numCache>
            </c:numRef>
          </c:val>
        </c:ser>
        <c:dLbls>
          <c:showLegendKey val="0"/>
          <c:showVal val="0"/>
          <c:showCatName val="0"/>
          <c:showSerName val="0"/>
          <c:showPercent val="0"/>
          <c:showBubbleSize val="0"/>
        </c:dLbls>
        <c:gapWidth val="150"/>
        <c:axId val="57150080"/>
        <c:axId val="57160448"/>
      </c:barChart>
      <c:lineChart>
        <c:grouping val="standard"/>
        <c:varyColors val="0"/>
        <c:ser>
          <c:idx val="3"/>
          <c:order val="3"/>
          <c:tx>
            <c:strRef>
              <c:f>'E27_R&amp;D'!$A$45</c:f>
              <c:strCache>
                <c:ptCount val="1"/>
                <c:pt idx="0">
                  <c:v>ES27</c:v>
                </c:pt>
              </c:strCache>
            </c:strRef>
          </c:tx>
          <c:spPr>
            <a:ln w="28575">
              <a:solidFill>
                <a:schemeClr val="tx2">
                  <a:lumMod val="75000"/>
                </a:schemeClr>
              </a:solidFill>
            </a:ln>
          </c:spPr>
          <c:marker>
            <c:symbol val="circle"/>
            <c:size val="4"/>
            <c:spPr>
              <a:solidFill>
                <a:schemeClr val="bg1"/>
              </a:solidFill>
              <a:ln w="28575">
                <a:solidFill>
                  <a:schemeClr val="bg1"/>
                </a:solidFill>
              </a:ln>
            </c:spPr>
          </c:marker>
          <c:cat>
            <c:strRef>
              <c:f>'E27_R&amp;D'!$B$41:$I$41</c:f>
              <c:strCache>
                <c:ptCount val="8"/>
                <c:pt idx="0">
                  <c:v>2004</c:v>
                </c:pt>
                <c:pt idx="1">
                  <c:v>2005</c:v>
                </c:pt>
                <c:pt idx="2">
                  <c:v>2006</c:v>
                </c:pt>
                <c:pt idx="3">
                  <c:v>2007</c:v>
                </c:pt>
                <c:pt idx="4">
                  <c:v>2008</c:v>
                </c:pt>
                <c:pt idx="5">
                  <c:v>2009</c:v>
                </c:pt>
                <c:pt idx="6">
                  <c:v>2010</c:v>
                </c:pt>
                <c:pt idx="7">
                  <c:v>2011</c:v>
                </c:pt>
              </c:strCache>
            </c:strRef>
          </c:cat>
          <c:val>
            <c:numRef>
              <c:f>'E27_R&amp;D'!$B$45:$I$45</c:f>
              <c:numCache>
                <c:formatCode>General</c:formatCode>
                <c:ptCount val="8"/>
                <c:pt idx="0">
                  <c:v>1.1599999999999995</c:v>
                </c:pt>
                <c:pt idx="1">
                  <c:v>1.1499999999999995</c:v>
                </c:pt>
                <c:pt idx="2">
                  <c:v>1.1700000000000004</c:v>
                </c:pt>
                <c:pt idx="3">
                  <c:v>1.1800000000000004</c:v>
                </c:pt>
                <c:pt idx="4">
                  <c:v>1.22</c:v>
                </c:pt>
                <c:pt idx="5">
                  <c:v>1.25</c:v>
                </c:pt>
                <c:pt idx="6">
                  <c:v>1.24</c:v>
                </c:pt>
                <c:pt idx="7">
                  <c:v>1.26</c:v>
                </c:pt>
              </c:numCache>
            </c:numRef>
          </c:val>
          <c:smooth val="0"/>
        </c:ser>
        <c:dLbls>
          <c:showLegendKey val="0"/>
          <c:showVal val="0"/>
          <c:showCatName val="0"/>
          <c:showSerName val="0"/>
          <c:showPercent val="0"/>
          <c:showBubbleSize val="0"/>
        </c:dLbls>
        <c:marker val="1"/>
        <c:smooth val="0"/>
        <c:axId val="57150080"/>
        <c:axId val="57160448"/>
      </c:lineChart>
      <c:catAx>
        <c:axId val="5715008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57160448"/>
        <c:crosses val="autoZero"/>
        <c:auto val="1"/>
        <c:lblAlgn val="ctr"/>
        <c:lblOffset val="100"/>
        <c:noMultiLvlLbl val="0"/>
      </c:catAx>
      <c:valAx>
        <c:axId val="57160448"/>
        <c:scaling>
          <c:orientation val="minMax"/>
        </c:scaling>
        <c:delete val="0"/>
        <c:axPos val="l"/>
        <c:majorGridlines>
          <c:spPr>
            <a:ln>
              <a:solidFill>
                <a:schemeClr val="bg1">
                  <a:lumMod val="75000"/>
                </a:schemeClr>
              </a:solidFill>
            </a:ln>
          </c:spPr>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57150080"/>
        <c:crosses val="autoZero"/>
        <c:crossBetween val="between"/>
      </c:valAx>
      <c:spPr>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16200000" scaled="1"/>
          <a:tileRect/>
        </a:gradFill>
        <a:ln>
          <a:noFill/>
        </a:ln>
      </c:spPr>
    </c:plotArea>
    <c:legend>
      <c:legendPos val="b"/>
      <c:layout/>
      <c:overlay val="0"/>
      <c:txPr>
        <a:bodyPr/>
        <a:lstStyle/>
        <a:p>
          <a:pPr>
            <a:defRPr sz="1100" b="0" i="0" u="none" strike="noStrike" baseline="0">
              <a:solidFill>
                <a:srgbClr val="000000"/>
              </a:solidFill>
              <a:latin typeface="Calibri"/>
              <a:ea typeface="Calibri"/>
              <a:cs typeface="Calibri"/>
            </a:defRPr>
          </a:pPr>
          <a:endParaRPr lang="lv-LV"/>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071741032370933E-2"/>
          <c:y val="0.16714129483814524"/>
          <c:w val="0.86105380577427848"/>
          <c:h val="0.71687882764654465"/>
        </c:manualLayout>
      </c:layout>
      <c:barChart>
        <c:barDir val="col"/>
        <c:grouping val="stacked"/>
        <c:varyColors val="0"/>
        <c:ser>
          <c:idx val="0"/>
          <c:order val="0"/>
          <c:tx>
            <c:strRef>
              <c:f>'Inov izd 2004-2010'!$A$13</c:f>
              <c:strCache>
                <c:ptCount val="1"/>
                <c:pt idx="0">
                  <c:v>Rūpniecība</c:v>
                </c:pt>
              </c:strCache>
            </c:strRef>
          </c:tx>
          <c:invertIfNegative val="0"/>
          <c:dLbls>
            <c:txPr>
              <a:bodyPr/>
              <a:lstStyle/>
              <a:p>
                <a:pPr>
                  <a:defRPr sz="1200" b="1">
                    <a:solidFill>
                      <a:schemeClr val="bg1"/>
                    </a:solidFill>
                  </a:defRPr>
                </a:pPr>
                <a:endParaRPr lang="lv-LV"/>
              </a:p>
            </c:txPr>
            <c:dLblPos val="ctr"/>
            <c:showLegendKey val="0"/>
            <c:showVal val="1"/>
            <c:showCatName val="0"/>
            <c:showSerName val="0"/>
            <c:showPercent val="0"/>
            <c:showBubbleSize val="0"/>
            <c:showLeaderLines val="0"/>
          </c:dLbls>
          <c:cat>
            <c:numRef>
              <c:f>'Inov izd 2004-2010'!$B$11:$E$11</c:f>
              <c:numCache>
                <c:formatCode>General</c:formatCode>
                <c:ptCount val="4"/>
                <c:pt idx="0">
                  <c:v>2004</c:v>
                </c:pt>
                <c:pt idx="1">
                  <c:v>2006</c:v>
                </c:pt>
                <c:pt idx="2">
                  <c:v>2008</c:v>
                </c:pt>
                <c:pt idx="3">
                  <c:v>2010</c:v>
                </c:pt>
              </c:numCache>
            </c:numRef>
          </c:cat>
          <c:val>
            <c:numRef>
              <c:f>'Inov izd 2004-2010'!$B$13:$E$13</c:f>
              <c:numCache>
                <c:formatCode>General</c:formatCode>
                <c:ptCount val="4"/>
                <c:pt idx="0">
                  <c:v>39.700000000000003</c:v>
                </c:pt>
                <c:pt idx="1">
                  <c:v>48.8</c:v>
                </c:pt>
                <c:pt idx="2">
                  <c:v>210.3</c:v>
                </c:pt>
                <c:pt idx="3">
                  <c:v>47</c:v>
                </c:pt>
              </c:numCache>
            </c:numRef>
          </c:val>
        </c:ser>
        <c:ser>
          <c:idx val="1"/>
          <c:order val="1"/>
          <c:tx>
            <c:strRef>
              <c:f>'Inov izd 2004-2010'!$A$14</c:f>
              <c:strCache>
                <c:ptCount val="1"/>
                <c:pt idx="0">
                  <c:v>Pakalpojumi</c:v>
                </c:pt>
              </c:strCache>
            </c:strRef>
          </c:tx>
          <c:spPr>
            <a:solidFill>
              <a:schemeClr val="accent6"/>
            </a:solidFill>
          </c:spPr>
          <c:invertIfNegative val="0"/>
          <c:dLbls>
            <c:dLbl>
              <c:idx val="2"/>
              <c:layout>
                <c:manualLayout>
                  <c:x val="0"/>
                  <c:y val="1.0932487605715961E-2"/>
                </c:manualLayout>
              </c:layout>
              <c:dLblPos val="ctr"/>
              <c:showLegendKey val="0"/>
              <c:showVal val="1"/>
              <c:showCatName val="0"/>
              <c:showSerName val="0"/>
              <c:showPercent val="0"/>
              <c:showBubbleSize val="0"/>
            </c:dLbl>
            <c:txPr>
              <a:bodyPr/>
              <a:lstStyle/>
              <a:p>
                <a:pPr>
                  <a:defRPr sz="1200" b="1"/>
                </a:pPr>
                <a:endParaRPr lang="lv-LV"/>
              </a:p>
            </c:txPr>
            <c:dLblPos val="inEnd"/>
            <c:showLegendKey val="0"/>
            <c:showVal val="1"/>
            <c:showCatName val="0"/>
            <c:showSerName val="0"/>
            <c:showPercent val="0"/>
            <c:showBubbleSize val="0"/>
            <c:showLeaderLines val="0"/>
          </c:dLbls>
          <c:cat>
            <c:numRef>
              <c:f>'Inov izd 2004-2010'!$B$11:$E$11</c:f>
              <c:numCache>
                <c:formatCode>General</c:formatCode>
                <c:ptCount val="4"/>
                <c:pt idx="0">
                  <c:v>2004</c:v>
                </c:pt>
                <c:pt idx="1">
                  <c:v>2006</c:v>
                </c:pt>
                <c:pt idx="2">
                  <c:v>2008</c:v>
                </c:pt>
                <c:pt idx="3">
                  <c:v>2010</c:v>
                </c:pt>
              </c:numCache>
            </c:numRef>
          </c:cat>
          <c:val>
            <c:numRef>
              <c:f>'Inov izd 2004-2010'!$B$14:$E$14</c:f>
              <c:numCache>
                <c:formatCode>General</c:formatCode>
                <c:ptCount val="4"/>
                <c:pt idx="0">
                  <c:v>37.9</c:v>
                </c:pt>
                <c:pt idx="1">
                  <c:v>33.4</c:v>
                </c:pt>
                <c:pt idx="2">
                  <c:v>24.1</c:v>
                </c:pt>
                <c:pt idx="3">
                  <c:v>45.6</c:v>
                </c:pt>
              </c:numCache>
            </c:numRef>
          </c:val>
        </c:ser>
        <c:dLbls>
          <c:showLegendKey val="0"/>
          <c:showVal val="0"/>
          <c:showCatName val="0"/>
          <c:showSerName val="0"/>
          <c:showPercent val="0"/>
          <c:showBubbleSize val="0"/>
        </c:dLbls>
        <c:gapWidth val="100"/>
        <c:overlap val="100"/>
        <c:axId val="57173504"/>
        <c:axId val="57175040"/>
      </c:barChart>
      <c:catAx>
        <c:axId val="57173504"/>
        <c:scaling>
          <c:orientation val="minMax"/>
        </c:scaling>
        <c:delete val="0"/>
        <c:axPos val="b"/>
        <c:numFmt formatCode="General" sourceLinked="1"/>
        <c:majorTickMark val="out"/>
        <c:minorTickMark val="none"/>
        <c:tickLblPos val="nextTo"/>
        <c:crossAx val="57175040"/>
        <c:crosses val="autoZero"/>
        <c:auto val="1"/>
        <c:lblAlgn val="ctr"/>
        <c:lblOffset val="100"/>
        <c:noMultiLvlLbl val="0"/>
      </c:catAx>
      <c:valAx>
        <c:axId val="57175040"/>
        <c:scaling>
          <c:orientation val="minMax"/>
        </c:scaling>
        <c:delete val="0"/>
        <c:axPos val="l"/>
        <c:majorGridlines>
          <c:spPr>
            <a:ln>
              <a:solidFill>
                <a:schemeClr val="bg1">
                  <a:lumMod val="75000"/>
                </a:schemeClr>
              </a:solidFill>
            </a:ln>
          </c:spPr>
        </c:majorGridlines>
        <c:numFmt formatCode="General" sourceLinked="1"/>
        <c:majorTickMark val="out"/>
        <c:minorTickMark val="none"/>
        <c:tickLblPos val="nextTo"/>
        <c:crossAx val="57173504"/>
        <c:crosses val="autoZero"/>
        <c:crossBetween val="between"/>
      </c:valAx>
      <c:spPr>
        <a:solidFill>
          <a:schemeClr val="bg1">
            <a:lumMod val="85000"/>
          </a:schemeClr>
        </a:solidFill>
      </c:spPr>
    </c:plotArea>
    <c:legend>
      <c:legendPos val="r"/>
      <c:layout>
        <c:manualLayout>
          <c:xMode val="edge"/>
          <c:yMode val="edge"/>
          <c:x val="0.12546347331583546"/>
          <c:y val="0.23290864683581228"/>
          <c:w val="0.32550560540397572"/>
          <c:h val="0.20513662586731113"/>
        </c:manualLayout>
      </c:layout>
      <c:overlay val="0"/>
      <c:txPr>
        <a:bodyPr/>
        <a:lstStyle/>
        <a:p>
          <a:pPr>
            <a:defRPr sz="1050" b="1"/>
          </a:pPr>
          <a:endParaRPr lang="lv-LV"/>
        </a:p>
      </c:txPr>
    </c:legend>
    <c:plotVisOnly val="1"/>
    <c:dispBlanksAs val="gap"/>
    <c:showDLblsOverMax val="0"/>
  </c:chart>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393722659667544"/>
          <c:y val="0.26713485750684346"/>
          <c:w val="0.39971369203849527"/>
          <c:h val="0.54583922110823679"/>
        </c:manualLayout>
      </c:layout>
      <c:pieChart>
        <c:varyColors val="1"/>
        <c:ser>
          <c:idx val="0"/>
          <c:order val="0"/>
          <c:dLbls>
            <c:dLbl>
              <c:idx val="0"/>
              <c:layout>
                <c:manualLayout>
                  <c:x val="2.7437882764654441E-2"/>
                  <c:y val="-5.4992709244677786E-2"/>
                </c:manualLayout>
              </c:layout>
              <c:showLegendKey val="0"/>
              <c:showVal val="0"/>
              <c:showCatName val="1"/>
              <c:showSerName val="0"/>
              <c:showPercent val="1"/>
              <c:showBubbleSize val="0"/>
            </c:dLbl>
            <c:dLbl>
              <c:idx val="2"/>
              <c:layout>
                <c:manualLayout>
                  <c:x val="-2.3306211723534559E-2"/>
                  <c:y val="3.5782139933256449E-2"/>
                </c:manualLayout>
              </c:layout>
              <c:showLegendKey val="0"/>
              <c:showVal val="0"/>
              <c:showCatName val="1"/>
              <c:showSerName val="0"/>
              <c:showPercent val="1"/>
              <c:showBubbleSize val="0"/>
            </c:dLbl>
            <c:dLbl>
              <c:idx val="3"/>
              <c:layout>
                <c:manualLayout>
                  <c:x val="-4.518908573928257E-2"/>
                  <c:y val="-1.916614229956274E-2"/>
                </c:manualLayout>
              </c:layout>
              <c:showLegendKey val="0"/>
              <c:showVal val="0"/>
              <c:showCatName val="1"/>
              <c:showSerName val="0"/>
              <c:showPercent val="1"/>
              <c:showBubbleSize val="0"/>
            </c:dLbl>
            <c:txPr>
              <a:bodyPr/>
              <a:lstStyle/>
              <a:p>
                <a:pPr>
                  <a:defRPr b="1"/>
                </a:pPr>
                <a:endParaRPr lang="lv-LV"/>
              </a:p>
            </c:txPr>
            <c:showLegendKey val="0"/>
            <c:showVal val="0"/>
            <c:showCatName val="1"/>
            <c:showSerName val="0"/>
            <c:showPercent val="1"/>
            <c:showBubbleSize val="0"/>
            <c:showLeaderLines val="1"/>
          </c:dLbls>
          <c:cat>
            <c:strRef>
              <c:f>'Inov izdevumi 2008-2010'!$C$5:$F$5</c:f>
              <c:strCache>
                <c:ptCount val="4"/>
                <c:pt idx="0">
                  <c:v>P&amp;A izstrādnes uzņēmumā</c:v>
                </c:pt>
                <c:pt idx="1">
                  <c:v>P&amp;A pasūtīšana citos uzņēmumos</c:v>
                </c:pt>
                <c:pt idx="2">
                  <c:v>mašīnu un iekārtu iegāde</c:v>
                </c:pt>
                <c:pt idx="3">
                  <c:v>ārējo zināšanu iegāde</c:v>
                </c:pt>
              </c:strCache>
            </c:strRef>
          </c:cat>
          <c:val>
            <c:numRef>
              <c:f>'Inov izdevumi 2008-2010'!$C$9:$F$9</c:f>
              <c:numCache>
                <c:formatCode>General</c:formatCode>
                <c:ptCount val="4"/>
                <c:pt idx="0">
                  <c:v>11.1</c:v>
                </c:pt>
                <c:pt idx="1">
                  <c:v>7.4</c:v>
                </c:pt>
                <c:pt idx="2">
                  <c:v>71.7</c:v>
                </c:pt>
                <c:pt idx="3">
                  <c:v>2.4</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24E-2"/>
          <c:y val="0.12084499854184894"/>
          <c:w val="0.89291426071741009"/>
          <c:h val="0.76317512394284071"/>
        </c:manualLayout>
      </c:layout>
      <c:barChart>
        <c:barDir val="col"/>
        <c:grouping val="clustered"/>
        <c:varyColors val="0"/>
        <c:ser>
          <c:idx val="0"/>
          <c:order val="0"/>
          <c:tx>
            <c:strRef>
              <c:f>'Latvija_ZP-P&amp;A'!$A$25</c:f>
              <c:strCache>
                <c:ptCount val="1"/>
                <c:pt idx="0">
                  <c:v>Zinātniski pētniecisko darbu privātais finansējums</c:v>
                </c:pt>
              </c:strCache>
            </c:strRef>
          </c:tx>
          <c:invertIfNegative val="0"/>
          <c:dLbls>
            <c:txPr>
              <a:bodyPr/>
              <a:lstStyle/>
              <a:p>
                <a:pPr>
                  <a:defRPr sz="1200" b="1">
                    <a:solidFill>
                      <a:schemeClr val="bg1"/>
                    </a:solidFill>
                  </a:defRPr>
                </a:pPr>
                <a:endParaRPr lang="lv-LV"/>
              </a:p>
            </c:txPr>
            <c:dLblPos val="inEnd"/>
            <c:showLegendKey val="0"/>
            <c:showVal val="1"/>
            <c:showCatName val="0"/>
            <c:showSerName val="0"/>
            <c:showPercent val="0"/>
            <c:showBubbleSize val="0"/>
            <c:showLeaderLines val="0"/>
          </c:dLbls>
          <c:cat>
            <c:numRef>
              <c:f>'Latvija_ZP-P&amp;A'!$C$24:$E$24</c:f>
              <c:numCache>
                <c:formatCode>General</c:formatCode>
                <c:ptCount val="3"/>
                <c:pt idx="0">
                  <c:v>2006</c:v>
                </c:pt>
                <c:pt idx="1">
                  <c:v>2008</c:v>
                </c:pt>
                <c:pt idx="2">
                  <c:v>2010</c:v>
                </c:pt>
              </c:numCache>
            </c:numRef>
          </c:cat>
          <c:val>
            <c:numRef>
              <c:f>'Latvija_ZP-P&amp;A'!$C$25:$E$25</c:f>
              <c:numCache>
                <c:formatCode>General</c:formatCode>
                <c:ptCount val="3"/>
                <c:pt idx="0">
                  <c:v>41.2</c:v>
                </c:pt>
                <c:pt idx="1">
                  <c:v>26.9</c:v>
                </c:pt>
                <c:pt idx="2">
                  <c:v>29.9</c:v>
                </c:pt>
              </c:numCache>
            </c:numRef>
          </c:val>
        </c:ser>
        <c:ser>
          <c:idx val="1"/>
          <c:order val="1"/>
          <c:tx>
            <c:strRef>
              <c:f>'Latvija_ZP-P&amp;A'!$A$26</c:f>
              <c:strCache>
                <c:ptCount val="1"/>
                <c:pt idx="0">
                  <c:v>P&amp;A izdevumi inovācijām</c:v>
                </c:pt>
              </c:strCache>
            </c:strRef>
          </c:tx>
          <c:spPr>
            <a:solidFill>
              <a:schemeClr val="accent6"/>
            </a:solidFill>
          </c:spPr>
          <c:invertIfNegative val="0"/>
          <c:dLbls>
            <c:txPr>
              <a:bodyPr/>
              <a:lstStyle/>
              <a:p>
                <a:pPr>
                  <a:defRPr sz="1200" b="1"/>
                </a:pPr>
                <a:endParaRPr lang="lv-LV"/>
              </a:p>
            </c:txPr>
            <c:dLblPos val="inEnd"/>
            <c:showLegendKey val="0"/>
            <c:showVal val="1"/>
            <c:showCatName val="0"/>
            <c:showSerName val="0"/>
            <c:showPercent val="0"/>
            <c:showBubbleSize val="0"/>
            <c:showLeaderLines val="0"/>
          </c:dLbls>
          <c:cat>
            <c:numRef>
              <c:f>'Latvija_ZP-P&amp;A'!$C$24:$E$24</c:f>
              <c:numCache>
                <c:formatCode>General</c:formatCode>
                <c:ptCount val="3"/>
                <c:pt idx="0">
                  <c:v>2006</c:v>
                </c:pt>
                <c:pt idx="1">
                  <c:v>2008</c:v>
                </c:pt>
                <c:pt idx="2">
                  <c:v>2010</c:v>
                </c:pt>
              </c:numCache>
            </c:numRef>
          </c:cat>
          <c:val>
            <c:numRef>
              <c:f>'Latvija_ZP-P&amp;A'!$C$26:$E$26</c:f>
              <c:numCache>
                <c:formatCode>General</c:formatCode>
                <c:ptCount val="3"/>
                <c:pt idx="0">
                  <c:v>19.5</c:v>
                </c:pt>
                <c:pt idx="1">
                  <c:v>17.399999999999999</c:v>
                </c:pt>
                <c:pt idx="2">
                  <c:v>20.9</c:v>
                </c:pt>
              </c:numCache>
            </c:numRef>
          </c:val>
        </c:ser>
        <c:dLbls>
          <c:showLegendKey val="0"/>
          <c:showVal val="0"/>
          <c:showCatName val="0"/>
          <c:showSerName val="0"/>
          <c:showPercent val="0"/>
          <c:showBubbleSize val="0"/>
        </c:dLbls>
        <c:gapWidth val="150"/>
        <c:axId val="57212288"/>
        <c:axId val="57230464"/>
      </c:barChart>
      <c:catAx>
        <c:axId val="57212288"/>
        <c:scaling>
          <c:orientation val="minMax"/>
        </c:scaling>
        <c:delete val="0"/>
        <c:axPos val="b"/>
        <c:numFmt formatCode="General" sourceLinked="1"/>
        <c:majorTickMark val="out"/>
        <c:minorTickMark val="none"/>
        <c:tickLblPos val="nextTo"/>
        <c:txPr>
          <a:bodyPr/>
          <a:lstStyle/>
          <a:p>
            <a:pPr>
              <a:defRPr b="1"/>
            </a:pPr>
            <a:endParaRPr lang="lv-LV"/>
          </a:p>
        </c:txPr>
        <c:crossAx val="57230464"/>
        <c:crosses val="autoZero"/>
        <c:auto val="1"/>
        <c:lblAlgn val="ctr"/>
        <c:lblOffset val="100"/>
        <c:noMultiLvlLbl val="0"/>
      </c:catAx>
      <c:valAx>
        <c:axId val="57230464"/>
        <c:scaling>
          <c:orientation val="minMax"/>
        </c:scaling>
        <c:delete val="0"/>
        <c:axPos val="l"/>
        <c:majorGridlines>
          <c:spPr>
            <a:ln>
              <a:solidFill>
                <a:schemeClr val="bg1">
                  <a:lumMod val="75000"/>
                </a:schemeClr>
              </a:solidFill>
            </a:ln>
          </c:spPr>
        </c:majorGridlines>
        <c:numFmt formatCode="General" sourceLinked="1"/>
        <c:majorTickMark val="out"/>
        <c:minorTickMark val="none"/>
        <c:tickLblPos val="nextTo"/>
        <c:crossAx val="57212288"/>
        <c:crosses val="autoZero"/>
        <c:crossBetween val="between"/>
      </c:valAx>
      <c:spPr>
        <a:solidFill>
          <a:schemeClr val="bg1">
            <a:lumMod val="85000"/>
          </a:schemeClr>
        </a:solidFill>
      </c:spPr>
    </c:plotArea>
    <c:legend>
      <c:legendPos val="r"/>
      <c:layout>
        <c:manualLayout>
          <c:xMode val="edge"/>
          <c:yMode val="edge"/>
          <c:x val="0.27879155730533672"/>
          <c:y val="0.1469965733449986"/>
          <c:w val="0.67120844269466362"/>
          <c:h val="0.155080927384077"/>
        </c:manualLayout>
      </c:layout>
      <c:overlay val="0"/>
      <c:spPr>
        <a:solidFill>
          <a:schemeClr val="bg1">
            <a:lumMod val="85000"/>
          </a:schemeClr>
        </a:solidFill>
      </c:spPr>
      <c:txPr>
        <a:bodyPr/>
        <a:lstStyle/>
        <a:p>
          <a:pPr>
            <a:defRPr sz="1050" b="0"/>
          </a:pPr>
          <a:endParaRPr lang="lv-LV"/>
        </a:p>
      </c:txPr>
    </c:legend>
    <c:plotVisOnly val="1"/>
    <c:dispBlanksAs val="gap"/>
    <c:showDLblsOverMax val="0"/>
  </c:chart>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sz="1050"/>
            </a:pPr>
            <a:r>
              <a:rPr lang="lv-LV" sz="1050"/>
              <a:t>Aptaujas rezultātu</a:t>
            </a:r>
            <a:r>
              <a:rPr lang="lv-LV" sz="1050" baseline="0"/>
              <a:t> kopsavilkums</a:t>
            </a:r>
            <a:r>
              <a:rPr lang="lv-LV" sz="1050"/>
              <a:t> (%)</a:t>
            </a:r>
            <a:endParaRPr lang="en-US" sz="1050"/>
          </a:p>
        </c:rich>
      </c:tx>
      <c:layout>
        <c:manualLayout>
          <c:xMode val="edge"/>
          <c:yMode val="edge"/>
          <c:x val="0.33560871876661358"/>
          <c:y val="7.0989558907017501E-4"/>
        </c:manualLayout>
      </c:layout>
      <c:overlay val="0"/>
    </c:title>
    <c:autoTitleDeleted val="0"/>
    <c:plotArea>
      <c:layout>
        <c:manualLayout>
          <c:layoutTarget val="inner"/>
          <c:xMode val="edge"/>
          <c:yMode val="edge"/>
          <c:x val="0.51959257840022643"/>
          <c:y val="3.8217691993428025E-2"/>
          <c:w val="0.44305187126334539"/>
          <c:h val="0.90970717126204659"/>
        </c:manualLayout>
      </c:layout>
      <c:barChart>
        <c:barDir val="bar"/>
        <c:grouping val="clustered"/>
        <c:varyColors val="0"/>
        <c:ser>
          <c:idx val="0"/>
          <c:order val="0"/>
          <c:tx>
            <c:strRef>
              <c:f>Sheet1!$B$1</c:f>
              <c:strCache>
                <c:ptCount val="1"/>
                <c:pt idx="0">
                  <c:v>Series 1</c:v>
                </c:pt>
              </c:strCache>
            </c:strRef>
          </c:tx>
          <c:spPr>
            <a:solidFill>
              <a:srgbClr val="9BBB59">
                <a:lumMod val="75000"/>
              </a:srgbClr>
            </a:solidFill>
            <a:ln>
              <a:noFill/>
            </a:ln>
          </c:spPr>
          <c:invertIfNegative val="0"/>
          <c:dLbls>
            <c:txPr>
              <a:bodyPr/>
              <a:lstStyle/>
              <a:p>
                <a:pPr>
                  <a:defRPr sz="1000"/>
                </a:pPr>
                <a:endParaRPr lang="lv-LV"/>
              </a:p>
            </c:txPr>
            <c:showLegendKey val="0"/>
            <c:showVal val="1"/>
            <c:showCatName val="0"/>
            <c:showSerName val="0"/>
            <c:showPercent val="0"/>
            <c:showBubbleSize val="0"/>
            <c:showLeaderLines val="0"/>
          </c:dLbls>
          <c:cat>
            <c:strRef>
              <c:f>Sheet1!$A$2:$A$49</c:f>
              <c:strCache>
                <c:ptCount val="48"/>
                <c:pt idx="0">
                  <c:v>P&amp;A ir būtiska uzņēmuma darbībā</c:v>
                </c:pt>
                <c:pt idx="2">
                  <c:v>Pēdējo 3 gadu laikā ir veikuši ieguldījumus P&amp;A, t.sk.,</c:v>
                </c:pt>
                <c:pt idx="3">
                  <c:v>regulāri</c:v>
                </c:pt>
                <c:pt idx="4">
                  <c:v>dažkārt</c:v>
                </c:pt>
                <c:pt idx="5">
                  <c:v>vienreiz</c:v>
                </c:pt>
                <c:pt idx="7">
                  <c:v>Ir veikuši ieguldījumus</c:v>
                </c:pt>
                <c:pt idx="8">
                  <c:v>fundamentālos pētījumos</c:v>
                </c:pt>
                <c:pt idx="9">
                  <c:v>lietišķos pētījumos</c:v>
                </c:pt>
                <c:pt idx="10">
                  <c:v>eksperimentālās izstrādēs</c:v>
                </c:pt>
                <c:pt idx="12">
                  <c:v>Ir ieviests</c:v>
                </c:pt>
                <c:pt idx="13">
                  <c:v>jauns produkts</c:v>
                </c:pt>
                <c:pt idx="14">
                  <c:v>jauns pakalpojums</c:v>
                </c:pt>
                <c:pt idx="15">
                  <c:v>jauna tehnoloģija</c:v>
                </c:pt>
                <c:pt idx="17">
                  <c:v>Ir reģistrētas rūpnieciskā īpašuma tiesības (iegūts patents), t.sk.,</c:v>
                </c:pt>
                <c:pt idx="18">
                  <c:v>vairākas reizes</c:v>
                </c:pt>
                <c:pt idx="19">
                  <c:v>vienreiz</c:v>
                </c:pt>
                <c:pt idx="21">
                  <c:v>Ir iegādātas izgudrojumu u.c. veida zināšanu lietošanas tiesības, t.sk.,</c:v>
                </c:pt>
                <c:pt idx="22">
                  <c:v>vairākas reizes</c:v>
                </c:pt>
                <c:pt idx="23">
                  <c:v>vienreiz</c:v>
                </c:pt>
                <c:pt idx="25">
                  <c:v>Plāno veikt ieguldījumus P&amp;A tuvāko trīs gadu laikā, t.sk.,</c:v>
                </c:pt>
                <c:pt idx="26">
                  <c:v>Noteikti jā</c:v>
                </c:pt>
                <c:pt idx="27">
                  <c:v>Drīzāk jā</c:v>
                </c:pt>
                <c:pt idx="29">
                  <c:v>Ieguldījumi P&amp;A bijuši nepieciešami, bet trūcis finansējuma, t.sk.,</c:v>
                </c:pt>
                <c:pt idx="30">
                  <c:v>vairākas reizes</c:v>
                </c:pt>
                <c:pt idx="31">
                  <c:v>vienreiz</c:v>
                </c:pt>
                <c:pt idx="33">
                  <c:v>Būtiskākie šķēršļi uzņēmuma iespējām veikt ieguldījumus P&amp;A</c:v>
                </c:pt>
                <c:pt idx="34">
                  <c:v>Pašu līdzekļu nepietiekamība</c:v>
                </c:pt>
                <c:pt idx="35">
                  <c:v>Ārējā finansējuma nepieejamība</c:v>
                </c:pt>
                <c:pt idx="36">
                  <c:v>Ārējā finansējuma nepietiekamība</c:v>
                </c:pt>
                <c:pt idx="38">
                  <c:v>Esošie valsts atbalsta instrumenti ir</c:v>
                </c:pt>
                <c:pt idx="39">
                  <c:v>pietiekami</c:v>
                </c:pt>
                <c:pt idx="40">
                  <c:v>nepietiekami</c:v>
                </c:pt>
                <c:pt idx="42">
                  <c:v>Nepieciešamie papildu valsts atbalsta instrumenti</c:v>
                </c:pt>
                <c:pt idx="43">
                  <c:v>Nodokļu atvieglojumi</c:v>
                </c:pt>
                <c:pt idx="44">
                  <c:v>Finansējuma pieejamība, granti</c:v>
                </c:pt>
                <c:pt idx="45">
                  <c:v>Birokrātijas samazināšana</c:v>
                </c:pt>
                <c:pt idx="46">
                  <c:v>Valsts garantijas kredītiem bankās</c:v>
                </c:pt>
                <c:pt idx="47">
                  <c:v>Speciālistu konsultācijas</c:v>
                </c:pt>
              </c:strCache>
            </c:strRef>
          </c:cat>
          <c:val>
            <c:numRef>
              <c:f>Sheet1!$B$2:$B$49</c:f>
              <c:numCache>
                <c:formatCode>General</c:formatCode>
                <c:ptCount val="48"/>
                <c:pt idx="0" formatCode="0">
                  <c:v>38.405797101449274</c:v>
                </c:pt>
                <c:pt idx="2" formatCode="0">
                  <c:v>38.164251207729471</c:v>
                </c:pt>
                <c:pt idx="3" formatCode="0">
                  <c:v>10.386473429951694</c:v>
                </c:pt>
                <c:pt idx="4" formatCode="0">
                  <c:v>20.289855072463769</c:v>
                </c:pt>
                <c:pt idx="5" formatCode="0">
                  <c:v>7.4879227053140118</c:v>
                </c:pt>
                <c:pt idx="8" formatCode="0">
                  <c:v>3.9702233250620349</c:v>
                </c:pt>
                <c:pt idx="9" formatCode="0">
                  <c:v>18.610421836228287</c:v>
                </c:pt>
                <c:pt idx="10" formatCode="0">
                  <c:v>20.595533498759298</c:v>
                </c:pt>
                <c:pt idx="13" formatCode="0">
                  <c:v>20.485175202156324</c:v>
                </c:pt>
                <c:pt idx="14" formatCode="0">
                  <c:v>19.137466307277631</c:v>
                </c:pt>
                <c:pt idx="15" formatCode="0">
                  <c:v>18.059299191374663</c:v>
                </c:pt>
                <c:pt idx="17" formatCode="0">
                  <c:v>2</c:v>
                </c:pt>
                <c:pt idx="18" formatCode="0">
                  <c:v>0.81300813008130079</c:v>
                </c:pt>
                <c:pt idx="19" formatCode="0">
                  <c:v>1.0840108401084014</c:v>
                </c:pt>
                <c:pt idx="21" formatCode="0">
                  <c:v>7</c:v>
                </c:pt>
                <c:pt idx="22" formatCode="0">
                  <c:v>3.2520325203252027</c:v>
                </c:pt>
                <c:pt idx="23" formatCode="0">
                  <c:v>3.5230352303523045</c:v>
                </c:pt>
                <c:pt idx="25" formatCode="0">
                  <c:v>31</c:v>
                </c:pt>
                <c:pt idx="26" formatCode="0">
                  <c:v>11.815561959654179</c:v>
                </c:pt>
                <c:pt idx="27" formatCode="0">
                  <c:v>18.731988472622493</c:v>
                </c:pt>
                <c:pt idx="29" formatCode="0">
                  <c:v>43</c:v>
                </c:pt>
                <c:pt idx="30" formatCode="0">
                  <c:v>33.237822349570216</c:v>
                </c:pt>
                <c:pt idx="31" formatCode="0">
                  <c:v>9.4555873925501484</c:v>
                </c:pt>
                <c:pt idx="34" formatCode="0">
                  <c:v>56.591639871382618</c:v>
                </c:pt>
                <c:pt idx="35" formatCode="0">
                  <c:v>16.720257234726681</c:v>
                </c:pt>
                <c:pt idx="36" formatCode="0">
                  <c:v>8.3601286173633476</c:v>
                </c:pt>
                <c:pt idx="39" formatCode="0">
                  <c:v>3.6144578313253013</c:v>
                </c:pt>
                <c:pt idx="40" formatCode="0">
                  <c:v>59.939759036144579</c:v>
                </c:pt>
                <c:pt idx="43" formatCode="0">
                  <c:v>61.176470588235297</c:v>
                </c:pt>
                <c:pt idx="44" formatCode="0">
                  <c:v>35.294117647058854</c:v>
                </c:pt>
                <c:pt idx="45" formatCode="0">
                  <c:v>9.4117647058823533</c:v>
                </c:pt>
                <c:pt idx="46" formatCode="0">
                  <c:v>4.7058823529411784</c:v>
                </c:pt>
                <c:pt idx="47" formatCode="0">
                  <c:v>3.5294117647058822</c:v>
                </c:pt>
              </c:numCache>
            </c:numRef>
          </c:val>
        </c:ser>
        <c:dLbls>
          <c:showLegendKey val="0"/>
          <c:showVal val="0"/>
          <c:showCatName val="0"/>
          <c:showSerName val="0"/>
          <c:showPercent val="0"/>
          <c:showBubbleSize val="0"/>
        </c:dLbls>
        <c:gapWidth val="50"/>
        <c:axId val="57268864"/>
        <c:axId val="57270656"/>
      </c:barChart>
      <c:catAx>
        <c:axId val="57268864"/>
        <c:scaling>
          <c:orientation val="maxMin"/>
        </c:scaling>
        <c:delete val="0"/>
        <c:axPos val="l"/>
        <c:numFmt formatCode="General" sourceLinked="1"/>
        <c:majorTickMark val="out"/>
        <c:minorTickMark val="none"/>
        <c:tickLblPos val="nextTo"/>
        <c:txPr>
          <a:bodyPr/>
          <a:lstStyle/>
          <a:p>
            <a:pPr>
              <a:defRPr sz="800"/>
            </a:pPr>
            <a:endParaRPr lang="lv-LV"/>
          </a:p>
        </c:txPr>
        <c:crossAx val="57270656"/>
        <c:crosses val="autoZero"/>
        <c:auto val="1"/>
        <c:lblAlgn val="ctr"/>
        <c:lblOffset val="100"/>
        <c:noMultiLvlLbl val="0"/>
      </c:catAx>
      <c:valAx>
        <c:axId val="57270656"/>
        <c:scaling>
          <c:orientation val="minMax"/>
          <c:max val="100"/>
          <c:min val="0"/>
        </c:scaling>
        <c:delete val="1"/>
        <c:axPos val="t"/>
        <c:numFmt formatCode="0" sourceLinked="1"/>
        <c:majorTickMark val="out"/>
        <c:minorTickMark val="none"/>
        <c:tickLblPos val="none"/>
        <c:crossAx val="57268864"/>
        <c:crosses val="autoZero"/>
        <c:crossBetween val="between"/>
      </c:valAx>
    </c:plotArea>
    <c:plotVisOnly val="1"/>
    <c:dispBlanksAs val="gap"/>
    <c:showDLblsOverMax val="0"/>
  </c:chart>
  <c:spPr>
    <a:ln w="12672">
      <a:solidFill>
        <a:schemeClr val="bg1">
          <a:lumMod val="50000"/>
        </a:schemeClr>
      </a:solidFill>
    </a:ln>
  </c:spPr>
  <c:txPr>
    <a:bodyPr/>
    <a:lstStyle/>
    <a:p>
      <a:pPr>
        <a:defRPr sz="800">
          <a:latin typeface="+mn-lt"/>
          <a:cs typeface="Arial" pitchFamily="34" charset="0"/>
        </a:defRPr>
      </a:pPr>
      <a:endParaRPr lang="lv-LV"/>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UIN  maksājumu samazinājums</a:t>
            </a:r>
            <a:r>
              <a:rPr lang="lv-LV" sz="1200"/>
              <a:t>, %</a:t>
            </a:r>
          </a:p>
          <a:p>
            <a:pPr>
              <a:defRPr sz="1200"/>
            </a:pPr>
            <a:r>
              <a:rPr lang="lv-LV" sz="1200"/>
              <a:t> (Lielie</a:t>
            </a:r>
            <a:r>
              <a:rPr lang="lv-LV" sz="1200" baseline="0"/>
              <a:t> uzņēmumi)</a:t>
            </a:r>
            <a:endParaRPr lang="en-US" sz="1200"/>
          </a:p>
        </c:rich>
      </c:tx>
      <c:layout/>
      <c:overlay val="1"/>
    </c:title>
    <c:autoTitleDeleted val="0"/>
    <c:plotArea>
      <c:layout>
        <c:manualLayout>
          <c:layoutTarget val="inner"/>
          <c:xMode val="edge"/>
          <c:yMode val="edge"/>
          <c:x val="6.3902504712358602E-2"/>
          <c:y val="0.21806722076407123"/>
          <c:w val="0.59678422075610749"/>
          <c:h val="0.62891586468358185"/>
        </c:manualLayout>
      </c:layout>
      <c:barChart>
        <c:barDir val="col"/>
        <c:grouping val="clustered"/>
        <c:varyColors val="0"/>
        <c:ser>
          <c:idx val="5"/>
          <c:order val="5"/>
          <c:tx>
            <c:strRef>
              <c:f>'1.var_LIEL'!$A$105</c:f>
              <c:strCache>
                <c:ptCount val="1"/>
                <c:pt idx="0">
                  <c:v>Inerces variants</c:v>
                </c:pt>
              </c:strCache>
            </c:strRef>
          </c:tx>
          <c:spPr>
            <a:solidFill>
              <a:schemeClr val="bg1">
                <a:lumMod val="75000"/>
              </a:schemeClr>
            </a:solidFill>
            <a:ln>
              <a:solidFill>
                <a:schemeClr val="bg1">
                  <a:lumMod val="75000"/>
                </a:schemeClr>
              </a:solidFill>
            </a:ln>
          </c:spPr>
          <c:invertIfNegative val="0"/>
          <c:cat>
            <c:numRef>
              <c:f>'1.var_LIEL'!$B$99:$G$99</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'1.var_LIEL'!$B$105:$G$105</c:f>
              <c:numCache>
                <c:formatCode>0.0%</c:formatCode>
                <c:ptCount val="6"/>
                <c:pt idx="0">
                  <c:v>1</c:v>
                </c:pt>
                <c:pt idx="1">
                  <c:v>1</c:v>
                </c:pt>
                <c:pt idx="2">
                  <c:v>1</c:v>
                </c:pt>
                <c:pt idx="3">
                  <c:v>1</c:v>
                </c:pt>
                <c:pt idx="4">
                  <c:v>1</c:v>
                </c:pt>
                <c:pt idx="5">
                  <c:v>1</c:v>
                </c:pt>
              </c:numCache>
            </c:numRef>
          </c:val>
        </c:ser>
        <c:dLbls>
          <c:showLegendKey val="0"/>
          <c:showVal val="0"/>
          <c:showCatName val="0"/>
          <c:showSerName val="0"/>
          <c:showPercent val="0"/>
          <c:showBubbleSize val="0"/>
        </c:dLbls>
        <c:gapWidth val="150"/>
        <c:axId val="58600448"/>
        <c:axId val="58623104"/>
      </c:barChart>
      <c:lineChart>
        <c:grouping val="standard"/>
        <c:varyColors val="0"/>
        <c:ser>
          <c:idx val="0"/>
          <c:order val="0"/>
          <c:tx>
            <c:strRef>
              <c:f>'1.var_LIEL'!$A$100</c:f>
              <c:strCache>
                <c:ptCount val="1"/>
                <c:pt idx="0">
                  <c:v>Kp =150%</c:v>
                </c:pt>
              </c:strCache>
            </c:strRef>
          </c:tx>
          <c:marker>
            <c:symbol val="none"/>
          </c:marker>
          <c:cat>
            <c:numRef>
              <c:f>'1.var_LIEL'!$B$99:$G$99</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'1.var_LIEL'!$B$100:$G$100</c:f>
              <c:numCache>
                <c:formatCode>0.0%</c:formatCode>
                <c:ptCount val="6"/>
                <c:pt idx="0">
                  <c:v>0.98949704084737677</c:v>
                </c:pt>
                <c:pt idx="1">
                  <c:v>0.96702400278484291</c:v>
                </c:pt>
                <c:pt idx="2">
                  <c:v>0.92909583444085131</c:v>
                </c:pt>
                <c:pt idx="3">
                  <c:v>0.88500939316828553</c:v>
                </c:pt>
                <c:pt idx="4">
                  <c:v>0.83313230971251051</c:v>
                </c:pt>
                <c:pt idx="5">
                  <c:v>0.77100000000000024</c:v>
                </c:pt>
              </c:numCache>
            </c:numRef>
          </c:val>
          <c:smooth val="0"/>
        </c:ser>
        <c:ser>
          <c:idx val="1"/>
          <c:order val="1"/>
          <c:tx>
            <c:strRef>
              <c:f>'1.var_LIEL'!$A$101</c:f>
              <c:strCache>
                <c:ptCount val="1"/>
                <c:pt idx="0">
                  <c:v>Kp =200%</c:v>
                </c:pt>
              </c:strCache>
            </c:strRef>
          </c:tx>
          <c:marker>
            <c:symbol val="none"/>
          </c:marker>
          <c:cat>
            <c:numRef>
              <c:f>'1.var_LIEL'!$B$99:$G$99</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'1.var_LIEL'!$B$101:$G$101</c:f>
              <c:numCache>
                <c:formatCode>0.0%</c:formatCode>
                <c:ptCount val="6"/>
                <c:pt idx="0">
                  <c:v>0.97899408169475421</c:v>
                </c:pt>
                <c:pt idx="1">
                  <c:v>0.93404800556968492</c:v>
                </c:pt>
                <c:pt idx="2">
                  <c:v>0.85819166888170184</c:v>
                </c:pt>
                <c:pt idx="3">
                  <c:v>0.77001878633657095</c:v>
                </c:pt>
                <c:pt idx="4">
                  <c:v>0.66626461942502291</c:v>
                </c:pt>
                <c:pt idx="5">
                  <c:v>0.54200000000000004</c:v>
                </c:pt>
              </c:numCache>
            </c:numRef>
          </c:val>
          <c:smooth val="0"/>
        </c:ser>
        <c:ser>
          <c:idx val="2"/>
          <c:order val="2"/>
          <c:tx>
            <c:strRef>
              <c:f>'1.var_LIEL'!$A$102</c:f>
              <c:strCache>
                <c:ptCount val="1"/>
                <c:pt idx="0">
                  <c:v>Kp =250%</c:v>
                </c:pt>
              </c:strCache>
            </c:strRef>
          </c:tx>
          <c:marker>
            <c:symbol val="circle"/>
            <c:size val="5"/>
            <c:spPr>
              <a:ln>
                <a:solidFill>
                  <a:schemeClr val="bg1"/>
                </a:solidFill>
              </a:ln>
            </c:spPr>
          </c:marker>
          <c:cat>
            <c:numRef>
              <c:f>'1.var_LIEL'!$B$99:$G$99</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'1.var_LIEL'!$B$102:$G$102</c:f>
              <c:numCache>
                <c:formatCode>0.0%</c:formatCode>
                <c:ptCount val="6"/>
                <c:pt idx="0">
                  <c:v>0.96849112254213099</c:v>
                </c:pt>
                <c:pt idx="1">
                  <c:v>0.90107200835452739</c:v>
                </c:pt>
                <c:pt idx="2">
                  <c:v>0.78728750332255248</c:v>
                </c:pt>
                <c:pt idx="3">
                  <c:v>0.65502817950485648</c:v>
                </c:pt>
                <c:pt idx="4">
                  <c:v>0.49939692913753375</c:v>
                </c:pt>
                <c:pt idx="5">
                  <c:v>0.31400000000000011</c:v>
                </c:pt>
              </c:numCache>
            </c:numRef>
          </c:val>
          <c:smooth val="0"/>
        </c:ser>
        <c:ser>
          <c:idx val="3"/>
          <c:order val="3"/>
          <c:tx>
            <c:strRef>
              <c:f>'1.var_LIEL'!$A$103</c:f>
              <c:strCache>
                <c:ptCount val="1"/>
                <c:pt idx="0">
                  <c:v>Kp =300%</c:v>
                </c:pt>
              </c:strCache>
            </c:strRef>
          </c:tx>
          <c:marker>
            <c:symbol val="none"/>
          </c:marker>
          <c:cat>
            <c:numRef>
              <c:f>'1.var_LIEL'!$B$99:$G$99</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'1.var_LIEL'!$B$103:$G$103</c:f>
              <c:numCache>
                <c:formatCode>0.0%</c:formatCode>
                <c:ptCount val="6"/>
                <c:pt idx="0">
                  <c:v>0.95798816338950799</c:v>
                </c:pt>
                <c:pt idx="1">
                  <c:v>0.86809601113936952</c:v>
                </c:pt>
                <c:pt idx="2">
                  <c:v>0.71638333776340368</c:v>
                </c:pt>
                <c:pt idx="3">
                  <c:v>0.5400375726731419</c:v>
                </c:pt>
                <c:pt idx="4">
                  <c:v>0.33252923885004487</c:v>
                </c:pt>
                <c:pt idx="5">
                  <c:v>8.5000000000000034E-2</c:v>
                </c:pt>
              </c:numCache>
            </c:numRef>
          </c:val>
          <c:smooth val="0"/>
        </c:ser>
        <c:ser>
          <c:idx val="4"/>
          <c:order val="4"/>
          <c:tx>
            <c:strRef>
              <c:f>'1.var_LIEL'!$A$104</c:f>
              <c:strCache>
                <c:ptCount val="1"/>
                <c:pt idx="0">
                  <c:v>Kp =350%</c:v>
                </c:pt>
              </c:strCache>
            </c:strRef>
          </c:tx>
          <c:marker>
            <c:symbol val="none"/>
          </c:marker>
          <c:cat>
            <c:numRef>
              <c:f>'1.var_LIEL'!$B$99:$G$99</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'1.var_LIEL'!$B$104:$G$104</c:f>
              <c:numCache>
                <c:formatCode>0.0%</c:formatCode>
                <c:ptCount val="6"/>
                <c:pt idx="0">
                  <c:v>0.94748520423688498</c:v>
                </c:pt>
                <c:pt idx="1">
                  <c:v>0.83512001392421165</c:v>
                </c:pt>
                <c:pt idx="2">
                  <c:v>0.64547917220425477</c:v>
                </c:pt>
                <c:pt idx="3">
                  <c:v>0.42504696584142704</c:v>
                </c:pt>
                <c:pt idx="4">
                  <c:v>0.16566154856255597</c:v>
                </c:pt>
                <c:pt idx="5">
                  <c:v>-0.2</c:v>
                </c:pt>
              </c:numCache>
            </c:numRef>
          </c:val>
          <c:smooth val="0"/>
        </c:ser>
        <c:ser>
          <c:idx val="6"/>
          <c:order val="6"/>
          <c:tx>
            <c:strRef>
              <c:f>'1.var_LIEL'!$A$106</c:f>
              <c:strCache>
                <c:ptCount val="1"/>
                <c:pt idx="0">
                  <c:v>UIN samazinājuma  ierobežojums</c:v>
                </c:pt>
              </c:strCache>
            </c:strRef>
          </c:tx>
          <c:spPr>
            <a:ln>
              <a:solidFill>
                <a:schemeClr val="accent1">
                  <a:lumMod val="50000"/>
                </a:schemeClr>
              </a:solidFill>
              <a:prstDash val="sysDot"/>
            </a:ln>
          </c:spPr>
          <c:marker>
            <c:symbol val="none"/>
          </c:marker>
          <c:val>
            <c:numRef>
              <c:f>'1.var_LIEL'!$B$106:$G$106</c:f>
              <c:numCache>
                <c:formatCode>0%</c:formatCode>
                <c:ptCount val="6"/>
                <c:pt idx="0">
                  <c:v>0.5</c:v>
                </c:pt>
                <c:pt idx="1">
                  <c:v>0.5</c:v>
                </c:pt>
                <c:pt idx="2">
                  <c:v>0.5</c:v>
                </c:pt>
                <c:pt idx="3">
                  <c:v>0.5</c:v>
                </c:pt>
                <c:pt idx="4">
                  <c:v>0.5</c:v>
                </c:pt>
                <c:pt idx="5">
                  <c:v>0.5</c:v>
                </c:pt>
              </c:numCache>
            </c:numRef>
          </c:val>
          <c:smooth val="0"/>
        </c:ser>
        <c:dLbls>
          <c:showLegendKey val="0"/>
          <c:showVal val="0"/>
          <c:showCatName val="0"/>
          <c:showSerName val="0"/>
          <c:showPercent val="0"/>
          <c:showBubbleSize val="0"/>
        </c:dLbls>
        <c:marker val="1"/>
        <c:smooth val="0"/>
        <c:axId val="58600448"/>
        <c:axId val="58623104"/>
      </c:lineChart>
      <c:catAx>
        <c:axId val="58600448"/>
        <c:scaling>
          <c:orientation val="minMax"/>
        </c:scaling>
        <c:delete val="0"/>
        <c:axPos val="b"/>
        <c:title>
          <c:tx>
            <c:rich>
              <a:bodyPr/>
              <a:lstStyle/>
              <a:p>
                <a:pPr>
                  <a:defRPr/>
                </a:pPr>
                <a:r>
                  <a:rPr lang="lv-LV"/>
                  <a:t>ZP izdevumi  procentos no NA</a:t>
                </a:r>
              </a:p>
            </c:rich>
          </c:tx>
          <c:layout/>
          <c:overlay val="0"/>
        </c:title>
        <c:numFmt formatCode="0.0%" sourceLinked="1"/>
        <c:majorTickMark val="out"/>
        <c:minorTickMark val="none"/>
        <c:tickLblPos val="nextTo"/>
        <c:txPr>
          <a:bodyPr/>
          <a:lstStyle/>
          <a:p>
            <a:pPr>
              <a:defRPr b="1"/>
            </a:pPr>
            <a:endParaRPr lang="lv-LV"/>
          </a:p>
        </c:txPr>
        <c:crossAx val="58623104"/>
        <c:crosses val="autoZero"/>
        <c:auto val="1"/>
        <c:lblAlgn val="ctr"/>
        <c:lblOffset val="100"/>
        <c:noMultiLvlLbl val="0"/>
      </c:catAx>
      <c:valAx>
        <c:axId val="58623104"/>
        <c:scaling>
          <c:orientation val="minMax"/>
          <c:max val="1"/>
          <c:min val="0"/>
        </c:scaling>
        <c:delete val="0"/>
        <c:axPos val="l"/>
        <c:majorGridlines>
          <c:spPr>
            <a:ln>
              <a:solidFill>
                <a:schemeClr val="bg1">
                  <a:lumMod val="75000"/>
                </a:schemeClr>
              </a:solidFill>
            </a:ln>
          </c:spPr>
        </c:majorGridlines>
        <c:numFmt formatCode="0%" sourceLinked="0"/>
        <c:majorTickMark val="out"/>
        <c:minorTickMark val="none"/>
        <c:tickLblPos val="nextTo"/>
        <c:crossAx val="58600448"/>
        <c:crosses val="autoZero"/>
        <c:crossBetween val="between"/>
      </c:valAx>
      <c:spPr>
        <a:solidFill>
          <a:schemeClr val="bg1">
            <a:lumMod val="95000"/>
          </a:schemeClr>
        </a:solidFill>
        <a:ln>
          <a:solidFill>
            <a:schemeClr val="bg1"/>
          </a:solidFill>
        </a:ln>
      </c:spPr>
    </c:plotArea>
    <c:legend>
      <c:legendPos val="r"/>
      <c:legendEntry>
        <c:idx val="3"/>
        <c:txPr>
          <a:bodyPr/>
          <a:lstStyle/>
          <a:p>
            <a:pPr>
              <a:defRPr b="1"/>
            </a:pPr>
            <a:endParaRPr lang="lv-LV"/>
          </a:p>
        </c:txPr>
      </c:legendEntry>
      <c:layout>
        <c:manualLayout>
          <c:xMode val="edge"/>
          <c:yMode val="edge"/>
          <c:x val="0.69043530432901423"/>
          <c:y val="0.20718175853018372"/>
          <c:w val="0.28931439652394336"/>
          <c:h val="0.74652194517352022"/>
        </c:manualLayout>
      </c:layout>
      <c:overlay val="0"/>
    </c:legend>
    <c:plotVisOnly val="1"/>
    <c:dispBlanksAs val="gap"/>
    <c:showDLblsOverMax val="0"/>
  </c:chart>
  <c:spPr>
    <a:solidFill>
      <a:schemeClr val="bg1">
        <a:lumMod val="85000"/>
      </a:schemeClr>
    </a:solidFill>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a:t>UIN maksājumu</a:t>
            </a:r>
            <a:r>
              <a:rPr lang="lv-LV" sz="1200" baseline="0"/>
              <a:t> samazinājums, tūkst.LVL </a:t>
            </a:r>
          </a:p>
          <a:p>
            <a:pPr>
              <a:defRPr sz="1200"/>
            </a:pPr>
            <a:r>
              <a:rPr lang="lv-LV" sz="1200" baseline="0"/>
              <a:t>(Lielie uzņēmumi)</a:t>
            </a:r>
            <a:endParaRPr lang="lv-LV" sz="1200"/>
          </a:p>
        </c:rich>
      </c:tx>
      <c:layout/>
      <c:overlay val="1"/>
    </c:title>
    <c:autoTitleDeleted val="0"/>
    <c:plotArea>
      <c:layout>
        <c:manualLayout>
          <c:layoutTarget val="inner"/>
          <c:xMode val="edge"/>
          <c:yMode val="edge"/>
          <c:x val="0.1064328521434821"/>
          <c:y val="0.17640055409740457"/>
          <c:w val="0.60745516185476789"/>
          <c:h val="0.67521216097987768"/>
        </c:manualLayout>
      </c:layout>
      <c:barChart>
        <c:barDir val="col"/>
        <c:grouping val="clustered"/>
        <c:varyColors val="0"/>
        <c:ser>
          <c:idx val="5"/>
          <c:order val="5"/>
          <c:tx>
            <c:strRef>
              <c:f>'1.var_LIEL'!$A$154</c:f>
              <c:strCache>
                <c:ptCount val="1"/>
                <c:pt idx="0">
                  <c:v>Inerces variants</c:v>
                </c:pt>
              </c:strCache>
            </c:strRef>
          </c:tx>
          <c:spPr>
            <a:solidFill>
              <a:schemeClr val="bg1">
                <a:lumMod val="75000"/>
              </a:schemeClr>
            </a:solidFill>
            <a:ln>
              <a:solidFill>
                <a:schemeClr val="bg1">
                  <a:lumMod val="65000"/>
                </a:schemeClr>
              </a:solidFill>
            </a:ln>
          </c:spPr>
          <c:invertIfNegative val="0"/>
          <c:cat>
            <c:numRef>
              <c:f>'1.var_LIEL'!$B$148:$G$148</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'1.var_LIEL'!$B$154:$G$154</c:f>
              <c:numCache>
                <c:formatCode>#,##0</c:formatCode>
                <c:ptCount val="6"/>
                <c:pt idx="0">
                  <c:v>2221.8738225000006</c:v>
                </c:pt>
                <c:pt idx="1">
                  <c:v>2123.0214674999997</c:v>
                </c:pt>
                <c:pt idx="2">
                  <c:v>1974.742935</c:v>
                </c:pt>
                <c:pt idx="3">
                  <c:v>1826.4644024999998</c:v>
                </c:pt>
                <c:pt idx="4">
                  <c:v>1678.18587</c:v>
                </c:pt>
                <c:pt idx="5">
                  <c:v>1530</c:v>
                </c:pt>
              </c:numCache>
            </c:numRef>
          </c:val>
        </c:ser>
        <c:dLbls>
          <c:showLegendKey val="0"/>
          <c:showVal val="0"/>
          <c:showCatName val="0"/>
          <c:showSerName val="0"/>
          <c:showPercent val="0"/>
          <c:showBubbleSize val="0"/>
        </c:dLbls>
        <c:gapWidth val="150"/>
        <c:axId val="58722176"/>
        <c:axId val="58728448"/>
      </c:barChart>
      <c:lineChart>
        <c:grouping val="standard"/>
        <c:varyColors val="0"/>
        <c:ser>
          <c:idx val="0"/>
          <c:order val="0"/>
          <c:tx>
            <c:strRef>
              <c:f>'1.var_LIEL'!$A$149</c:f>
              <c:strCache>
                <c:ptCount val="1"/>
                <c:pt idx="0">
                  <c:v>Kp=150%</c:v>
                </c:pt>
              </c:strCache>
            </c:strRef>
          </c:tx>
          <c:marker>
            <c:symbol val="none"/>
          </c:marker>
          <c:cat>
            <c:numRef>
              <c:f>'1.var_LIEL'!$B$148:$G$148</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'1.var_LIEL'!$B$149:$G$149</c:f>
              <c:numCache>
                <c:formatCode>#,##0</c:formatCode>
                <c:ptCount val="6"/>
                <c:pt idx="0">
                  <c:v>2198.5375725000013</c:v>
                </c:pt>
                <c:pt idx="1">
                  <c:v>2053.0127175000016</c:v>
                </c:pt>
                <c:pt idx="2">
                  <c:v>1834.7254349999998</c:v>
                </c:pt>
                <c:pt idx="3">
                  <c:v>1616.4381525000001</c:v>
                </c:pt>
                <c:pt idx="4">
                  <c:v>1398.1508699999997</c:v>
                </c:pt>
                <c:pt idx="5">
                  <c:v>1180</c:v>
                </c:pt>
              </c:numCache>
            </c:numRef>
          </c:val>
          <c:smooth val="0"/>
        </c:ser>
        <c:ser>
          <c:idx val="1"/>
          <c:order val="1"/>
          <c:tx>
            <c:strRef>
              <c:f>'1.var_LIEL'!$A$150</c:f>
              <c:strCache>
                <c:ptCount val="1"/>
                <c:pt idx="0">
                  <c:v>Kp=200%</c:v>
                </c:pt>
              </c:strCache>
            </c:strRef>
          </c:tx>
          <c:marker>
            <c:symbol val="none"/>
          </c:marker>
          <c:cat>
            <c:numRef>
              <c:f>'1.var_LIEL'!$B$148:$G$148</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'1.var_LIEL'!$B$150:$G$150</c:f>
              <c:numCache>
                <c:formatCode>#,##0</c:formatCode>
                <c:ptCount val="6"/>
                <c:pt idx="0">
                  <c:v>2175.201322500001</c:v>
                </c:pt>
                <c:pt idx="1">
                  <c:v>1983.0039675</c:v>
                </c:pt>
                <c:pt idx="2">
                  <c:v>1694.7079350000001</c:v>
                </c:pt>
                <c:pt idx="3">
                  <c:v>1406.4119025</c:v>
                </c:pt>
                <c:pt idx="4">
                  <c:v>1118.1158700000003</c:v>
                </c:pt>
                <c:pt idx="5">
                  <c:v>830</c:v>
                </c:pt>
              </c:numCache>
            </c:numRef>
          </c:val>
          <c:smooth val="0"/>
        </c:ser>
        <c:ser>
          <c:idx val="2"/>
          <c:order val="2"/>
          <c:tx>
            <c:strRef>
              <c:f>'1.var_LIEL'!$A$151</c:f>
              <c:strCache>
                <c:ptCount val="1"/>
                <c:pt idx="0">
                  <c:v>Kp=250%</c:v>
                </c:pt>
              </c:strCache>
            </c:strRef>
          </c:tx>
          <c:marker>
            <c:symbol val="diamond"/>
            <c:size val="7"/>
            <c:spPr>
              <a:solidFill>
                <a:schemeClr val="accent6">
                  <a:lumMod val="50000"/>
                </a:schemeClr>
              </a:solidFill>
              <a:ln>
                <a:solidFill>
                  <a:schemeClr val="bg1"/>
                </a:solidFill>
              </a:ln>
            </c:spPr>
          </c:marker>
          <c:cat>
            <c:numRef>
              <c:f>'1.var_LIEL'!$B$148:$G$148</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'1.var_LIEL'!$B$151:$G$151</c:f>
              <c:numCache>
                <c:formatCode>#,##0</c:formatCode>
                <c:ptCount val="6"/>
                <c:pt idx="0">
                  <c:v>2151.8650725000007</c:v>
                </c:pt>
                <c:pt idx="1">
                  <c:v>1912.9952175000003</c:v>
                </c:pt>
                <c:pt idx="2">
                  <c:v>1554.6904349999995</c:v>
                </c:pt>
                <c:pt idx="3">
                  <c:v>1196.3856525000001</c:v>
                </c:pt>
                <c:pt idx="4">
                  <c:v>838.08087000000035</c:v>
                </c:pt>
                <c:pt idx="5">
                  <c:v>480</c:v>
                </c:pt>
              </c:numCache>
            </c:numRef>
          </c:val>
          <c:smooth val="0"/>
        </c:ser>
        <c:ser>
          <c:idx val="3"/>
          <c:order val="3"/>
          <c:tx>
            <c:strRef>
              <c:f>'1.var_LIEL'!$A$152</c:f>
              <c:strCache>
                <c:ptCount val="1"/>
                <c:pt idx="0">
                  <c:v>Kp=300%</c:v>
                </c:pt>
              </c:strCache>
            </c:strRef>
          </c:tx>
          <c:marker>
            <c:symbol val="none"/>
          </c:marker>
          <c:cat>
            <c:numRef>
              <c:f>'1.var_LIEL'!$B$148:$G$148</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'1.var_LIEL'!$B$152:$G$152</c:f>
              <c:numCache>
                <c:formatCode>#,##0</c:formatCode>
                <c:ptCount val="6"/>
                <c:pt idx="0">
                  <c:v>2128.528822499999</c:v>
                </c:pt>
                <c:pt idx="1">
                  <c:v>1842.9864675000001</c:v>
                </c:pt>
                <c:pt idx="2">
                  <c:v>1414.6729349999994</c:v>
                </c:pt>
                <c:pt idx="3">
                  <c:v>986.35940249999965</c:v>
                </c:pt>
                <c:pt idx="4">
                  <c:v>558.04587000000015</c:v>
                </c:pt>
                <c:pt idx="5">
                  <c:v>130</c:v>
                </c:pt>
              </c:numCache>
            </c:numRef>
          </c:val>
          <c:smooth val="0"/>
        </c:ser>
        <c:ser>
          <c:idx val="4"/>
          <c:order val="4"/>
          <c:tx>
            <c:strRef>
              <c:f>'1.var_LIEL'!$A$153</c:f>
              <c:strCache>
                <c:ptCount val="1"/>
                <c:pt idx="0">
                  <c:v>Kp=350%</c:v>
                </c:pt>
              </c:strCache>
            </c:strRef>
          </c:tx>
          <c:marker>
            <c:symbol val="none"/>
          </c:marker>
          <c:cat>
            <c:numRef>
              <c:f>'1.var_LIEL'!$B$148:$G$148</c:f>
              <c:numCache>
                <c:formatCode>0.0%</c:formatCode>
                <c:ptCount val="6"/>
                <c:pt idx="0">
                  <c:v>5.0000000000000018E-3</c:v>
                </c:pt>
                <c:pt idx="1">
                  <c:v>1.4999999999999998E-2</c:v>
                </c:pt>
                <c:pt idx="2">
                  <c:v>3.0000000000000002E-2</c:v>
                </c:pt>
                <c:pt idx="3">
                  <c:v>4.5000000000000012E-2</c:v>
                </c:pt>
                <c:pt idx="4">
                  <c:v>6.0000000000000019E-2</c:v>
                </c:pt>
                <c:pt idx="5">
                  <c:v>7.5000000000000011E-2</c:v>
                </c:pt>
              </c:numCache>
            </c:numRef>
          </c:cat>
          <c:val>
            <c:numRef>
              <c:f>'1.var_LIEL'!$B$153:$G$153</c:f>
              <c:numCache>
                <c:formatCode>#,##0</c:formatCode>
                <c:ptCount val="6"/>
                <c:pt idx="0">
                  <c:v>2105.192572500001</c:v>
                </c:pt>
                <c:pt idx="1">
                  <c:v>1772.9777175000006</c:v>
                </c:pt>
                <c:pt idx="2">
                  <c:v>1274.6554349999994</c:v>
                </c:pt>
                <c:pt idx="3">
                  <c:v>776.3331524999993</c:v>
                </c:pt>
                <c:pt idx="4">
                  <c:v>278.0108700000003</c:v>
                </c:pt>
                <c:pt idx="5">
                  <c:v>-300</c:v>
                </c:pt>
              </c:numCache>
            </c:numRef>
          </c:val>
          <c:smooth val="0"/>
        </c:ser>
        <c:dLbls>
          <c:showLegendKey val="0"/>
          <c:showVal val="0"/>
          <c:showCatName val="0"/>
          <c:showSerName val="0"/>
          <c:showPercent val="0"/>
          <c:showBubbleSize val="0"/>
        </c:dLbls>
        <c:marker val="1"/>
        <c:smooth val="0"/>
        <c:axId val="58722176"/>
        <c:axId val="58728448"/>
      </c:lineChart>
      <c:catAx>
        <c:axId val="58722176"/>
        <c:scaling>
          <c:orientation val="minMax"/>
        </c:scaling>
        <c:delete val="0"/>
        <c:axPos val="b"/>
        <c:title>
          <c:tx>
            <c:rich>
              <a:bodyPr/>
              <a:lstStyle/>
              <a:p>
                <a:pPr>
                  <a:defRPr/>
                </a:pPr>
                <a:r>
                  <a:rPr lang="lv-LV"/>
                  <a:t>ZP izdevumi procentos</a:t>
                </a:r>
                <a:r>
                  <a:rPr lang="lv-LV" baseline="0"/>
                  <a:t> no NA</a:t>
                </a:r>
                <a:endParaRPr lang="lv-LV"/>
              </a:p>
            </c:rich>
          </c:tx>
          <c:layout/>
          <c:overlay val="0"/>
        </c:title>
        <c:numFmt formatCode="0.0%" sourceLinked="1"/>
        <c:majorTickMark val="out"/>
        <c:minorTickMark val="none"/>
        <c:tickLblPos val="nextTo"/>
        <c:txPr>
          <a:bodyPr/>
          <a:lstStyle/>
          <a:p>
            <a:pPr>
              <a:defRPr b="1"/>
            </a:pPr>
            <a:endParaRPr lang="lv-LV"/>
          </a:p>
        </c:txPr>
        <c:crossAx val="58728448"/>
        <c:crosses val="autoZero"/>
        <c:auto val="1"/>
        <c:lblAlgn val="ctr"/>
        <c:lblOffset val="100"/>
        <c:noMultiLvlLbl val="0"/>
      </c:catAx>
      <c:valAx>
        <c:axId val="58728448"/>
        <c:scaling>
          <c:orientation val="minMax"/>
          <c:min val="0"/>
        </c:scaling>
        <c:delete val="0"/>
        <c:axPos val="l"/>
        <c:majorGridlines>
          <c:spPr>
            <a:ln>
              <a:solidFill>
                <a:schemeClr val="bg1">
                  <a:lumMod val="85000"/>
                </a:schemeClr>
              </a:solidFill>
            </a:ln>
          </c:spPr>
        </c:majorGridlines>
        <c:numFmt formatCode="#,##0" sourceLinked="1"/>
        <c:majorTickMark val="out"/>
        <c:minorTickMark val="none"/>
        <c:tickLblPos val="nextTo"/>
        <c:crossAx val="58722176"/>
        <c:crosses val="autoZero"/>
        <c:crossBetween val="between"/>
      </c:valAx>
      <c:spPr>
        <a:solidFill>
          <a:schemeClr val="bg1"/>
        </a:solidFill>
      </c:spPr>
    </c:plotArea>
    <c:legend>
      <c:legendPos val="r"/>
      <c:legendEntry>
        <c:idx val="3"/>
        <c:txPr>
          <a:bodyPr/>
          <a:lstStyle/>
          <a:p>
            <a:pPr>
              <a:defRPr b="1"/>
            </a:pPr>
            <a:endParaRPr lang="lv-LV"/>
          </a:p>
        </c:txPr>
      </c:legendEntry>
      <c:layout>
        <c:manualLayout>
          <c:xMode val="edge"/>
          <c:yMode val="edge"/>
          <c:x val="0.73611023622047289"/>
          <c:y val="0.1469965733449986"/>
          <c:w val="0.26111198600174984"/>
          <c:h val="0.72452537182852161"/>
        </c:manualLayout>
      </c:layout>
      <c:overlay val="0"/>
    </c:legend>
    <c:plotVisOnly val="1"/>
    <c:dispBlanksAs val="gap"/>
    <c:showDLblsOverMax val="0"/>
  </c:chart>
  <c:spPr>
    <a:solidFill>
      <a:schemeClr val="bg1">
        <a:lumMod val="85000"/>
      </a:schemeClr>
    </a:solidFill>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a:t>UIN maksājumu  samazinājums , %</a:t>
            </a:r>
          </a:p>
          <a:p>
            <a:pPr>
              <a:defRPr sz="1200"/>
            </a:pPr>
            <a:r>
              <a:rPr lang="lv-LV" sz="1200"/>
              <a:t>(Vidējie uzņēmumi)</a:t>
            </a:r>
          </a:p>
        </c:rich>
      </c:tx>
      <c:layout/>
      <c:overlay val="1"/>
    </c:title>
    <c:autoTitleDeleted val="0"/>
    <c:plotArea>
      <c:layout>
        <c:manualLayout>
          <c:layoutTarget val="inner"/>
          <c:xMode val="edge"/>
          <c:yMode val="edge"/>
          <c:x val="0.1059328521434821"/>
          <c:y val="0.19491907261592306"/>
          <c:w val="0.58573293963254569"/>
          <c:h val="0.64743438320209978"/>
        </c:manualLayout>
      </c:layout>
      <c:barChart>
        <c:barDir val="col"/>
        <c:grouping val="clustered"/>
        <c:varyColors val="0"/>
        <c:ser>
          <c:idx val="5"/>
          <c:order val="5"/>
          <c:tx>
            <c:strRef>
              <c:f>'1.var_VID'!$A$101</c:f>
              <c:strCache>
                <c:ptCount val="1"/>
                <c:pt idx="0">
                  <c:v>Inerces variants</c:v>
                </c:pt>
              </c:strCache>
            </c:strRef>
          </c:tx>
          <c:spPr>
            <a:ln>
              <a:solidFill>
                <a:schemeClr val="bg1">
                  <a:lumMod val="65000"/>
                </a:schemeClr>
              </a:solidFill>
            </a:ln>
          </c:spPr>
          <c:invertIfNegative val="0"/>
          <c:cat>
            <c:numRef>
              <c:f>'1.var_VID'!$B$95:$F$95</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'1.var_VID'!$B$101:$F$101</c:f>
              <c:numCache>
                <c:formatCode>0%</c:formatCode>
                <c:ptCount val="5"/>
                <c:pt idx="0">
                  <c:v>1</c:v>
                </c:pt>
                <c:pt idx="1">
                  <c:v>1</c:v>
                </c:pt>
                <c:pt idx="2">
                  <c:v>1</c:v>
                </c:pt>
                <c:pt idx="3">
                  <c:v>1</c:v>
                </c:pt>
                <c:pt idx="4">
                  <c:v>1</c:v>
                </c:pt>
              </c:numCache>
            </c:numRef>
          </c:val>
        </c:ser>
        <c:dLbls>
          <c:showLegendKey val="0"/>
          <c:showVal val="0"/>
          <c:showCatName val="0"/>
          <c:showSerName val="0"/>
          <c:showPercent val="0"/>
          <c:showBubbleSize val="0"/>
        </c:dLbls>
        <c:gapWidth val="150"/>
        <c:axId val="58759040"/>
        <c:axId val="58765312"/>
      </c:barChart>
      <c:lineChart>
        <c:grouping val="standard"/>
        <c:varyColors val="0"/>
        <c:ser>
          <c:idx val="0"/>
          <c:order val="0"/>
          <c:tx>
            <c:strRef>
              <c:f>'1.var_VID'!$A$96</c:f>
              <c:strCache>
                <c:ptCount val="1"/>
                <c:pt idx="0">
                  <c:v>Kp=200%</c:v>
                </c:pt>
              </c:strCache>
            </c:strRef>
          </c:tx>
          <c:marker>
            <c:symbol val="none"/>
          </c:marker>
          <c:cat>
            <c:numRef>
              <c:f>'1.var_VID'!$B$95:$F$95</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'1.var_VID'!$B$96:$F$96</c:f>
              <c:numCache>
                <c:formatCode>0.0%</c:formatCode>
                <c:ptCount val="5"/>
                <c:pt idx="0">
                  <c:v>0.92214475119016859</c:v>
                </c:pt>
                <c:pt idx="1">
                  <c:v>0.85560462916555213</c:v>
                </c:pt>
                <c:pt idx="2">
                  <c:v>0.8011787136772105</c:v>
                </c:pt>
                <c:pt idx="3">
                  <c:v>0.76040708845707372</c:v>
                </c:pt>
                <c:pt idx="4">
                  <c:v>0.73606669402410918</c:v>
                </c:pt>
              </c:numCache>
            </c:numRef>
          </c:val>
          <c:smooth val="0"/>
        </c:ser>
        <c:ser>
          <c:idx val="1"/>
          <c:order val="1"/>
          <c:tx>
            <c:strRef>
              <c:f>'1.var_VID'!$A$97</c:f>
              <c:strCache>
                <c:ptCount val="1"/>
                <c:pt idx="0">
                  <c:v>Kp=250%</c:v>
                </c:pt>
              </c:strCache>
            </c:strRef>
          </c:tx>
          <c:marker>
            <c:symbol val="none"/>
          </c:marker>
          <c:cat>
            <c:numRef>
              <c:f>'1.var_VID'!$B$95:$F$95</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'1.var_VID'!$B$97:$F$97</c:f>
              <c:numCache>
                <c:formatCode>0.0%</c:formatCode>
                <c:ptCount val="5"/>
                <c:pt idx="0">
                  <c:v>0.8832171267852521</c:v>
                </c:pt>
                <c:pt idx="1">
                  <c:v>0.76991004706795652</c:v>
                </c:pt>
                <c:pt idx="2">
                  <c:v>0.65824464730568688</c:v>
                </c:pt>
                <c:pt idx="3">
                  <c:v>0.54579982729494825</c:v>
                </c:pt>
                <c:pt idx="4">
                  <c:v>0.42910539490557642</c:v>
                </c:pt>
              </c:numCache>
            </c:numRef>
          </c:val>
          <c:smooth val="0"/>
        </c:ser>
        <c:ser>
          <c:idx val="2"/>
          <c:order val="2"/>
          <c:tx>
            <c:strRef>
              <c:f>'1.var_VID'!$A$98</c:f>
              <c:strCache>
                <c:ptCount val="1"/>
                <c:pt idx="0">
                  <c:v>Kp=300%</c:v>
                </c:pt>
              </c:strCache>
            </c:strRef>
          </c:tx>
          <c:marker>
            <c:symbol val="circle"/>
            <c:size val="5"/>
            <c:spPr>
              <a:solidFill>
                <a:schemeClr val="bg1"/>
              </a:solidFill>
            </c:spPr>
          </c:marker>
          <c:cat>
            <c:numRef>
              <c:f>'1.var_VID'!$B$95:$F$95</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'1.var_VID'!$B$98:$F$98</c:f>
              <c:numCache>
                <c:formatCode>0.0%</c:formatCode>
                <c:ptCount val="5"/>
                <c:pt idx="0">
                  <c:v>0.84428950238033684</c:v>
                </c:pt>
                <c:pt idx="1">
                  <c:v>0.6842154649703609</c:v>
                </c:pt>
                <c:pt idx="2">
                  <c:v>0.51531058093416238</c:v>
                </c:pt>
                <c:pt idx="3">
                  <c:v>0.33119256613282255</c:v>
                </c:pt>
                <c:pt idx="4">
                  <c:v>0.12214409578704399</c:v>
                </c:pt>
              </c:numCache>
            </c:numRef>
          </c:val>
          <c:smooth val="0"/>
        </c:ser>
        <c:ser>
          <c:idx val="3"/>
          <c:order val="3"/>
          <c:tx>
            <c:strRef>
              <c:f>'1.var_VID'!$A$99</c:f>
              <c:strCache>
                <c:ptCount val="1"/>
                <c:pt idx="0">
                  <c:v>Kp=350%</c:v>
                </c:pt>
              </c:strCache>
            </c:strRef>
          </c:tx>
          <c:marker>
            <c:symbol val="none"/>
          </c:marker>
          <c:cat>
            <c:numRef>
              <c:f>'1.var_VID'!$B$95:$F$95</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'1.var_VID'!$B$99:$F$99</c:f>
              <c:numCache>
                <c:formatCode>0.0%</c:formatCode>
                <c:ptCount val="5"/>
                <c:pt idx="0">
                  <c:v>0.80536187797542114</c:v>
                </c:pt>
                <c:pt idx="1">
                  <c:v>0.5985208828727655</c:v>
                </c:pt>
                <c:pt idx="2">
                  <c:v>0.37237651456263904</c:v>
                </c:pt>
                <c:pt idx="3">
                  <c:v>0.11658530497069663</c:v>
                </c:pt>
                <c:pt idx="4">
                  <c:v>-0.15000000000000005</c:v>
                </c:pt>
              </c:numCache>
            </c:numRef>
          </c:val>
          <c:smooth val="0"/>
        </c:ser>
        <c:ser>
          <c:idx val="4"/>
          <c:order val="4"/>
          <c:tx>
            <c:strRef>
              <c:f>'1.var_VID'!$A$100</c:f>
              <c:strCache>
                <c:ptCount val="1"/>
                <c:pt idx="0">
                  <c:v>Kp=400%</c:v>
                </c:pt>
              </c:strCache>
            </c:strRef>
          </c:tx>
          <c:marker>
            <c:symbol val="none"/>
          </c:marker>
          <c:cat>
            <c:numRef>
              <c:f>'1.var_VID'!$B$95:$F$95</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'1.var_VID'!$B$100:$F$100</c:f>
              <c:numCache>
                <c:formatCode>0.0%</c:formatCode>
                <c:ptCount val="5"/>
                <c:pt idx="0">
                  <c:v>0.76643425357050576</c:v>
                </c:pt>
                <c:pt idx="1">
                  <c:v>0.51282630077517033</c:v>
                </c:pt>
                <c:pt idx="2">
                  <c:v>0.22944244819111526</c:v>
                </c:pt>
                <c:pt idx="3">
                  <c:v>-0.05</c:v>
                </c:pt>
                <c:pt idx="4">
                  <c:v>0</c:v>
                </c:pt>
              </c:numCache>
            </c:numRef>
          </c:val>
          <c:smooth val="0"/>
        </c:ser>
        <c:ser>
          <c:idx val="6"/>
          <c:order val="6"/>
          <c:tx>
            <c:strRef>
              <c:f>'1.var_VID'!$A$102</c:f>
              <c:strCache>
                <c:ptCount val="1"/>
                <c:pt idx="0">
                  <c:v>UIN samazinājuma  ierobežojums</c:v>
                </c:pt>
              </c:strCache>
            </c:strRef>
          </c:tx>
          <c:spPr>
            <a:ln>
              <a:solidFill>
                <a:schemeClr val="accent6">
                  <a:lumMod val="75000"/>
                </a:schemeClr>
              </a:solidFill>
              <a:prstDash val="sysDot"/>
            </a:ln>
          </c:spPr>
          <c:marker>
            <c:symbol val="none"/>
          </c:marker>
          <c:val>
            <c:numRef>
              <c:f>'1.var_VID'!$B$102:$F$102</c:f>
              <c:numCache>
                <c:formatCode>0%</c:formatCode>
                <c:ptCount val="5"/>
                <c:pt idx="0">
                  <c:v>0.5</c:v>
                </c:pt>
                <c:pt idx="1">
                  <c:v>0.5</c:v>
                </c:pt>
                <c:pt idx="2">
                  <c:v>0.5</c:v>
                </c:pt>
                <c:pt idx="3">
                  <c:v>0.5</c:v>
                </c:pt>
                <c:pt idx="4">
                  <c:v>0.5</c:v>
                </c:pt>
              </c:numCache>
            </c:numRef>
          </c:val>
          <c:smooth val="0"/>
        </c:ser>
        <c:dLbls>
          <c:showLegendKey val="0"/>
          <c:showVal val="0"/>
          <c:showCatName val="0"/>
          <c:showSerName val="0"/>
          <c:showPercent val="0"/>
          <c:showBubbleSize val="0"/>
        </c:dLbls>
        <c:marker val="1"/>
        <c:smooth val="0"/>
        <c:axId val="58759040"/>
        <c:axId val="58765312"/>
      </c:lineChart>
      <c:catAx>
        <c:axId val="58759040"/>
        <c:scaling>
          <c:orientation val="minMax"/>
        </c:scaling>
        <c:delete val="0"/>
        <c:axPos val="b"/>
        <c:title>
          <c:tx>
            <c:rich>
              <a:bodyPr/>
              <a:lstStyle/>
              <a:p>
                <a:pPr>
                  <a:defRPr/>
                </a:pPr>
                <a:r>
                  <a:rPr lang="en-US"/>
                  <a:t>ZP izdevumi procentos no NA</a:t>
                </a:r>
              </a:p>
            </c:rich>
          </c:tx>
          <c:layout/>
          <c:overlay val="0"/>
        </c:title>
        <c:numFmt formatCode="0.0%" sourceLinked="1"/>
        <c:majorTickMark val="out"/>
        <c:minorTickMark val="none"/>
        <c:tickLblPos val="nextTo"/>
        <c:txPr>
          <a:bodyPr/>
          <a:lstStyle/>
          <a:p>
            <a:pPr>
              <a:defRPr b="1"/>
            </a:pPr>
            <a:endParaRPr lang="lv-LV"/>
          </a:p>
        </c:txPr>
        <c:crossAx val="58765312"/>
        <c:crosses val="autoZero"/>
        <c:auto val="1"/>
        <c:lblAlgn val="ctr"/>
        <c:lblOffset val="100"/>
        <c:noMultiLvlLbl val="0"/>
      </c:catAx>
      <c:valAx>
        <c:axId val="58765312"/>
        <c:scaling>
          <c:orientation val="minMax"/>
          <c:max val="1"/>
          <c:min val="0"/>
        </c:scaling>
        <c:delete val="0"/>
        <c:axPos val="l"/>
        <c:majorGridlines/>
        <c:numFmt formatCode="0%" sourceLinked="1"/>
        <c:majorTickMark val="out"/>
        <c:minorTickMark val="none"/>
        <c:tickLblPos val="nextTo"/>
        <c:txPr>
          <a:bodyPr/>
          <a:lstStyle/>
          <a:p>
            <a:pPr>
              <a:defRPr b="1"/>
            </a:pPr>
            <a:endParaRPr lang="lv-LV"/>
          </a:p>
        </c:txPr>
        <c:crossAx val="58759040"/>
        <c:crosses val="autoZero"/>
        <c:crossBetween val="between"/>
      </c:valAx>
    </c:plotArea>
    <c:legend>
      <c:legendPos val="r"/>
      <c:legendEntry>
        <c:idx val="3"/>
        <c:txPr>
          <a:bodyPr/>
          <a:lstStyle/>
          <a:p>
            <a:pPr>
              <a:defRPr b="1"/>
            </a:pPr>
            <a:endParaRPr lang="lv-LV"/>
          </a:p>
        </c:txPr>
      </c:legendEntry>
      <c:layout>
        <c:manualLayout>
          <c:xMode val="edge"/>
          <c:yMode val="edge"/>
          <c:x val="0.69160145679464513"/>
          <c:y val="0.19214129483814524"/>
          <c:w val="0.29289466723636304"/>
          <c:h val="0.74767351997666953"/>
        </c:manualLayout>
      </c:layout>
      <c:overlay val="0"/>
    </c:legend>
    <c:plotVisOnly val="1"/>
    <c:dispBlanksAs val="gap"/>
    <c:showDLblsOverMax val="0"/>
  </c:chart>
  <c:spPr>
    <a:solidFill>
      <a:schemeClr val="bg1">
        <a:lumMod val="85000"/>
      </a:schemeClr>
    </a:solidFill>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a:t>UIN maksājumu samazinājums, tūkst.LVL</a:t>
            </a:r>
          </a:p>
          <a:p>
            <a:pPr>
              <a:defRPr sz="1200"/>
            </a:pPr>
            <a:r>
              <a:rPr lang="lv-LV" sz="1200"/>
              <a:t>(Vidējie uzņēmumi)</a:t>
            </a:r>
          </a:p>
        </c:rich>
      </c:tx>
      <c:layout/>
      <c:overlay val="1"/>
    </c:title>
    <c:autoTitleDeleted val="0"/>
    <c:plotArea>
      <c:layout>
        <c:manualLayout>
          <c:layoutTarget val="inner"/>
          <c:xMode val="edge"/>
          <c:yMode val="edge"/>
          <c:x val="8.6071741032370933E-2"/>
          <c:y val="0.18565981335666376"/>
          <c:w val="0.60559405074365702"/>
          <c:h val="0.65174017583466404"/>
        </c:manualLayout>
      </c:layout>
      <c:barChart>
        <c:barDir val="col"/>
        <c:grouping val="clustered"/>
        <c:varyColors val="0"/>
        <c:ser>
          <c:idx val="5"/>
          <c:order val="5"/>
          <c:tx>
            <c:strRef>
              <c:f>'1.var_VID'!$A$119</c:f>
              <c:strCache>
                <c:ptCount val="1"/>
                <c:pt idx="0">
                  <c:v>Inerces variants</c:v>
                </c:pt>
              </c:strCache>
            </c:strRef>
          </c:tx>
          <c:invertIfNegative val="0"/>
          <c:cat>
            <c:numRef>
              <c:f>'1.var_VID'!$B$113:$F$113</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'1.var_VID'!$B$119:$F$119</c:f>
              <c:numCache>
                <c:formatCode>#,##0</c:formatCode>
                <c:ptCount val="5"/>
                <c:pt idx="0">
                  <c:v>219.06037500000002</c:v>
                </c:pt>
                <c:pt idx="1">
                  <c:v>199.02074999999999</c:v>
                </c:pt>
                <c:pt idx="2">
                  <c:v>178.98112500000005</c:v>
                </c:pt>
                <c:pt idx="3">
                  <c:v>158.94150000000002</c:v>
                </c:pt>
                <c:pt idx="4">
                  <c:v>138.90187499999996</c:v>
                </c:pt>
              </c:numCache>
            </c:numRef>
          </c:val>
        </c:ser>
        <c:dLbls>
          <c:showLegendKey val="0"/>
          <c:showVal val="0"/>
          <c:showCatName val="0"/>
          <c:showSerName val="0"/>
          <c:showPercent val="0"/>
          <c:showBubbleSize val="0"/>
        </c:dLbls>
        <c:gapWidth val="150"/>
        <c:axId val="58814848"/>
        <c:axId val="58816768"/>
      </c:barChart>
      <c:lineChart>
        <c:grouping val="standard"/>
        <c:varyColors val="0"/>
        <c:ser>
          <c:idx val="0"/>
          <c:order val="0"/>
          <c:tx>
            <c:strRef>
              <c:f>'1.var_VID'!$A$114</c:f>
              <c:strCache>
                <c:ptCount val="1"/>
                <c:pt idx="0">
                  <c:v>Kp=200%</c:v>
                </c:pt>
              </c:strCache>
            </c:strRef>
          </c:tx>
          <c:marker>
            <c:symbol val="none"/>
          </c:marker>
          <c:cat>
            <c:numRef>
              <c:f>'1.var_VID'!$B$113:$F$113</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'1.var_VID'!$B$114:$F$114</c:f>
              <c:numCache>
                <c:formatCode>#,##0</c:formatCode>
                <c:ptCount val="5"/>
                <c:pt idx="0">
                  <c:v>202.00537499999999</c:v>
                </c:pt>
                <c:pt idx="1">
                  <c:v>170.28307499999991</c:v>
                </c:pt>
                <c:pt idx="2">
                  <c:v>143.39586750000001</c:v>
                </c:pt>
                <c:pt idx="3">
                  <c:v>120.86024325000001</c:v>
                </c:pt>
                <c:pt idx="4">
                  <c:v>102.24104392500006</c:v>
                </c:pt>
              </c:numCache>
            </c:numRef>
          </c:val>
          <c:smooth val="0"/>
        </c:ser>
        <c:ser>
          <c:idx val="1"/>
          <c:order val="1"/>
          <c:tx>
            <c:strRef>
              <c:f>'1.var_VID'!$A$115</c:f>
              <c:strCache>
                <c:ptCount val="1"/>
                <c:pt idx="0">
                  <c:v>Kp=250%</c:v>
                </c:pt>
              </c:strCache>
            </c:strRef>
          </c:tx>
          <c:marker>
            <c:symbol val="none"/>
          </c:marker>
          <c:cat>
            <c:numRef>
              <c:f>'1.var_VID'!$B$113:$F$113</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'1.var_VID'!$B$115:$F$115</c:f>
              <c:numCache>
                <c:formatCode>#,##0</c:formatCode>
                <c:ptCount val="5"/>
                <c:pt idx="0">
                  <c:v>193.47787499999998</c:v>
                </c:pt>
                <c:pt idx="1">
                  <c:v>153.22807499999996</c:v>
                </c:pt>
                <c:pt idx="2">
                  <c:v>117.81336749999997</c:v>
                </c:pt>
                <c:pt idx="3">
                  <c:v>86.750243249999997</c:v>
                </c:pt>
                <c:pt idx="4">
                  <c:v>59.603543925000011</c:v>
                </c:pt>
              </c:numCache>
            </c:numRef>
          </c:val>
          <c:smooth val="0"/>
        </c:ser>
        <c:ser>
          <c:idx val="2"/>
          <c:order val="2"/>
          <c:tx>
            <c:strRef>
              <c:f>'1.var_VID'!$A$116</c:f>
              <c:strCache>
                <c:ptCount val="1"/>
                <c:pt idx="0">
                  <c:v>Kp=300%</c:v>
                </c:pt>
              </c:strCache>
            </c:strRef>
          </c:tx>
          <c:marker>
            <c:symbol val="diamond"/>
            <c:size val="7"/>
            <c:spPr>
              <a:solidFill>
                <a:schemeClr val="bg1"/>
              </a:solidFill>
            </c:spPr>
          </c:marker>
          <c:cat>
            <c:numRef>
              <c:f>'1.var_VID'!$B$113:$F$113</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'1.var_VID'!$B$116:$F$116</c:f>
              <c:numCache>
                <c:formatCode>#,##0</c:formatCode>
                <c:ptCount val="5"/>
                <c:pt idx="0">
                  <c:v>184.95037500000001</c:v>
                </c:pt>
                <c:pt idx="1">
                  <c:v>136.1730749999999</c:v>
                </c:pt>
                <c:pt idx="2">
                  <c:v>92.230867499999974</c:v>
                </c:pt>
                <c:pt idx="3">
                  <c:v>52.640243249999969</c:v>
                </c:pt>
                <c:pt idx="4">
                  <c:v>16.966043925000001</c:v>
                </c:pt>
              </c:numCache>
            </c:numRef>
          </c:val>
          <c:smooth val="0"/>
        </c:ser>
        <c:ser>
          <c:idx val="3"/>
          <c:order val="3"/>
          <c:tx>
            <c:strRef>
              <c:f>'1.var_VID'!$A$117</c:f>
              <c:strCache>
                <c:ptCount val="1"/>
                <c:pt idx="0">
                  <c:v>Kp=350%</c:v>
                </c:pt>
              </c:strCache>
            </c:strRef>
          </c:tx>
          <c:marker>
            <c:symbol val="none"/>
          </c:marker>
          <c:cat>
            <c:numRef>
              <c:f>'1.var_VID'!$B$113:$F$113</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'1.var_VID'!$B$117:$F$117</c:f>
              <c:numCache>
                <c:formatCode>#,##0</c:formatCode>
                <c:ptCount val="5"/>
                <c:pt idx="0">
                  <c:v>176.422875</c:v>
                </c:pt>
                <c:pt idx="1">
                  <c:v>119.11807499999998</c:v>
                </c:pt>
                <c:pt idx="2">
                  <c:v>66.648367499999978</c:v>
                </c:pt>
                <c:pt idx="3">
                  <c:v>18.530243249999977</c:v>
                </c:pt>
                <c:pt idx="4">
                  <c:v>-30</c:v>
                </c:pt>
              </c:numCache>
            </c:numRef>
          </c:val>
          <c:smooth val="0"/>
        </c:ser>
        <c:ser>
          <c:idx val="4"/>
          <c:order val="4"/>
          <c:tx>
            <c:strRef>
              <c:f>'1.var_VID'!$A$118</c:f>
              <c:strCache>
                <c:ptCount val="1"/>
                <c:pt idx="0">
                  <c:v>Kp=400%</c:v>
                </c:pt>
              </c:strCache>
            </c:strRef>
          </c:tx>
          <c:marker>
            <c:symbol val="none"/>
          </c:marker>
          <c:cat>
            <c:numRef>
              <c:f>'1.var_VID'!$B$113:$F$113</c:f>
              <c:numCache>
                <c:formatCode>0.0%</c:formatCode>
                <c:ptCount val="5"/>
                <c:pt idx="0">
                  <c:v>5.0000000000000018E-3</c:v>
                </c:pt>
                <c:pt idx="1">
                  <c:v>1.0000000000000004E-2</c:v>
                </c:pt>
                <c:pt idx="2">
                  <c:v>1.4999999999999998E-2</c:v>
                </c:pt>
                <c:pt idx="3">
                  <c:v>2.0000000000000007E-2</c:v>
                </c:pt>
                <c:pt idx="4">
                  <c:v>2.5000000000000001E-2</c:v>
                </c:pt>
              </c:numCache>
            </c:numRef>
          </c:cat>
          <c:val>
            <c:numRef>
              <c:f>'1.var_VID'!$B$118:$F$118</c:f>
              <c:numCache>
                <c:formatCode>#,##0</c:formatCode>
                <c:ptCount val="5"/>
                <c:pt idx="0">
                  <c:v>167.89537500000003</c:v>
                </c:pt>
                <c:pt idx="1">
                  <c:v>102.06307499999996</c:v>
                </c:pt>
                <c:pt idx="2">
                  <c:v>41.065867499999996</c:v>
                </c:pt>
                <c:pt idx="3">
                  <c:v>-20</c:v>
                </c:pt>
                <c:pt idx="4">
                  <c:v>-50</c:v>
                </c:pt>
              </c:numCache>
            </c:numRef>
          </c:val>
          <c:smooth val="0"/>
        </c:ser>
        <c:dLbls>
          <c:showLegendKey val="0"/>
          <c:showVal val="0"/>
          <c:showCatName val="0"/>
          <c:showSerName val="0"/>
          <c:showPercent val="0"/>
          <c:showBubbleSize val="0"/>
        </c:dLbls>
        <c:marker val="1"/>
        <c:smooth val="0"/>
        <c:axId val="58814848"/>
        <c:axId val="58816768"/>
      </c:lineChart>
      <c:catAx>
        <c:axId val="58814848"/>
        <c:scaling>
          <c:orientation val="minMax"/>
        </c:scaling>
        <c:delete val="0"/>
        <c:axPos val="b"/>
        <c:title>
          <c:tx>
            <c:rich>
              <a:bodyPr/>
              <a:lstStyle/>
              <a:p>
                <a:pPr>
                  <a:defRPr/>
                </a:pPr>
                <a:r>
                  <a:rPr lang="lv-LV"/>
                  <a:t>ZP izdevumi procentos no NA</a:t>
                </a:r>
              </a:p>
            </c:rich>
          </c:tx>
          <c:layout/>
          <c:overlay val="0"/>
        </c:title>
        <c:numFmt formatCode="0.0%" sourceLinked="1"/>
        <c:majorTickMark val="out"/>
        <c:minorTickMark val="none"/>
        <c:tickLblPos val="nextTo"/>
        <c:txPr>
          <a:bodyPr/>
          <a:lstStyle/>
          <a:p>
            <a:pPr>
              <a:defRPr b="1"/>
            </a:pPr>
            <a:endParaRPr lang="lv-LV"/>
          </a:p>
        </c:txPr>
        <c:crossAx val="58816768"/>
        <c:crosses val="autoZero"/>
        <c:auto val="1"/>
        <c:lblAlgn val="ctr"/>
        <c:lblOffset val="100"/>
        <c:noMultiLvlLbl val="0"/>
      </c:catAx>
      <c:valAx>
        <c:axId val="58816768"/>
        <c:scaling>
          <c:orientation val="minMax"/>
          <c:min val="0"/>
        </c:scaling>
        <c:delete val="0"/>
        <c:axPos val="l"/>
        <c:majorGridlines>
          <c:spPr>
            <a:ln>
              <a:solidFill>
                <a:schemeClr val="bg1">
                  <a:lumMod val="75000"/>
                </a:schemeClr>
              </a:solidFill>
            </a:ln>
          </c:spPr>
        </c:majorGridlines>
        <c:numFmt formatCode="#,##0" sourceLinked="1"/>
        <c:majorTickMark val="out"/>
        <c:minorTickMark val="none"/>
        <c:tickLblPos val="nextTo"/>
        <c:txPr>
          <a:bodyPr/>
          <a:lstStyle/>
          <a:p>
            <a:pPr>
              <a:defRPr b="1"/>
            </a:pPr>
            <a:endParaRPr lang="lv-LV"/>
          </a:p>
        </c:txPr>
        <c:crossAx val="58814848"/>
        <c:crosses val="autoZero"/>
        <c:crossBetween val="between"/>
      </c:valAx>
    </c:plotArea>
    <c:legend>
      <c:legendPos val="r"/>
      <c:legendEntry>
        <c:idx val="3"/>
        <c:txPr>
          <a:bodyPr/>
          <a:lstStyle/>
          <a:p>
            <a:pPr>
              <a:defRPr b="1"/>
            </a:pPr>
            <a:endParaRPr lang="lv-LV"/>
          </a:p>
        </c:txPr>
      </c:legendEntry>
      <c:layout/>
      <c:overlay val="0"/>
    </c:legend>
    <c:plotVisOnly val="1"/>
    <c:dispBlanksAs val="gap"/>
    <c:showDLblsOverMax val="0"/>
  </c:chart>
  <c:spPr>
    <a:solidFill>
      <a:schemeClr val="bg1">
        <a:lumMod val="85000"/>
      </a:schemeClr>
    </a:solidFill>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a:t>Nodokļu maksājumu samazinājums </a:t>
            </a:r>
          </a:p>
          <a:p>
            <a:pPr>
              <a:defRPr sz="1200"/>
            </a:pPr>
            <a:r>
              <a:rPr lang="lv-LV" sz="1200"/>
              <a:t> (attiecībā pret inerces variantu) </a:t>
            </a:r>
          </a:p>
          <a:p>
            <a:pPr>
              <a:defRPr sz="1200"/>
            </a:pPr>
            <a:r>
              <a:rPr lang="en-US" sz="1200"/>
              <a:t> </a:t>
            </a:r>
          </a:p>
        </c:rich>
      </c:tx>
      <c:layout/>
      <c:overlay val="0"/>
    </c:title>
    <c:autoTitleDeleted val="0"/>
    <c:plotArea>
      <c:layout>
        <c:manualLayout>
          <c:layoutTarget val="inner"/>
          <c:xMode val="edge"/>
          <c:yMode val="edge"/>
          <c:x val="2.7777777777777801E-2"/>
          <c:y val="0.21311533974919813"/>
          <c:w val="0.93888888888888911"/>
          <c:h val="0.59220107903178754"/>
        </c:manualLayout>
      </c:layout>
      <c:barChart>
        <c:barDir val="col"/>
        <c:grouping val="clustered"/>
        <c:varyColors val="0"/>
        <c:ser>
          <c:idx val="0"/>
          <c:order val="0"/>
          <c:tx>
            <c:strRef>
              <c:f>'2.var_LIEL'!$A$111</c:f>
              <c:strCache>
                <c:ptCount val="1"/>
                <c:pt idx="0">
                  <c:v>VSAOI, IIN</c:v>
                </c:pt>
              </c:strCache>
            </c:strRef>
          </c:tx>
          <c:invertIfNegative val="0"/>
          <c:dLbls>
            <c:numFmt formatCode="0%" sourceLinked="0"/>
            <c:showLegendKey val="0"/>
            <c:showVal val="1"/>
            <c:showCatName val="0"/>
            <c:showSerName val="0"/>
            <c:showPercent val="0"/>
            <c:showBubbleSize val="0"/>
            <c:showLeaderLines val="0"/>
          </c:dLbls>
          <c:cat>
            <c:numRef>
              <c:f>'2.var_LIEL'!$B$110:$I$110</c:f>
              <c:numCache>
                <c:formatCode>0%</c:formatCode>
                <c:ptCount val="8"/>
                <c:pt idx="0">
                  <c:v>0.2</c:v>
                </c:pt>
                <c:pt idx="1">
                  <c:v>0.25</c:v>
                </c:pt>
                <c:pt idx="2">
                  <c:v>0.3000000000000001</c:v>
                </c:pt>
                <c:pt idx="3">
                  <c:v>0.35000000000000009</c:v>
                </c:pt>
                <c:pt idx="4">
                  <c:v>0.4</c:v>
                </c:pt>
                <c:pt idx="5">
                  <c:v>0.45</c:v>
                </c:pt>
                <c:pt idx="6">
                  <c:v>0.5</c:v>
                </c:pt>
                <c:pt idx="7">
                  <c:v>0.55000000000000004</c:v>
                </c:pt>
              </c:numCache>
            </c:numRef>
          </c:cat>
          <c:val>
            <c:numRef>
              <c:f>'2.var_LIEL'!$B$111:$I$111</c:f>
              <c:numCache>
                <c:formatCode>0.00%</c:formatCode>
                <c:ptCount val="8"/>
                <c:pt idx="0">
                  <c:v>-0.1925</c:v>
                </c:pt>
                <c:pt idx="1">
                  <c:v>-0.24120000000000005</c:v>
                </c:pt>
                <c:pt idx="2">
                  <c:v>-0.29020000000000001</c:v>
                </c:pt>
                <c:pt idx="3">
                  <c:v>-0.3394000000000002</c:v>
                </c:pt>
                <c:pt idx="4">
                  <c:v>-0.38880000000000015</c:v>
                </c:pt>
                <c:pt idx="5">
                  <c:v>-0.43840000000000012</c:v>
                </c:pt>
                <c:pt idx="6">
                  <c:v>-0.48830000000000012</c:v>
                </c:pt>
                <c:pt idx="7">
                  <c:v>-0.53839999999999999</c:v>
                </c:pt>
              </c:numCache>
            </c:numRef>
          </c:val>
        </c:ser>
        <c:dLbls>
          <c:showLegendKey val="0"/>
          <c:showVal val="1"/>
          <c:showCatName val="0"/>
          <c:showSerName val="0"/>
          <c:showPercent val="0"/>
          <c:showBubbleSize val="0"/>
        </c:dLbls>
        <c:gapWidth val="150"/>
        <c:overlap val="-25"/>
        <c:axId val="58833152"/>
        <c:axId val="58836480"/>
      </c:barChart>
      <c:catAx>
        <c:axId val="58833152"/>
        <c:scaling>
          <c:orientation val="minMax"/>
        </c:scaling>
        <c:delete val="0"/>
        <c:axPos val="b"/>
        <c:title>
          <c:tx>
            <c:rich>
              <a:bodyPr/>
              <a:lstStyle/>
              <a:p>
                <a:pPr>
                  <a:defRPr/>
                </a:pPr>
                <a:r>
                  <a:rPr lang="lv-LV"/>
                  <a:t>VSAOI, INN likmju atvieglojumu koeficients</a:t>
                </a:r>
              </a:p>
            </c:rich>
          </c:tx>
          <c:layout/>
          <c:overlay val="0"/>
        </c:title>
        <c:numFmt formatCode="0%" sourceLinked="1"/>
        <c:majorTickMark val="none"/>
        <c:minorTickMark val="none"/>
        <c:tickLblPos val="low"/>
        <c:txPr>
          <a:bodyPr/>
          <a:lstStyle/>
          <a:p>
            <a:pPr>
              <a:defRPr b="1"/>
            </a:pPr>
            <a:endParaRPr lang="lv-LV"/>
          </a:p>
        </c:txPr>
        <c:crossAx val="58836480"/>
        <c:crosses val="autoZero"/>
        <c:auto val="1"/>
        <c:lblAlgn val="ctr"/>
        <c:lblOffset val="100"/>
        <c:noMultiLvlLbl val="0"/>
      </c:catAx>
      <c:valAx>
        <c:axId val="58836480"/>
        <c:scaling>
          <c:orientation val="minMax"/>
        </c:scaling>
        <c:delete val="1"/>
        <c:axPos val="l"/>
        <c:numFmt formatCode="0%" sourceLinked="0"/>
        <c:majorTickMark val="out"/>
        <c:minorTickMark val="none"/>
        <c:tickLblPos val="none"/>
        <c:crossAx val="58833152"/>
        <c:crosses val="autoZero"/>
        <c:crossBetween val="between"/>
      </c:valAx>
      <c:spPr>
        <a:solidFill>
          <a:schemeClr val="bg1">
            <a:lumMod val="85000"/>
          </a:schemeClr>
        </a:solidFill>
      </c:spPr>
    </c:plotArea>
    <c:legend>
      <c:legendPos val="t"/>
      <c:layout>
        <c:manualLayout>
          <c:xMode val="edge"/>
          <c:yMode val="edge"/>
          <c:x val="4.396981627296586E-2"/>
          <c:y val="0.66180555555555576"/>
          <c:w val="0.17476552930883638"/>
          <c:h val="8.3717191601049901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400"/>
            </a:pPr>
            <a:r>
              <a:rPr lang="lv-LV" sz="1400" b="1" i="0" baseline="0">
                <a:effectLst/>
              </a:rPr>
              <a:t>Participation in global R&amp;D, 2008</a:t>
            </a:r>
            <a:endParaRPr lang="lv-LV" sz="1400">
              <a:effectLst/>
            </a:endParaRPr>
          </a:p>
        </c:rich>
      </c:tx>
      <c:layout/>
      <c:overlay val="1"/>
    </c:title>
    <c:autoTitleDeleted val="0"/>
    <c:plotArea>
      <c:layout>
        <c:manualLayout>
          <c:layoutTarget val="inner"/>
          <c:xMode val="edge"/>
          <c:yMode val="edge"/>
          <c:x val="0.2657382476433911"/>
          <c:y val="0.13741275186279836"/>
          <c:w val="0.6934547830764618"/>
          <c:h val="0.5027359135868551"/>
        </c:manualLayout>
      </c:layout>
      <c:barChart>
        <c:barDir val="bar"/>
        <c:grouping val="percentStacked"/>
        <c:varyColors val="0"/>
        <c:ser>
          <c:idx val="0"/>
          <c:order val="0"/>
          <c:tx>
            <c:strRef>
              <c:f>'USA 2008 '!$A$4</c:f>
              <c:strCache>
                <c:ptCount val="1"/>
                <c:pt idx="0">
                  <c:v>EU</c:v>
                </c:pt>
              </c:strCache>
            </c:strRef>
          </c:tx>
          <c:spPr>
            <a:solidFill>
              <a:schemeClr val="tx2">
                <a:lumMod val="60000"/>
                <a:lumOff val="40000"/>
              </a:schemeClr>
            </a:solidFill>
            <a:ln>
              <a:solidFill>
                <a:schemeClr val="tx2">
                  <a:lumMod val="60000"/>
                  <a:lumOff val="40000"/>
                </a:schemeClr>
              </a:solidFill>
            </a:ln>
          </c:spPr>
          <c:invertIfNegative val="0"/>
          <c:dLbls>
            <c:txPr>
              <a:bodyPr/>
              <a:lstStyle/>
              <a:p>
                <a:pPr>
                  <a:defRPr b="1"/>
                </a:pPr>
                <a:endParaRPr lang="lv-LV"/>
              </a:p>
            </c:txPr>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'!$B$4:$E$4</c:f>
              <c:numCache>
                <c:formatCode>General</c:formatCode>
                <c:ptCount val="4"/>
                <c:pt idx="0">
                  <c:v>21.8</c:v>
                </c:pt>
                <c:pt idx="1">
                  <c:v>24.3</c:v>
                </c:pt>
                <c:pt idx="2">
                  <c:v>32.4</c:v>
                </c:pt>
                <c:pt idx="3">
                  <c:v>31.5</c:v>
                </c:pt>
              </c:numCache>
            </c:numRef>
          </c:val>
        </c:ser>
        <c:ser>
          <c:idx val="1"/>
          <c:order val="1"/>
          <c:tx>
            <c:strRef>
              <c:f>'USA 2008 '!$A$5</c:f>
              <c:strCache>
                <c:ptCount val="1"/>
                <c:pt idx="0">
                  <c:v>United States</c:v>
                </c:pt>
              </c:strCache>
            </c:strRef>
          </c:tx>
          <c:spPr>
            <a:solidFill>
              <a:schemeClr val="accent2"/>
            </a:solidFill>
          </c:spPr>
          <c:invertIfNegative val="0"/>
          <c:dLbls>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'!$B$5:$E$5</c:f>
              <c:numCache>
                <c:formatCode>General</c:formatCode>
                <c:ptCount val="4"/>
                <c:pt idx="0">
                  <c:v>20.399999999999999</c:v>
                </c:pt>
                <c:pt idx="1">
                  <c:v>32.9</c:v>
                </c:pt>
                <c:pt idx="2">
                  <c:v>34.200000000000003</c:v>
                </c:pt>
                <c:pt idx="3">
                  <c:v>31.3</c:v>
                </c:pt>
              </c:numCache>
            </c:numRef>
          </c:val>
        </c:ser>
        <c:ser>
          <c:idx val="2"/>
          <c:order val="2"/>
          <c:tx>
            <c:strRef>
              <c:f>'USA 2008 '!$A$6</c:f>
              <c:strCache>
                <c:ptCount val="1"/>
                <c:pt idx="0">
                  <c:v>Developed Asian Economies (JP+KR+SG+TW)</c:v>
                </c:pt>
              </c:strCache>
            </c:strRef>
          </c:tx>
          <c:spPr>
            <a:solidFill>
              <a:schemeClr val="accent3">
                <a:lumMod val="60000"/>
                <a:lumOff val="40000"/>
              </a:schemeClr>
            </a:solidFill>
          </c:spPr>
          <c:invertIfNegative val="0"/>
          <c:dLbls>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'!$B$6:$E$6</c:f>
              <c:numCache>
                <c:formatCode>General</c:formatCode>
                <c:ptCount val="4"/>
                <c:pt idx="0">
                  <c:v>14.9</c:v>
                </c:pt>
                <c:pt idx="1">
                  <c:v>18.100000000000001</c:v>
                </c:pt>
                <c:pt idx="2">
                  <c:v>6.1</c:v>
                </c:pt>
                <c:pt idx="3">
                  <c:v>23.5</c:v>
                </c:pt>
              </c:numCache>
            </c:numRef>
          </c:val>
        </c:ser>
        <c:ser>
          <c:idx val="3"/>
          <c:order val="3"/>
          <c:tx>
            <c:strRef>
              <c:f>'USA 2008 '!$A$7</c:f>
              <c:strCache>
                <c:ptCount val="1"/>
                <c:pt idx="0">
                  <c:v>China</c:v>
                </c:pt>
              </c:strCache>
            </c:strRef>
          </c:tx>
          <c:spPr>
            <a:solidFill>
              <a:schemeClr val="accent4">
                <a:lumMod val="60000"/>
                <a:lumOff val="40000"/>
              </a:schemeClr>
            </a:solidFill>
          </c:spPr>
          <c:invertIfNegative val="0"/>
          <c:dLbls>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'!$B$7:$E$7</c:f>
              <c:numCache>
                <c:formatCode>General</c:formatCode>
                <c:ptCount val="4"/>
                <c:pt idx="0">
                  <c:v>23</c:v>
                </c:pt>
                <c:pt idx="1">
                  <c:v>10.4</c:v>
                </c:pt>
                <c:pt idx="2">
                  <c:v>8.7000000000000011</c:v>
                </c:pt>
                <c:pt idx="3">
                  <c:v>4.0999999999999996</c:v>
                </c:pt>
              </c:numCache>
            </c:numRef>
          </c:val>
        </c:ser>
        <c:ser>
          <c:idx val="4"/>
          <c:order val="4"/>
          <c:tx>
            <c:strRef>
              <c:f>'USA 2008 '!$A$8</c:f>
              <c:strCache>
                <c:ptCount val="1"/>
                <c:pt idx="0">
                  <c:v>BRIS(BR+RU+IN+ZA)</c:v>
                </c:pt>
              </c:strCache>
            </c:strRef>
          </c:tx>
          <c:spPr>
            <a:solidFill>
              <a:schemeClr val="accent5">
                <a:lumMod val="60000"/>
                <a:lumOff val="40000"/>
              </a:schemeClr>
            </a:solidFill>
          </c:spPr>
          <c:invertIfNegative val="0"/>
          <c:dLbls>
            <c:dLbl>
              <c:idx val="2"/>
              <c:delete val="1"/>
            </c:dLbl>
            <c:dLbl>
              <c:idx val="3"/>
              <c:delete val="1"/>
            </c:dLbl>
            <c:dLblPos val="inEnd"/>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'!$B$8:$E$8</c:f>
              <c:numCache>
                <c:formatCode>General</c:formatCode>
                <c:ptCount val="4"/>
                <c:pt idx="0">
                  <c:v>11.4</c:v>
                </c:pt>
                <c:pt idx="1">
                  <c:v>7.1</c:v>
                </c:pt>
                <c:pt idx="2">
                  <c:v>2.8</c:v>
                </c:pt>
                <c:pt idx="3">
                  <c:v>1.9000000000000001</c:v>
                </c:pt>
              </c:numCache>
            </c:numRef>
          </c:val>
        </c:ser>
        <c:ser>
          <c:idx val="5"/>
          <c:order val="5"/>
          <c:tx>
            <c:strRef>
              <c:f>'USA 2008 '!$A$9</c:f>
              <c:strCache>
                <c:ptCount val="1"/>
                <c:pt idx="0">
                  <c:v>Rest of the World</c:v>
                </c:pt>
              </c:strCache>
            </c:strRef>
          </c:tx>
          <c:spPr>
            <a:solidFill>
              <a:schemeClr val="accent6">
                <a:lumMod val="60000"/>
                <a:lumOff val="40000"/>
              </a:schemeClr>
            </a:solidFill>
          </c:spPr>
          <c:invertIfNegative val="0"/>
          <c:dLbls>
            <c:dLblPos val="ctr"/>
            <c:showLegendKey val="0"/>
            <c:showVal val="1"/>
            <c:showCatName val="0"/>
            <c:showSerName val="0"/>
            <c:showPercent val="0"/>
            <c:showBubbleSize val="0"/>
            <c:showLeaderLines val="0"/>
          </c:dLbls>
          <c:cat>
            <c:strRef>
              <c:f>'USA 2008 '!$B$2:$E$2</c:f>
              <c:strCache>
                <c:ptCount val="4"/>
                <c:pt idx="0">
                  <c:v>Researchers</c:v>
                </c:pt>
                <c:pt idx="1">
                  <c:v>GERD</c:v>
                </c:pt>
                <c:pt idx="2">
                  <c:v>High impact publications</c:v>
                </c:pt>
                <c:pt idx="3">
                  <c:v>Patent applications</c:v>
                </c:pt>
              </c:strCache>
            </c:strRef>
          </c:cat>
          <c:val>
            <c:numRef>
              <c:f>'USA 2008 '!$B$9:$E$9</c:f>
              <c:numCache>
                <c:formatCode>General</c:formatCode>
                <c:ptCount val="4"/>
                <c:pt idx="0">
                  <c:v>8.4</c:v>
                </c:pt>
                <c:pt idx="1">
                  <c:v>7.2</c:v>
                </c:pt>
                <c:pt idx="2">
                  <c:v>15.7</c:v>
                </c:pt>
                <c:pt idx="3">
                  <c:v>7.7</c:v>
                </c:pt>
              </c:numCache>
            </c:numRef>
          </c:val>
        </c:ser>
        <c:dLbls>
          <c:showLegendKey val="0"/>
          <c:showVal val="0"/>
          <c:showCatName val="0"/>
          <c:showSerName val="0"/>
          <c:showPercent val="0"/>
          <c:showBubbleSize val="0"/>
        </c:dLbls>
        <c:gapWidth val="50"/>
        <c:overlap val="100"/>
        <c:axId val="46422272"/>
        <c:axId val="46428160"/>
      </c:barChart>
      <c:catAx>
        <c:axId val="46422272"/>
        <c:scaling>
          <c:orientation val="minMax"/>
        </c:scaling>
        <c:delete val="0"/>
        <c:axPos val="l"/>
        <c:numFmt formatCode="General" sourceLinked="1"/>
        <c:majorTickMark val="out"/>
        <c:minorTickMark val="none"/>
        <c:tickLblPos val="nextTo"/>
        <c:txPr>
          <a:bodyPr/>
          <a:lstStyle/>
          <a:p>
            <a:pPr>
              <a:defRPr sz="1200" b="1"/>
            </a:pPr>
            <a:endParaRPr lang="lv-LV"/>
          </a:p>
        </c:txPr>
        <c:crossAx val="46428160"/>
        <c:crosses val="autoZero"/>
        <c:auto val="1"/>
        <c:lblAlgn val="ctr"/>
        <c:lblOffset val="100"/>
        <c:noMultiLvlLbl val="0"/>
      </c:catAx>
      <c:valAx>
        <c:axId val="46428160"/>
        <c:scaling>
          <c:orientation val="minMax"/>
        </c:scaling>
        <c:delete val="0"/>
        <c:axPos val="b"/>
        <c:majorGridlines/>
        <c:numFmt formatCode="0%" sourceLinked="1"/>
        <c:majorTickMark val="out"/>
        <c:minorTickMark val="none"/>
        <c:tickLblPos val="nextTo"/>
        <c:txPr>
          <a:bodyPr/>
          <a:lstStyle/>
          <a:p>
            <a:pPr>
              <a:defRPr b="1"/>
            </a:pPr>
            <a:endParaRPr lang="lv-LV"/>
          </a:p>
        </c:txPr>
        <c:crossAx val="46422272"/>
        <c:crosses val="autoZero"/>
        <c:crossBetween val="between"/>
      </c:valAx>
      <c:spPr>
        <a:solidFill>
          <a:schemeClr val="bg1">
            <a:lumMod val="85000"/>
          </a:schemeClr>
        </a:solidFill>
      </c:spPr>
    </c:plotArea>
    <c:legend>
      <c:legendPos val="b"/>
      <c:layout>
        <c:manualLayout>
          <c:xMode val="edge"/>
          <c:yMode val="edge"/>
          <c:x val="0.24807416954586325"/>
          <c:y val="0.73572743921479311"/>
          <c:w val="0.73669854541909963"/>
          <c:h val="0.22723548623946133"/>
        </c:manualLayout>
      </c:layout>
      <c:overlay val="0"/>
      <c:txPr>
        <a:bodyPr/>
        <a:lstStyle/>
        <a:p>
          <a:pPr>
            <a:defRPr b="1"/>
          </a:pPr>
          <a:endParaRPr lang="lv-LV"/>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a:t>Nodokļu maksājumu samazinājums</a:t>
            </a:r>
          </a:p>
          <a:p>
            <a:pPr>
              <a:defRPr sz="1200"/>
            </a:pPr>
            <a:r>
              <a:rPr lang="lv-LV" sz="1200"/>
              <a:t>(attiecībā pret inerces variantu)</a:t>
            </a:r>
          </a:p>
        </c:rich>
      </c:tx>
      <c:layout/>
      <c:overlay val="1"/>
    </c:title>
    <c:autoTitleDeleted val="0"/>
    <c:plotArea>
      <c:layout>
        <c:manualLayout>
          <c:layoutTarget val="inner"/>
          <c:xMode val="edge"/>
          <c:yMode val="edge"/>
          <c:x val="9.6030183727034146E-2"/>
          <c:y val="0.23658573928258966"/>
          <c:w val="0.84758027121609802"/>
          <c:h val="0.59627296587926437"/>
        </c:manualLayout>
      </c:layout>
      <c:barChart>
        <c:barDir val="col"/>
        <c:grouping val="stacked"/>
        <c:varyColors val="0"/>
        <c:ser>
          <c:idx val="0"/>
          <c:order val="0"/>
          <c:tx>
            <c:strRef>
              <c:f>'2.var.VID'!$A$177</c:f>
              <c:strCache>
                <c:ptCount val="1"/>
                <c:pt idx="0">
                  <c:v>VSAOI+IIN </c:v>
                </c:pt>
              </c:strCache>
            </c:strRef>
          </c:tx>
          <c:invertIfNegative val="0"/>
          <c:cat>
            <c:numRef>
              <c:f>'2.var.VID'!$B$176:$F$176</c:f>
              <c:numCache>
                <c:formatCode>0.0%</c:formatCode>
                <c:ptCount val="5"/>
                <c:pt idx="0">
                  <c:v>5.0000000000000018E-3</c:v>
                </c:pt>
                <c:pt idx="1">
                  <c:v>1.0000000000000004E-2</c:v>
                </c:pt>
                <c:pt idx="2">
                  <c:v>1.4999999999999998E-2</c:v>
                </c:pt>
                <c:pt idx="3">
                  <c:v>2.0000000000000007E-2</c:v>
                </c:pt>
                <c:pt idx="4">
                  <c:v>2.5000000000000001E-2</c:v>
                </c:pt>
              </c:numCache>
            </c:numRef>
          </c:cat>
          <c:val>
            <c:numRef>
              <c:f>'2.var.VID'!$B$177:$F$177</c:f>
              <c:numCache>
                <c:formatCode>#,##0.0</c:formatCode>
                <c:ptCount val="5"/>
                <c:pt idx="0">
                  <c:v>-9.9818502699653529</c:v>
                </c:pt>
                <c:pt idx="1">
                  <c:v>-19.963700539930681</c:v>
                </c:pt>
                <c:pt idx="2">
                  <c:v>-29.945550809896041</c:v>
                </c:pt>
                <c:pt idx="3">
                  <c:v>-39.927401079861383</c:v>
                </c:pt>
                <c:pt idx="4">
                  <c:v>-49.909251349826761</c:v>
                </c:pt>
              </c:numCache>
            </c:numRef>
          </c:val>
        </c:ser>
        <c:ser>
          <c:idx val="1"/>
          <c:order val="1"/>
          <c:tx>
            <c:strRef>
              <c:f>'2.var.VID'!$A$178</c:f>
              <c:strCache>
                <c:ptCount val="1"/>
                <c:pt idx="0">
                  <c:v>UIN </c:v>
                </c:pt>
              </c:strCache>
            </c:strRef>
          </c:tx>
          <c:spPr>
            <a:solidFill>
              <a:schemeClr val="accent6"/>
            </a:solidFill>
          </c:spPr>
          <c:invertIfNegative val="0"/>
          <c:cat>
            <c:numRef>
              <c:f>'2.var.VID'!$B$176:$F$176</c:f>
              <c:numCache>
                <c:formatCode>0.0%</c:formatCode>
                <c:ptCount val="5"/>
                <c:pt idx="0">
                  <c:v>5.0000000000000018E-3</c:v>
                </c:pt>
                <c:pt idx="1">
                  <c:v>1.0000000000000004E-2</c:v>
                </c:pt>
                <c:pt idx="2">
                  <c:v>1.4999999999999998E-2</c:v>
                </c:pt>
                <c:pt idx="3">
                  <c:v>2.0000000000000007E-2</c:v>
                </c:pt>
                <c:pt idx="4">
                  <c:v>2.5000000000000001E-2</c:v>
                </c:pt>
              </c:numCache>
            </c:numRef>
          </c:cat>
          <c:val>
            <c:numRef>
              <c:f>'2.var.VID'!$B$178:$F$178</c:f>
              <c:numCache>
                <c:formatCode>#,##0.0</c:formatCode>
                <c:ptCount val="5"/>
                <c:pt idx="0">
                  <c:v>0.66218865339672583</c:v>
                </c:pt>
                <c:pt idx="1">
                  <c:v>1.3243773067934801</c:v>
                </c:pt>
                <c:pt idx="2">
                  <c:v>1.9865659601901489</c:v>
                </c:pt>
                <c:pt idx="3">
                  <c:v>2.6487546135869033</c:v>
                </c:pt>
                <c:pt idx="4">
                  <c:v>3.3109432669836272</c:v>
                </c:pt>
              </c:numCache>
            </c:numRef>
          </c:val>
        </c:ser>
        <c:dLbls>
          <c:showLegendKey val="0"/>
          <c:showVal val="0"/>
          <c:showCatName val="0"/>
          <c:showSerName val="0"/>
          <c:showPercent val="0"/>
          <c:showBubbleSize val="0"/>
        </c:dLbls>
        <c:gapWidth val="150"/>
        <c:overlap val="100"/>
        <c:axId val="58859520"/>
        <c:axId val="58861440"/>
      </c:barChart>
      <c:lineChart>
        <c:grouping val="standard"/>
        <c:varyColors val="0"/>
        <c:ser>
          <c:idx val="2"/>
          <c:order val="2"/>
          <c:tx>
            <c:strRef>
              <c:f>'2.var.VID'!$A$179</c:f>
              <c:strCache>
                <c:ptCount val="1"/>
                <c:pt idx="0">
                  <c:v>VSAOI+IIN+UIN </c:v>
                </c:pt>
              </c:strCache>
            </c:strRef>
          </c:tx>
          <c:marker>
            <c:symbol val="diamond"/>
            <c:size val="9"/>
            <c:spPr>
              <a:solidFill>
                <a:schemeClr val="accent6"/>
              </a:solidFill>
            </c:spPr>
          </c:marker>
          <c:dLbls>
            <c:txPr>
              <a:bodyPr/>
              <a:lstStyle/>
              <a:p>
                <a:pPr>
                  <a:defRPr b="1">
                    <a:solidFill>
                      <a:schemeClr val="accent6">
                        <a:lumMod val="50000"/>
                      </a:schemeClr>
                    </a:solidFill>
                  </a:defRPr>
                </a:pPr>
                <a:endParaRPr lang="lv-LV"/>
              </a:p>
            </c:txPr>
            <c:dLblPos val="b"/>
            <c:showLegendKey val="0"/>
            <c:showVal val="1"/>
            <c:showCatName val="0"/>
            <c:showSerName val="0"/>
            <c:showPercent val="0"/>
            <c:showBubbleSize val="0"/>
            <c:showLeaderLines val="0"/>
          </c:dLbls>
          <c:cat>
            <c:numRef>
              <c:f>'2.var.VID'!$B$176:$F$176</c:f>
              <c:numCache>
                <c:formatCode>0.0%</c:formatCode>
                <c:ptCount val="5"/>
                <c:pt idx="0">
                  <c:v>5.0000000000000018E-3</c:v>
                </c:pt>
                <c:pt idx="1">
                  <c:v>1.0000000000000004E-2</c:v>
                </c:pt>
                <c:pt idx="2">
                  <c:v>1.4999999999999998E-2</c:v>
                </c:pt>
                <c:pt idx="3">
                  <c:v>2.0000000000000007E-2</c:v>
                </c:pt>
                <c:pt idx="4">
                  <c:v>2.5000000000000001E-2</c:v>
                </c:pt>
              </c:numCache>
            </c:numRef>
          </c:cat>
          <c:val>
            <c:numRef>
              <c:f>'2.var.VID'!$B$179:$F$179</c:f>
              <c:numCache>
                <c:formatCode>0.0</c:formatCode>
                <c:ptCount val="5"/>
                <c:pt idx="0">
                  <c:v>-9.3196616165686272</c:v>
                </c:pt>
                <c:pt idx="1">
                  <c:v>-18.639323233137208</c:v>
                </c:pt>
                <c:pt idx="2">
                  <c:v>-27.958984849705892</c:v>
                </c:pt>
                <c:pt idx="3">
                  <c:v>-37.278646466274495</c:v>
                </c:pt>
                <c:pt idx="4">
                  <c:v>-46.598308082843118</c:v>
                </c:pt>
              </c:numCache>
            </c:numRef>
          </c:val>
          <c:smooth val="0"/>
        </c:ser>
        <c:dLbls>
          <c:showLegendKey val="0"/>
          <c:showVal val="0"/>
          <c:showCatName val="0"/>
          <c:showSerName val="0"/>
          <c:showPercent val="0"/>
          <c:showBubbleSize val="0"/>
        </c:dLbls>
        <c:marker val="1"/>
        <c:smooth val="0"/>
        <c:axId val="58859520"/>
        <c:axId val="58861440"/>
      </c:lineChart>
      <c:catAx>
        <c:axId val="58859520"/>
        <c:scaling>
          <c:orientation val="minMax"/>
        </c:scaling>
        <c:delete val="0"/>
        <c:axPos val="b"/>
        <c:title>
          <c:tx>
            <c:rich>
              <a:bodyPr/>
              <a:lstStyle/>
              <a:p>
                <a:pPr>
                  <a:defRPr/>
                </a:pPr>
                <a:r>
                  <a:rPr lang="en-US"/>
                  <a:t>ZP izdevumi procentos  no NA</a:t>
                </a:r>
              </a:p>
            </c:rich>
          </c:tx>
          <c:layout/>
          <c:overlay val="0"/>
        </c:title>
        <c:numFmt formatCode="0.0%" sourceLinked="1"/>
        <c:majorTickMark val="in"/>
        <c:minorTickMark val="none"/>
        <c:tickLblPos val="low"/>
        <c:txPr>
          <a:bodyPr/>
          <a:lstStyle/>
          <a:p>
            <a:pPr>
              <a:defRPr b="1"/>
            </a:pPr>
            <a:endParaRPr lang="lv-LV"/>
          </a:p>
        </c:txPr>
        <c:crossAx val="58861440"/>
        <c:crosses val="autoZero"/>
        <c:auto val="1"/>
        <c:lblAlgn val="ctr"/>
        <c:lblOffset val="100"/>
        <c:noMultiLvlLbl val="0"/>
      </c:catAx>
      <c:valAx>
        <c:axId val="58861440"/>
        <c:scaling>
          <c:orientation val="minMax"/>
        </c:scaling>
        <c:delete val="0"/>
        <c:axPos val="l"/>
        <c:majorGridlines>
          <c:spPr>
            <a:ln>
              <a:solidFill>
                <a:schemeClr val="bg1">
                  <a:lumMod val="75000"/>
                </a:schemeClr>
              </a:solidFill>
            </a:ln>
          </c:spPr>
        </c:majorGridlines>
        <c:numFmt formatCode="#,##0.0" sourceLinked="1"/>
        <c:majorTickMark val="out"/>
        <c:minorTickMark val="none"/>
        <c:tickLblPos val="nextTo"/>
        <c:crossAx val="58859520"/>
        <c:crosses val="autoZero"/>
        <c:crossBetween val="between"/>
      </c:valAx>
      <c:spPr>
        <a:solidFill>
          <a:schemeClr val="bg1">
            <a:lumMod val="85000"/>
          </a:schemeClr>
        </a:solidFill>
      </c:spPr>
    </c:plotArea>
    <c:legend>
      <c:legendPos val="r"/>
      <c:layout>
        <c:manualLayout>
          <c:xMode val="edge"/>
          <c:yMode val="edge"/>
          <c:x val="0.12416601049868772"/>
          <c:y val="0.55034995625546823"/>
          <c:w val="0.26194510061242343"/>
          <c:h val="0.25115157480314959"/>
        </c:manualLayout>
      </c:layout>
      <c:overlay val="0"/>
    </c:legend>
    <c:plotVisOnly val="1"/>
    <c:dispBlanksAs val="gap"/>
    <c:showDLblsOverMax val="0"/>
  </c:chart>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200"/>
            </a:pPr>
            <a:r>
              <a:rPr lang="lv-LV" sz="1200"/>
              <a:t>Nodokļu maksājumu samazinājums </a:t>
            </a:r>
          </a:p>
          <a:p>
            <a:pPr>
              <a:defRPr sz="1200"/>
            </a:pPr>
            <a:r>
              <a:rPr lang="lv-LV" sz="1200"/>
              <a:t>(attiecībā pret inerces variantu)</a:t>
            </a:r>
          </a:p>
        </c:rich>
      </c:tx>
      <c:layout/>
      <c:overlay val="1"/>
    </c:title>
    <c:autoTitleDeleted val="0"/>
    <c:plotArea>
      <c:layout>
        <c:manualLayout>
          <c:layoutTarget val="inner"/>
          <c:xMode val="edge"/>
          <c:yMode val="edge"/>
          <c:x val="9.3252405949256337E-2"/>
          <c:y val="0.19491907261592301"/>
          <c:w val="0.84758027121609802"/>
          <c:h val="0.63817512394284048"/>
        </c:manualLayout>
      </c:layout>
      <c:barChart>
        <c:barDir val="col"/>
        <c:grouping val="stacked"/>
        <c:varyColors val="0"/>
        <c:ser>
          <c:idx val="0"/>
          <c:order val="0"/>
          <c:tx>
            <c:strRef>
              <c:f>'2.var MAZ'!$A$108</c:f>
              <c:strCache>
                <c:ptCount val="1"/>
                <c:pt idx="0">
                  <c:v>VSAOI+IIN </c:v>
                </c:pt>
              </c:strCache>
            </c:strRef>
          </c:tx>
          <c:invertIfNegative val="0"/>
          <c:cat>
            <c:numRef>
              <c:f>'2.var MAZ'!$B$107:$F$107</c:f>
              <c:numCache>
                <c:formatCode>0.0%</c:formatCode>
                <c:ptCount val="5"/>
                <c:pt idx="0">
                  <c:v>5.0000000000000001E-3</c:v>
                </c:pt>
                <c:pt idx="1">
                  <c:v>0.01</c:v>
                </c:pt>
                <c:pt idx="2">
                  <c:v>1.4999999999999999E-2</c:v>
                </c:pt>
                <c:pt idx="3">
                  <c:v>0.02</c:v>
                </c:pt>
                <c:pt idx="4">
                  <c:v>2.5000000000000001E-2</c:v>
                </c:pt>
              </c:numCache>
            </c:numRef>
          </c:cat>
          <c:val>
            <c:numRef>
              <c:f>'2.var MAZ'!$B$108:$F$108</c:f>
              <c:numCache>
                <c:formatCode>#,##0.00</c:formatCode>
                <c:ptCount val="5"/>
                <c:pt idx="0">
                  <c:v>-1.3638350390845364</c:v>
                </c:pt>
                <c:pt idx="1">
                  <c:v>-2.7276700781690728</c:v>
                </c:pt>
                <c:pt idx="2">
                  <c:v>-4.0915051172536039</c:v>
                </c:pt>
                <c:pt idx="3">
                  <c:v>-5.4553401563381456</c:v>
                </c:pt>
                <c:pt idx="4">
                  <c:v>-6.8191751954226802</c:v>
                </c:pt>
              </c:numCache>
            </c:numRef>
          </c:val>
        </c:ser>
        <c:ser>
          <c:idx val="1"/>
          <c:order val="1"/>
          <c:tx>
            <c:strRef>
              <c:f>'2.var MAZ'!$A$109</c:f>
              <c:strCache>
                <c:ptCount val="1"/>
                <c:pt idx="0">
                  <c:v>UIN </c:v>
                </c:pt>
              </c:strCache>
            </c:strRef>
          </c:tx>
          <c:spPr>
            <a:solidFill>
              <a:schemeClr val="accent6">
                <a:lumMod val="60000"/>
                <a:lumOff val="40000"/>
              </a:schemeClr>
            </a:solidFill>
          </c:spPr>
          <c:invertIfNegative val="0"/>
          <c:cat>
            <c:numRef>
              <c:f>'2.var MAZ'!$B$107:$F$107</c:f>
              <c:numCache>
                <c:formatCode>0.0%</c:formatCode>
                <c:ptCount val="5"/>
                <c:pt idx="0">
                  <c:v>5.0000000000000001E-3</c:v>
                </c:pt>
                <c:pt idx="1">
                  <c:v>0.01</c:v>
                </c:pt>
                <c:pt idx="2">
                  <c:v>1.4999999999999999E-2</c:v>
                </c:pt>
                <c:pt idx="3">
                  <c:v>0.02</c:v>
                </c:pt>
                <c:pt idx="4">
                  <c:v>2.5000000000000001E-2</c:v>
                </c:pt>
              </c:numCache>
            </c:numRef>
          </c:cat>
          <c:val>
            <c:numRef>
              <c:f>'2.var MAZ'!$B$109:$F$109</c:f>
              <c:numCache>
                <c:formatCode>#,##0.00</c:formatCode>
                <c:ptCount val="5"/>
                <c:pt idx="0">
                  <c:v>0.09</c:v>
                </c:pt>
                <c:pt idx="1">
                  <c:v>0.18095163993875474</c:v>
                </c:pt>
                <c:pt idx="2">
                  <c:v>0.27142745990813566</c:v>
                </c:pt>
                <c:pt idx="3">
                  <c:v>0.36190327987751658</c:v>
                </c:pt>
                <c:pt idx="4">
                  <c:v>0.45237909984689395</c:v>
                </c:pt>
              </c:numCache>
            </c:numRef>
          </c:val>
        </c:ser>
        <c:dLbls>
          <c:showLegendKey val="0"/>
          <c:showVal val="0"/>
          <c:showCatName val="0"/>
          <c:showSerName val="0"/>
          <c:showPercent val="0"/>
          <c:showBubbleSize val="0"/>
        </c:dLbls>
        <c:gapWidth val="150"/>
        <c:overlap val="100"/>
        <c:axId val="58905728"/>
        <c:axId val="58907648"/>
      </c:barChart>
      <c:lineChart>
        <c:grouping val="standard"/>
        <c:varyColors val="0"/>
        <c:ser>
          <c:idx val="2"/>
          <c:order val="2"/>
          <c:tx>
            <c:strRef>
              <c:f>'2.var MAZ'!$A$110</c:f>
              <c:strCache>
                <c:ptCount val="1"/>
                <c:pt idx="0">
                  <c:v>VSAOI+IIN+UIN </c:v>
                </c:pt>
              </c:strCache>
            </c:strRef>
          </c:tx>
          <c:spPr>
            <a:ln>
              <a:solidFill>
                <a:schemeClr val="accent1">
                  <a:lumMod val="60000"/>
                  <a:lumOff val="40000"/>
                </a:schemeClr>
              </a:solidFill>
            </a:ln>
          </c:spPr>
          <c:marker>
            <c:symbol val="circle"/>
            <c:size val="7"/>
            <c:spPr>
              <a:solidFill>
                <a:schemeClr val="accent6">
                  <a:lumMod val="60000"/>
                  <a:lumOff val="40000"/>
                </a:schemeClr>
              </a:solidFill>
              <a:ln>
                <a:solidFill>
                  <a:schemeClr val="accent1">
                    <a:lumMod val="60000"/>
                    <a:lumOff val="40000"/>
                  </a:schemeClr>
                </a:solidFill>
              </a:ln>
            </c:spPr>
          </c:marker>
          <c:dLbls>
            <c:txPr>
              <a:bodyPr/>
              <a:lstStyle/>
              <a:p>
                <a:pPr>
                  <a:defRPr b="1">
                    <a:solidFill>
                      <a:schemeClr val="accent6">
                        <a:lumMod val="50000"/>
                      </a:schemeClr>
                    </a:solidFill>
                  </a:defRPr>
                </a:pPr>
                <a:endParaRPr lang="lv-LV"/>
              </a:p>
            </c:txPr>
            <c:dLblPos val="b"/>
            <c:showLegendKey val="0"/>
            <c:showVal val="1"/>
            <c:showCatName val="0"/>
            <c:showSerName val="0"/>
            <c:showPercent val="0"/>
            <c:showBubbleSize val="0"/>
            <c:showLeaderLines val="0"/>
          </c:dLbls>
          <c:cat>
            <c:numRef>
              <c:f>'2.var MAZ'!$B$107:$F$107</c:f>
              <c:numCache>
                <c:formatCode>0.0%</c:formatCode>
                <c:ptCount val="5"/>
                <c:pt idx="0">
                  <c:v>5.0000000000000001E-3</c:v>
                </c:pt>
                <c:pt idx="1">
                  <c:v>0.01</c:v>
                </c:pt>
                <c:pt idx="2">
                  <c:v>1.4999999999999999E-2</c:v>
                </c:pt>
                <c:pt idx="3">
                  <c:v>0.02</c:v>
                </c:pt>
                <c:pt idx="4">
                  <c:v>2.5000000000000001E-2</c:v>
                </c:pt>
              </c:numCache>
            </c:numRef>
          </c:cat>
          <c:val>
            <c:numRef>
              <c:f>'2.var MAZ'!$B$110:$F$110</c:f>
              <c:numCache>
                <c:formatCode>0.0</c:formatCode>
                <c:ptCount val="5"/>
                <c:pt idx="0">
                  <c:v>-1.2738350390845363</c:v>
                </c:pt>
                <c:pt idx="1">
                  <c:v>-2.5467184382303181</c:v>
                </c:pt>
                <c:pt idx="2">
                  <c:v>-3.8200776573454682</c:v>
                </c:pt>
                <c:pt idx="3">
                  <c:v>-5.093436876460629</c:v>
                </c:pt>
                <c:pt idx="4">
                  <c:v>-6.3667960955757863</c:v>
                </c:pt>
              </c:numCache>
            </c:numRef>
          </c:val>
          <c:smooth val="0"/>
        </c:ser>
        <c:dLbls>
          <c:showLegendKey val="0"/>
          <c:showVal val="0"/>
          <c:showCatName val="0"/>
          <c:showSerName val="0"/>
          <c:showPercent val="0"/>
          <c:showBubbleSize val="0"/>
        </c:dLbls>
        <c:marker val="1"/>
        <c:smooth val="0"/>
        <c:axId val="58905728"/>
        <c:axId val="58907648"/>
      </c:lineChart>
      <c:catAx>
        <c:axId val="58905728"/>
        <c:scaling>
          <c:orientation val="minMax"/>
        </c:scaling>
        <c:delete val="0"/>
        <c:axPos val="b"/>
        <c:title>
          <c:tx>
            <c:rich>
              <a:bodyPr/>
              <a:lstStyle/>
              <a:p>
                <a:pPr>
                  <a:defRPr/>
                </a:pPr>
                <a:r>
                  <a:rPr lang="lv-LV"/>
                  <a:t>ZP izdevumi procentos no NA</a:t>
                </a:r>
              </a:p>
            </c:rich>
          </c:tx>
          <c:layout/>
          <c:overlay val="0"/>
        </c:title>
        <c:numFmt formatCode="0.0%" sourceLinked="1"/>
        <c:majorTickMark val="out"/>
        <c:minorTickMark val="none"/>
        <c:tickLblPos val="low"/>
        <c:txPr>
          <a:bodyPr/>
          <a:lstStyle/>
          <a:p>
            <a:pPr>
              <a:defRPr b="1"/>
            </a:pPr>
            <a:endParaRPr lang="lv-LV"/>
          </a:p>
        </c:txPr>
        <c:crossAx val="58907648"/>
        <c:crosses val="autoZero"/>
        <c:auto val="1"/>
        <c:lblAlgn val="ctr"/>
        <c:lblOffset val="100"/>
        <c:noMultiLvlLbl val="0"/>
      </c:catAx>
      <c:valAx>
        <c:axId val="58907648"/>
        <c:scaling>
          <c:orientation val="minMax"/>
        </c:scaling>
        <c:delete val="0"/>
        <c:axPos val="l"/>
        <c:majorGridlines>
          <c:spPr>
            <a:ln>
              <a:solidFill>
                <a:schemeClr val="bg1">
                  <a:lumMod val="75000"/>
                </a:schemeClr>
              </a:solidFill>
            </a:ln>
          </c:spPr>
        </c:majorGridlines>
        <c:numFmt formatCode="#,##0.0" sourceLinked="0"/>
        <c:majorTickMark val="out"/>
        <c:minorTickMark val="none"/>
        <c:tickLblPos val="nextTo"/>
        <c:crossAx val="58905728"/>
        <c:crosses val="autoZero"/>
        <c:crossBetween val="between"/>
      </c:valAx>
      <c:spPr>
        <a:solidFill>
          <a:schemeClr val="bg1">
            <a:lumMod val="85000"/>
          </a:schemeClr>
        </a:solidFill>
      </c:spPr>
    </c:plotArea>
    <c:legend>
      <c:legendPos val="r"/>
      <c:layout>
        <c:manualLayout>
          <c:xMode val="edge"/>
          <c:yMode val="edge"/>
          <c:x val="0.1186104549431321"/>
          <c:y val="0.53183143773694941"/>
          <c:w val="0.26194510061242343"/>
          <c:h val="0.25115157480314959"/>
        </c:manualLayout>
      </c:layout>
      <c:overlay val="0"/>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a:t>Nodokļu maksājumu samazinājums</a:t>
            </a:r>
          </a:p>
          <a:p>
            <a:pPr>
              <a:defRPr sz="1200"/>
            </a:pPr>
            <a:r>
              <a:rPr lang="lv-LV" sz="1200"/>
              <a:t>(attiecībā pret inerces variantu)</a:t>
            </a:r>
          </a:p>
        </c:rich>
      </c:tx>
      <c:layout/>
      <c:overlay val="1"/>
    </c:title>
    <c:autoTitleDeleted val="0"/>
    <c:plotArea>
      <c:layout>
        <c:manualLayout>
          <c:layoutTarget val="inner"/>
          <c:xMode val="edge"/>
          <c:yMode val="edge"/>
          <c:x val="9.7524529863874582E-2"/>
          <c:y val="0.20168560468402988"/>
          <c:w val="0.8515113030226058"/>
          <c:h val="0.61382077240345001"/>
        </c:manualLayout>
      </c:layout>
      <c:barChart>
        <c:barDir val="col"/>
        <c:grouping val="stacked"/>
        <c:varyColors val="0"/>
        <c:ser>
          <c:idx val="0"/>
          <c:order val="0"/>
          <c:tx>
            <c:strRef>
              <c:f>'3.var_VID'!$A$128</c:f>
              <c:strCache>
                <c:ptCount val="1"/>
                <c:pt idx="0">
                  <c:v>VSAOI+IIN </c:v>
                </c:pt>
              </c:strCache>
            </c:strRef>
          </c:tx>
          <c:spPr>
            <a:solidFill>
              <a:schemeClr val="accent1">
                <a:lumMod val="75000"/>
              </a:schemeClr>
            </a:solidFill>
          </c:spPr>
          <c:invertIfNegative val="0"/>
          <c:dLbls>
            <c:txPr>
              <a:bodyPr/>
              <a:lstStyle/>
              <a:p>
                <a:pPr>
                  <a:defRPr b="1">
                    <a:solidFill>
                      <a:schemeClr val="bg1"/>
                    </a:solidFill>
                  </a:defRPr>
                </a:pPr>
                <a:endParaRPr lang="lv-LV"/>
              </a:p>
            </c:txPr>
            <c:dLblPos val="inEnd"/>
            <c:showLegendKey val="0"/>
            <c:showVal val="1"/>
            <c:showCatName val="0"/>
            <c:showSerName val="0"/>
            <c:showPercent val="0"/>
            <c:showBubbleSize val="0"/>
            <c:showLeaderLines val="0"/>
          </c:dLbls>
          <c:cat>
            <c:numRef>
              <c:f>'3.var_VID'!$B$127:$F$127</c:f>
              <c:numCache>
                <c:formatCode>0.0%</c:formatCode>
                <c:ptCount val="5"/>
                <c:pt idx="0">
                  <c:v>5.0000000000000018E-3</c:v>
                </c:pt>
                <c:pt idx="1">
                  <c:v>1.0000000000000004E-2</c:v>
                </c:pt>
                <c:pt idx="2">
                  <c:v>1.4999999999999998E-2</c:v>
                </c:pt>
                <c:pt idx="3">
                  <c:v>2.0000000000000007E-2</c:v>
                </c:pt>
                <c:pt idx="4">
                  <c:v>2.5000000000000001E-2</c:v>
                </c:pt>
              </c:numCache>
            </c:numRef>
          </c:cat>
          <c:val>
            <c:numRef>
              <c:f>'3.var_VID'!$B$128:$F$128</c:f>
              <c:numCache>
                <c:formatCode>0%</c:formatCode>
                <c:ptCount val="5"/>
                <c:pt idx="0">
                  <c:v>0.24123117803365807</c:v>
                </c:pt>
                <c:pt idx="1">
                  <c:v>0.24123117803365807</c:v>
                </c:pt>
                <c:pt idx="2">
                  <c:v>0.24123117803365812</c:v>
                </c:pt>
                <c:pt idx="3">
                  <c:v>0.24123117803365807</c:v>
                </c:pt>
                <c:pt idx="4">
                  <c:v>0.24123117803365812</c:v>
                </c:pt>
              </c:numCache>
            </c:numRef>
          </c:val>
        </c:ser>
        <c:ser>
          <c:idx val="1"/>
          <c:order val="1"/>
          <c:tx>
            <c:strRef>
              <c:f>'3.var_VID'!$A$129</c:f>
              <c:strCache>
                <c:ptCount val="1"/>
                <c:pt idx="0">
                  <c:v>UIN </c:v>
                </c:pt>
              </c:strCache>
            </c:strRef>
          </c:tx>
          <c:spPr>
            <a:solidFill>
              <a:schemeClr val="accent6">
                <a:lumMod val="60000"/>
                <a:lumOff val="40000"/>
              </a:schemeClr>
            </a:solidFill>
          </c:spPr>
          <c:invertIfNegative val="0"/>
          <c:dLbls>
            <c:dLbl>
              <c:idx val="0"/>
              <c:layout>
                <c:manualLayout>
                  <c:x val="0"/>
                  <c:y val="3.0291682691334552E-3"/>
                </c:manualLayout>
              </c:layout>
              <c:dLblPos val="ctr"/>
              <c:showLegendKey val="0"/>
              <c:showVal val="1"/>
              <c:showCatName val="0"/>
              <c:showSerName val="0"/>
              <c:showPercent val="0"/>
              <c:showBubbleSize val="0"/>
            </c:dLbl>
            <c:txPr>
              <a:bodyPr/>
              <a:lstStyle/>
              <a:p>
                <a:pPr>
                  <a:defRPr b="1"/>
                </a:pPr>
                <a:endParaRPr lang="lv-LV"/>
              </a:p>
            </c:txPr>
            <c:dLblPos val="inEnd"/>
            <c:showLegendKey val="0"/>
            <c:showVal val="1"/>
            <c:showCatName val="0"/>
            <c:showSerName val="0"/>
            <c:showPercent val="0"/>
            <c:showBubbleSize val="0"/>
            <c:showLeaderLines val="0"/>
          </c:dLbls>
          <c:cat>
            <c:numRef>
              <c:f>'3.var_VID'!$B$127:$F$127</c:f>
              <c:numCache>
                <c:formatCode>0.0%</c:formatCode>
                <c:ptCount val="5"/>
                <c:pt idx="0">
                  <c:v>5.0000000000000018E-3</c:v>
                </c:pt>
                <c:pt idx="1">
                  <c:v>1.0000000000000004E-2</c:v>
                </c:pt>
                <c:pt idx="2">
                  <c:v>1.4999999999999998E-2</c:v>
                </c:pt>
                <c:pt idx="3">
                  <c:v>2.0000000000000007E-2</c:v>
                </c:pt>
                <c:pt idx="4">
                  <c:v>2.5000000000000001E-2</c:v>
                </c:pt>
              </c:numCache>
            </c:numRef>
          </c:cat>
          <c:val>
            <c:numRef>
              <c:f>'3.var_VID'!$B$129:$F$129</c:f>
              <c:numCache>
                <c:formatCode>0%</c:formatCode>
                <c:ptCount val="5"/>
                <c:pt idx="0">
                  <c:v>0.13520549929906606</c:v>
                </c:pt>
                <c:pt idx="1">
                  <c:v>0.29763898868349747</c:v>
                </c:pt>
                <c:pt idx="2">
                  <c:v>0.49644621540705375</c:v>
                </c:pt>
                <c:pt idx="3">
                  <c:v>0.74538537458160659</c:v>
                </c:pt>
                <c:pt idx="4">
                  <c:v>1</c:v>
                </c:pt>
              </c:numCache>
            </c:numRef>
          </c:val>
        </c:ser>
        <c:dLbls>
          <c:showLegendKey val="0"/>
          <c:showVal val="0"/>
          <c:showCatName val="0"/>
          <c:showSerName val="0"/>
          <c:showPercent val="0"/>
          <c:showBubbleSize val="0"/>
        </c:dLbls>
        <c:gapWidth val="150"/>
        <c:overlap val="100"/>
        <c:axId val="58963840"/>
        <c:axId val="58970112"/>
      </c:barChart>
      <c:catAx>
        <c:axId val="58963840"/>
        <c:scaling>
          <c:orientation val="minMax"/>
        </c:scaling>
        <c:delete val="0"/>
        <c:axPos val="b"/>
        <c:title>
          <c:tx>
            <c:rich>
              <a:bodyPr/>
              <a:lstStyle/>
              <a:p>
                <a:pPr>
                  <a:defRPr/>
                </a:pPr>
                <a:r>
                  <a:rPr lang="lv-LV"/>
                  <a:t>ZP izdevumi procentos no NA</a:t>
                </a:r>
              </a:p>
            </c:rich>
          </c:tx>
          <c:layout>
            <c:manualLayout>
              <c:xMode val="edge"/>
              <c:yMode val="edge"/>
              <c:x val="0.3511986499553843"/>
              <c:y val="0.89719866747425803"/>
            </c:manualLayout>
          </c:layout>
          <c:overlay val="0"/>
        </c:title>
        <c:numFmt formatCode="0.0%" sourceLinked="1"/>
        <c:majorTickMark val="out"/>
        <c:minorTickMark val="none"/>
        <c:tickLblPos val="nextTo"/>
        <c:txPr>
          <a:bodyPr/>
          <a:lstStyle/>
          <a:p>
            <a:pPr>
              <a:defRPr b="1"/>
            </a:pPr>
            <a:endParaRPr lang="lv-LV"/>
          </a:p>
        </c:txPr>
        <c:crossAx val="58970112"/>
        <c:crosses val="autoZero"/>
        <c:auto val="1"/>
        <c:lblAlgn val="ctr"/>
        <c:lblOffset val="100"/>
        <c:noMultiLvlLbl val="0"/>
      </c:catAx>
      <c:valAx>
        <c:axId val="58970112"/>
        <c:scaling>
          <c:orientation val="minMax"/>
        </c:scaling>
        <c:delete val="0"/>
        <c:axPos val="l"/>
        <c:majorGridlines>
          <c:spPr>
            <a:ln>
              <a:solidFill>
                <a:schemeClr val="bg1">
                  <a:lumMod val="75000"/>
                </a:schemeClr>
              </a:solidFill>
            </a:ln>
          </c:spPr>
        </c:majorGridlines>
        <c:numFmt formatCode="0%" sourceLinked="0"/>
        <c:majorTickMark val="out"/>
        <c:minorTickMark val="none"/>
        <c:tickLblPos val="nextTo"/>
        <c:crossAx val="58963840"/>
        <c:crosses val="autoZero"/>
        <c:crossBetween val="between"/>
      </c:valAx>
      <c:spPr>
        <a:solidFill>
          <a:schemeClr val="bg1">
            <a:lumMod val="85000"/>
          </a:schemeClr>
        </a:solidFill>
      </c:spPr>
    </c:plotArea>
    <c:legend>
      <c:legendPos val="r"/>
      <c:layout>
        <c:manualLayout>
          <c:xMode val="edge"/>
          <c:yMode val="edge"/>
          <c:x val="0.11571311504613964"/>
          <c:y val="0.24067932684884977"/>
          <c:w val="0.22299924373860053"/>
          <c:h val="0.16545970356646603"/>
        </c:manualLayout>
      </c:layout>
      <c:overlay val="0"/>
      <c:txPr>
        <a:bodyPr/>
        <a:lstStyle/>
        <a:p>
          <a:pPr>
            <a:defRPr b="1"/>
          </a:pPr>
          <a:endParaRPr lang="lv-LV"/>
        </a:p>
      </c:tx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b="1" i="0" baseline="0">
                <a:effectLst/>
              </a:rPr>
              <a:t>Nodokļu samazinājums pret inerces variantu</a:t>
            </a:r>
          </a:p>
          <a:p>
            <a:pPr>
              <a:defRPr sz="1200"/>
            </a:pPr>
            <a:r>
              <a:rPr lang="lv-LV" sz="1200" b="1" i="0" baseline="0">
                <a:effectLst/>
              </a:rPr>
              <a:t>(Lielie uzņēmumi)</a:t>
            </a:r>
            <a:endParaRPr lang="lv-LV" sz="1200">
              <a:effectLst/>
            </a:endParaRPr>
          </a:p>
        </c:rich>
      </c:tx>
      <c:layout/>
      <c:overlay val="1"/>
    </c:title>
    <c:autoTitleDeleted val="0"/>
    <c:plotArea>
      <c:layout>
        <c:manualLayout>
          <c:layoutTarget val="inner"/>
          <c:xMode val="edge"/>
          <c:yMode val="edge"/>
          <c:x val="9.0098745042394068E-2"/>
          <c:y val="0.23195610965296012"/>
          <c:w val="0.55770373411912488"/>
          <c:h val="0.61965660542432222"/>
        </c:manualLayout>
      </c:layout>
      <c:barChart>
        <c:barDir val="col"/>
        <c:grouping val="clustered"/>
        <c:varyColors val="0"/>
        <c:ser>
          <c:idx val="0"/>
          <c:order val="0"/>
          <c:tx>
            <c:strRef>
              <c:f>SVODgraf!$A$71</c:f>
              <c:strCache>
                <c:ptCount val="1"/>
                <c:pt idx="0">
                  <c:v>Inerces variants </c:v>
                </c:pt>
              </c:strCache>
            </c:strRef>
          </c:tx>
          <c:spPr>
            <a:solidFill>
              <a:schemeClr val="bg1">
                <a:lumMod val="65000"/>
              </a:schemeClr>
            </a:solidFill>
          </c:spPr>
          <c:invertIfNegative val="0"/>
          <c:cat>
            <c:numRef>
              <c:f>SVODgraf!$B$67:$F$67</c:f>
              <c:numCache>
                <c:formatCode>0.0%</c:formatCode>
                <c:ptCount val="5"/>
                <c:pt idx="0">
                  <c:v>2.0000000000000007E-2</c:v>
                </c:pt>
                <c:pt idx="1">
                  <c:v>3.0000000000000002E-2</c:v>
                </c:pt>
                <c:pt idx="2">
                  <c:v>4.0000000000000015E-2</c:v>
                </c:pt>
                <c:pt idx="3">
                  <c:v>0.05</c:v>
                </c:pt>
                <c:pt idx="4">
                  <c:v>6.0000000000000019E-2</c:v>
                </c:pt>
              </c:numCache>
            </c:numRef>
          </c:cat>
          <c:val>
            <c:numRef>
              <c:f>SVODgraf!$B$71:$F$71</c:f>
              <c:numCache>
                <c:formatCode>0%</c:formatCode>
                <c:ptCount val="5"/>
                <c:pt idx="0">
                  <c:v>1</c:v>
                </c:pt>
                <c:pt idx="1">
                  <c:v>1</c:v>
                </c:pt>
                <c:pt idx="2">
                  <c:v>1</c:v>
                </c:pt>
                <c:pt idx="3">
                  <c:v>1</c:v>
                </c:pt>
                <c:pt idx="4">
                  <c:v>1</c:v>
                </c:pt>
              </c:numCache>
            </c:numRef>
          </c:val>
        </c:ser>
        <c:dLbls>
          <c:showLegendKey val="0"/>
          <c:showVal val="0"/>
          <c:showCatName val="0"/>
          <c:showSerName val="0"/>
          <c:showPercent val="0"/>
          <c:showBubbleSize val="0"/>
        </c:dLbls>
        <c:gapWidth val="150"/>
        <c:axId val="59197696"/>
        <c:axId val="59224832"/>
      </c:barChart>
      <c:lineChart>
        <c:grouping val="standard"/>
        <c:varyColors val="0"/>
        <c:ser>
          <c:idx val="1"/>
          <c:order val="1"/>
          <c:tx>
            <c:strRef>
              <c:f>SVODgraf!$A$79</c:f>
              <c:strCache>
                <c:ptCount val="1"/>
                <c:pt idx="0">
                  <c:v>1.variants. UIN</c:v>
                </c:pt>
              </c:strCache>
            </c:strRef>
          </c:tx>
          <c:spPr>
            <a:ln>
              <a:solidFill>
                <a:schemeClr val="accent6">
                  <a:lumMod val="75000"/>
                </a:schemeClr>
              </a:solidFill>
            </a:ln>
          </c:spPr>
          <c:marker>
            <c:symbol val="diamond"/>
            <c:size val="8"/>
            <c:spPr>
              <a:solidFill>
                <a:schemeClr val="bg1"/>
              </a:solidFill>
              <a:ln cmpd="dbl">
                <a:solidFill>
                  <a:schemeClr val="accent6">
                    <a:lumMod val="75000"/>
                  </a:schemeClr>
                </a:solidFill>
              </a:ln>
            </c:spPr>
          </c:marker>
          <c:cat>
            <c:numRef>
              <c:f>SVODgraf!$B$67:$F$67</c:f>
              <c:numCache>
                <c:formatCode>0.0%</c:formatCode>
                <c:ptCount val="5"/>
                <c:pt idx="0">
                  <c:v>2.0000000000000007E-2</c:v>
                </c:pt>
                <c:pt idx="1">
                  <c:v>3.0000000000000002E-2</c:v>
                </c:pt>
                <c:pt idx="2">
                  <c:v>4.0000000000000015E-2</c:v>
                </c:pt>
                <c:pt idx="3">
                  <c:v>0.05</c:v>
                </c:pt>
                <c:pt idx="4">
                  <c:v>6.0000000000000019E-2</c:v>
                </c:pt>
              </c:numCache>
            </c:numRef>
          </c:cat>
          <c:val>
            <c:numRef>
              <c:f>SVODgraf!$B$79:$F$79</c:f>
              <c:numCache>
                <c:formatCode>0%</c:formatCode>
                <c:ptCount val="5"/>
                <c:pt idx="0">
                  <c:v>0.88916272954296127</c:v>
                </c:pt>
                <c:pt idx="1">
                  <c:v>0.84173822759151085</c:v>
                </c:pt>
                <c:pt idx="2">
                  <c:v>0.79866514835945079</c:v>
                </c:pt>
                <c:pt idx="3">
                  <c:v>0.7593708668996666</c:v>
                </c:pt>
                <c:pt idx="4">
                  <c:v>0.72337900891514251</c:v>
                </c:pt>
              </c:numCache>
            </c:numRef>
          </c:val>
          <c:smooth val="0"/>
        </c:ser>
        <c:ser>
          <c:idx val="2"/>
          <c:order val="2"/>
          <c:tx>
            <c:strRef>
              <c:f>SVODgraf!$A$85</c:f>
              <c:strCache>
                <c:ptCount val="1"/>
                <c:pt idx="0">
                  <c:v>2.variants. VSAOI,INN</c:v>
                </c:pt>
              </c:strCache>
            </c:strRef>
          </c:tx>
          <c:spPr>
            <a:ln>
              <a:solidFill>
                <a:schemeClr val="accent6">
                  <a:lumMod val="75000"/>
                </a:schemeClr>
              </a:solidFill>
            </a:ln>
          </c:spPr>
          <c:marker>
            <c:symbol val="circle"/>
            <c:size val="7"/>
            <c:spPr>
              <a:solidFill>
                <a:schemeClr val="accent6">
                  <a:lumMod val="50000"/>
                </a:schemeClr>
              </a:solidFill>
              <a:ln>
                <a:solidFill>
                  <a:schemeClr val="bg1"/>
                </a:solidFill>
              </a:ln>
            </c:spPr>
          </c:marker>
          <c:cat>
            <c:numRef>
              <c:f>SVODgraf!$B$67:$F$67</c:f>
              <c:numCache>
                <c:formatCode>0.0%</c:formatCode>
                <c:ptCount val="5"/>
                <c:pt idx="0">
                  <c:v>2.0000000000000007E-2</c:v>
                </c:pt>
                <c:pt idx="1">
                  <c:v>3.0000000000000002E-2</c:v>
                </c:pt>
                <c:pt idx="2">
                  <c:v>4.0000000000000015E-2</c:v>
                </c:pt>
                <c:pt idx="3">
                  <c:v>0.05</c:v>
                </c:pt>
                <c:pt idx="4">
                  <c:v>6.0000000000000019E-2</c:v>
                </c:pt>
              </c:numCache>
            </c:numRef>
          </c:cat>
          <c:val>
            <c:numRef>
              <c:f>SVODgraf!$B$85:$F$85</c:f>
              <c:numCache>
                <c:formatCode>0%</c:formatCode>
                <c:ptCount val="5"/>
                <c:pt idx="0">
                  <c:v>0.95962216924992871</c:v>
                </c:pt>
                <c:pt idx="1">
                  <c:v>0.94234550314920285</c:v>
                </c:pt>
                <c:pt idx="2">
                  <c:v>0.92665405300842552</c:v>
                </c:pt>
                <c:pt idx="3">
                  <c:v>0.91233921252483741</c:v>
                </c:pt>
                <c:pt idx="4">
                  <c:v>0.89922743934522753</c:v>
                </c:pt>
              </c:numCache>
            </c:numRef>
          </c:val>
          <c:smooth val="0"/>
        </c:ser>
        <c:ser>
          <c:idx val="3"/>
          <c:order val="3"/>
          <c:tx>
            <c:strRef>
              <c:f>SVODgraf!$A$91</c:f>
              <c:strCache>
                <c:ptCount val="1"/>
                <c:pt idx="0">
                  <c:v>3.variants. UIN+VSAOI+IIN</c:v>
                </c:pt>
              </c:strCache>
            </c:strRef>
          </c:tx>
          <c:spPr>
            <a:ln>
              <a:solidFill>
                <a:schemeClr val="accent6">
                  <a:lumMod val="50000"/>
                </a:schemeClr>
              </a:solidFill>
            </a:ln>
          </c:spPr>
          <c:marker>
            <c:symbol val="triangle"/>
            <c:size val="8"/>
            <c:spPr>
              <a:solidFill>
                <a:schemeClr val="bg1"/>
              </a:solidFill>
              <a:ln>
                <a:solidFill>
                  <a:schemeClr val="accent6">
                    <a:lumMod val="50000"/>
                  </a:schemeClr>
                </a:solidFill>
              </a:ln>
            </c:spPr>
          </c:marker>
          <c:cat>
            <c:numRef>
              <c:f>SVODgraf!$B$67:$F$67</c:f>
              <c:numCache>
                <c:formatCode>0.0%</c:formatCode>
                <c:ptCount val="5"/>
                <c:pt idx="0">
                  <c:v>2.0000000000000007E-2</c:v>
                </c:pt>
                <c:pt idx="1">
                  <c:v>3.0000000000000002E-2</c:v>
                </c:pt>
                <c:pt idx="2">
                  <c:v>4.0000000000000015E-2</c:v>
                </c:pt>
                <c:pt idx="3">
                  <c:v>0.05</c:v>
                </c:pt>
                <c:pt idx="4">
                  <c:v>6.0000000000000019E-2</c:v>
                </c:pt>
              </c:numCache>
            </c:numRef>
          </c:cat>
          <c:val>
            <c:numRef>
              <c:f>SVODgraf!$B$91:$F$91</c:f>
              <c:numCache>
                <c:formatCode>0%</c:formatCode>
                <c:ptCount val="5"/>
                <c:pt idx="0">
                  <c:v>0.85308833959442254</c:v>
                </c:pt>
                <c:pt idx="1">
                  <c:v>0.79022850646368981</c:v>
                </c:pt>
                <c:pt idx="2">
                  <c:v>0.73313636081024935</c:v>
                </c:pt>
                <c:pt idx="3">
                  <c:v>0.68105290449725209</c:v>
                </c:pt>
                <c:pt idx="4">
                  <c:v>0.63334671689641475</c:v>
                </c:pt>
              </c:numCache>
            </c:numRef>
          </c:val>
          <c:smooth val="0"/>
        </c:ser>
        <c:dLbls>
          <c:showLegendKey val="0"/>
          <c:showVal val="0"/>
          <c:showCatName val="0"/>
          <c:showSerName val="0"/>
          <c:showPercent val="0"/>
          <c:showBubbleSize val="0"/>
        </c:dLbls>
        <c:marker val="1"/>
        <c:smooth val="0"/>
        <c:axId val="59197696"/>
        <c:axId val="59224832"/>
      </c:lineChart>
      <c:catAx>
        <c:axId val="59197696"/>
        <c:scaling>
          <c:orientation val="minMax"/>
        </c:scaling>
        <c:delete val="0"/>
        <c:axPos val="b"/>
        <c:title>
          <c:tx>
            <c:rich>
              <a:bodyPr/>
              <a:lstStyle/>
              <a:p>
                <a:pPr>
                  <a:defRPr/>
                </a:pPr>
                <a:r>
                  <a:rPr lang="lv-LV"/>
                  <a:t>ZP izdevumi procentos no NA</a:t>
                </a:r>
              </a:p>
            </c:rich>
          </c:tx>
          <c:layout/>
          <c:overlay val="0"/>
        </c:title>
        <c:numFmt formatCode="0.0%" sourceLinked="1"/>
        <c:majorTickMark val="out"/>
        <c:minorTickMark val="none"/>
        <c:tickLblPos val="nextTo"/>
        <c:txPr>
          <a:bodyPr/>
          <a:lstStyle/>
          <a:p>
            <a:pPr>
              <a:defRPr b="1"/>
            </a:pPr>
            <a:endParaRPr lang="lv-LV"/>
          </a:p>
        </c:txPr>
        <c:crossAx val="59224832"/>
        <c:crosses val="autoZero"/>
        <c:auto val="1"/>
        <c:lblAlgn val="ctr"/>
        <c:lblOffset val="100"/>
        <c:noMultiLvlLbl val="0"/>
      </c:catAx>
      <c:valAx>
        <c:axId val="59224832"/>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crossAx val="59197696"/>
        <c:crosses val="autoZero"/>
        <c:crossBetween val="between"/>
      </c:valAx>
      <c:spPr>
        <a:solidFill>
          <a:sysClr val="window" lastClr="FFFFFF"/>
        </a:solidFill>
      </c:spPr>
    </c:plotArea>
    <c:legend>
      <c:legendPos val="r"/>
      <c:layout>
        <c:manualLayout>
          <c:xMode val="edge"/>
          <c:yMode val="edge"/>
          <c:x val="0.64494750656167976"/>
          <c:y val="0.23877822322302478"/>
          <c:w val="0.33763837638376393"/>
          <c:h val="0.55393335573313074"/>
        </c:manualLayout>
      </c:layout>
      <c:overlay val="0"/>
    </c:legend>
    <c:plotVisOnly val="1"/>
    <c:dispBlanksAs val="gap"/>
    <c:showDLblsOverMax val="0"/>
  </c:chart>
  <c:spPr>
    <a:solidFill>
      <a:schemeClr val="bg1">
        <a:lumMod val="95000"/>
      </a:schemeClr>
    </a:solidFill>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lv-LV" sz="1200"/>
              <a:t>Nodokļu samazinājums pret inerces variantu</a:t>
            </a:r>
          </a:p>
          <a:p>
            <a:pPr>
              <a:defRPr sz="1200"/>
            </a:pPr>
            <a:r>
              <a:rPr lang="lv-LV" sz="1200"/>
              <a:t>(Vidējie  uzņēmumi)</a:t>
            </a:r>
          </a:p>
        </c:rich>
      </c:tx>
      <c:layout/>
      <c:overlay val="1"/>
    </c:title>
    <c:autoTitleDeleted val="0"/>
    <c:plotArea>
      <c:layout>
        <c:manualLayout>
          <c:layoutTarget val="inner"/>
          <c:xMode val="edge"/>
          <c:yMode val="edge"/>
          <c:x val="8.6296042891545785E-2"/>
          <c:y val="0.2088079615048119"/>
          <c:w val="0.54509081983308805"/>
          <c:h val="0.61965660542432222"/>
        </c:manualLayout>
      </c:layout>
      <c:barChart>
        <c:barDir val="col"/>
        <c:grouping val="clustered"/>
        <c:varyColors val="0"/>
        <c:ser>
          <c:idx val="3"/>
          <c:order val="3"/>
          <c:tx>
            <c:strRef>
              <c:f>SVODgraf!$A$11</c:f>
              <c:strCache>
                <c:ptCount val="1"/>
                <c:pt idx="0">
                  <c:v>Inerces variants </c:v>
                </c:pt>
              </c:strCache>
            </c:strRef>
          </c:tx>
          <c:spPr>
            <a:solidFill>
              <a:schemeClr val="bg1">
                <a:lumMod val="65000"/>
              </a:schemeClr>
            </a:solidFill>
            <a:ln>
              <a:solidFill>
                <a:schemeClr val="bg1">
                  <a:lumMod val="65000"/>
                </a:schemeClr>
              </a:solidFill>
            </a:ln>
          </c:spPr>
          <c:invertIfNegative val="0"/>
          <c:cat>
            <c:numRef>
              <c:f>SVODgraf!$B$7:$F$7</c:f>
              <c:numCache>
                <c:formatCode>0.0%</c:formatCode>
                <c:ptCount val="5"/>
                <c:pt idx="0">
                  <c:v>5.0000000000000018E-3</c:v>
                </c:pt>
                <c:pt idx="1">
                  <c:v>1.0000000000000004E-2</c:v>
                </c:pt>
                <c:pt idx="2">
                  <c:v>1.4999999999999998E-2</c:v>
                </c:pt>
                <c:pt idx="3">
                  <c:v>2.0000000000000007E-2</c:v>
                </c:pt>
                <c:pt idx="4">
                  <c:v>2.5000000000000008E-2</c:v>
                </c:pt>
              </c:numCache>
            </c:numRef>
          </c:cat>
          <c:val>
            <c:numRef>
              <c:f>SVODgraf!$B$11:$F$11</c:f>
              <c:numCache>
                <c:formatCode>0%</c:formatCode>
                <c:ptCount val="5"/>
                <c:pt idx="0">
                  <c:v>1</c:v>
                </c:pt>
                <c:pt idx="1">
                  <c:v>1</c:v>
                </c:pt>
                <c:pt idx="2">
                  <c:v>1</c:v>
                </c:pt>
                <c:pt idx="3">
                  <c:v>1</c:v>
                </c:pt>
                <c:pt idx="4">
                  <c:v>1</c:v>
                </c:pt>
              </c:numCache>
            </c:numRef>
          </c:val>
        </c:ser>
        <c:dLbls>
          <c:showLegendKey val="0"/>
          <c:showVal val="0"/>
          <c:showCatName val="0"/>
          <c:showSerName val="0"/>
          <c:showPercent val="0"/>
          <c:showBubbleSize val="0"/>
        </c:dLbls>
        <c:gapWidth val="150"/>
        <c:axId val="59325440"/>
        <c:axId val="59598336"/>
      </c:barChart>
      <c:lineChart>
        <c:grouping val="standard"/>
        <c:varyColors val="0"/>
        <c:ser>
          <c:idx val="0"/>
          <c:order val="0"/>
          <c:tx>
            <c:strRef>
              <c:f>SVODgraf!$A$17</c:f>
              <c:strCache>
                <c:ptCount val="1"/>
                <c:pt idx="0">
                  <c:v>1.variants. UIN</c:v>
                </c:pt>
              </c:strCache>
            </c:strRef>
          </c:tx>
          <c:marker>
            <c:symbol val="diamond"/>
            <c:size val="7"/>
            <c:spPr>
              <a:solidFill>
                <a:schemeClr val="bg1"/>
              </a:solidFill>
            </c:spPr>
          </c:marker>
          <c:cat>
            <c:numRef>
              <c:f>SVODgraf!$B$7:$F$7</c:f>
              <c:numCache>
                <c:formatCode>0.0%</c:formatCode>
                <c:ptCount val="5"/>
                <c:pt idx="0">
                  <c:v>5.0000000000000018E-3</c:v>
                </c:pt>
                <c:pt idx="1">
                  <c:v>1.0000000000000004E-2</c:v>
                </c:pt>
                <c:pt idx="2">
                  <c:v>1.4999999999999998E-2</c:v>
                </c:pt>
                <c:pt idx="3">
                  <c:v>2.0000000000000007E-2</c:v>
                </c:pt>
                <c:pt idx="4">
                  <c:v>2.5000000000000008E-2</c:v>
                </c:pt>
              </c:numCache>
            </c:numRef>
          </c:cat>
          <c:val>
            <c:numRef>
              <c:f>SVODgraf!$B$17:$F$17</c:f>
              <c:numCache>
                <c:formatCode>0%</c:formatCode>
                <c:ptCount val="5"/>
                <c:pt idx="0">
                  <c:v>0.86902890675126188</c:v>
                </c:pt>
                <c:pt idx="1">
                  <c:v>0.77696055486844262</c:v>
                </c:pt>
                <c:pt idx="2">
                  <c:v>0.71380645088930661</c:v>
                </c:pt>
                <c:pt idx="3">
                  <c:v>0.67237140882956481</c:v>
                </c:pt>
                <c:pt idx="4">
                  <c:v>0.6473761352733739</c:v>
                </c:pt>
              </c:numCache>
            </c:numRef>
          </c:val>
          <c:smooth val="0"/>
        </c:ser>
        <c:ser>
          <c:idx val="1"/>
          <c:order val="1"/>
          <c:tx>
            <c:strRef>
              <c:f>SVODgraf!$A$23</c:f>
              <c:strCache>
                <c:ptCount val="1"/>
                <c:pt idx="0">
                  <c:v>2.variants. VSAOI,INN</c:v>
                </c:pt>
              </c:strCache>
            </c:strRef>
          </c:tx>
          <c:spPr>
            <a:ln>
              <a:solidFill>
                <a:schemeClr val="tx2">
                  <a:lumMod val="40000"/>
                  <a:lumOff val="60000"/>
                </a:schemeClr>
              </a:solidFill>
            </a:ln>
          </c:spPr>
          <c:marker>
            <c:symbol val="circle"/>
            <c:size val="6"/>
            <c:spPr>
              <a:solidFill>
                <a:schemeClr val="tx2">
                  <a:lumMod val="60000"/>
                  <a:lumOff val="40000"/>
                </a:schemeClr>
              </a:solidFill>
              <a:ln>
                <a:solidFill>
                  <a:schemeClr val="bg1"/>
                </a:solidFill>
              </a:ln>
            </c:spPr>
          </c:marker>
          <c:cat>
            <c:numRef>
              <c:f>SVODgraf!$B$7:$F$7</c:f>
              <c:numCache>
                <c:formatCode>0.0%</c:formatCode>
                <c:ptCount val="5"/>
                <c:pt idx="0">
                  <c:v>5.0000000000000018E-3</c:v>
                </c:pt>
                <c:pt idx="1">
                  <c:v>1.0000000000000004E-2</c:v>
                </c:pt>
                <c:pt idx="2">
                  <c:v>1.4999999999999998E-2</c:v>
                </c:pt>
                <c:pt idx="3">
                  <c:v>2.0000000000000007E-2</c:v>
                </c:pt>
                <c:pt idx="4">
                  <c:v>2.5000000000000008E-2</c:v>
                </c:pt>
              </c:numCache>
            </c:numRef>
          </c:cat>
          <c:val>
            <c:numRef>
              <c:f>SVODgraf!$B$23:$F$23</c:f>
              <c:numCache>
                <c:formatCode>0%</c:formatCode>
                <c:ptCount val="5"/>
                <c:pt idx="0">
                  <c:v>0.96421558866519241</c:v>
                </c:pt>
                <c:pt idx="1">
                  <c:v>0.93385110409340255</c:v>
                </c:pt>
                <c:pt idx="2">
                  <c:v>0.90776187490083893</c:v>
                </c:pt>
                <c:pt idx="3">
                  <c:v>0.88510436474697407</c:v>
                </c:pt>
                <c:pt idx="4">
                  <c:v>0.86524325671108648</c:v>
                </c:pt>
              </c:numCache>
            </c:numRef>
          </c:val>
          <c:smooth val="0"/>
        </c:ser>
        <c:ser>
          <c:idx val="2"/>
          <c:order val="2"/>
          <c:tx>
            <c:strRef>
              <c:f>SVODgraf!$A$29</c:f>
              <c:strCache>
                <c:ptCount val="1"/>
                <c:pt idx="0">
                  <c:v>3.variants. UIN+VSAOI+IIN</c:v>
                </c:pt>
              </c:strCache>
            </c:strRef>
          </c:tx>
          <c:spPr>
            <a:ln>
              <a:solidFill>
                <a:schemeClr val="accent1">
                  <a:lumMod val="75000"/>
                </a:schemeClr>
              </a:solidFill>
            </a:ln>
          </c:spPr>
          <c:marker>
            <c:spPr>
              <a:solidFill>
                <a:schemeClr val="bg1"/>
              </a:solidFill>
              <a:ln>
                <a:solidFill>
                  <a:schemeClr val="accent1">
                    <a:lumMod val="75000"/>
                  </a:schemeClr>
                </a:solidFill>
              </a:ln>
            </c:spPr>
          </c:marker>
          <c:cat>
            <c:numRef>
              <c:f>SVODgraf!$B$7:$F$7</c:f>
              <c:numCache>
                <c:formatCode>0.0%</c:formatCode>
                <c:ptCount val="5"/>
                <c:pt idx="0">
                  <c:v>5.0000000000000018E-3</c:v>
                </c:pt>
                <c:pt idx="1">
                  <c:v>1.0000000000000004E-2</c:v>
                </c:pt>
                <c:pt idx="2">
                  <c:v>1.4999999999999998E-2</c:v>
                </c:pt>
                <c:pt idx="3">
                  <c:v>2.0000000000000007E-2</c:v>
                </c:pt>
                <c:pt idx="4">
                  <c:v>2.5000000000000008E-2</c:v>
                </c:pt>
              </c:numCache>
            </c:numRef>
          </c:cat>
          <c:val>
            <c:numRef>
              <c:f>SVODgraf!$B$29:$F$29</c:f>
              <c:numCache>
                <c:formatCode>0%</c:formatCode>
                <c:ptCount val="5"/>
                <c:pt idx="0">
                  <c:v>0.84794905880706883</c:v>
                </c:pt>
                <c:pt idx="1">
                  <c:v>0.71892783739360111</c:v>
                </c:pt>
                <c:pt idx="2">
                  <c:v>0.60807253180782073</c:v>
                </c:pt>
                <c:pt idx="3">
                  <c:v>0.51179888595263667</c:v>
                </c:pt>
                <c:pt idx="4">
                  <c:v>0.45398076603166948</c:v>
                </c:pt>
              </c:numCache>
            </c:numRef>
          </c:val>
          <c:smooth val="0"/>
        </c:ser>
        <c:dLbls>
          <c:showLegendKey val="0"/>
          <c:showVal val="0"/>
          <c:showCatName val="0"/>
          <c:showSerName val="0"/>
          <c:showPercent val="0"/>
          <c:showBubbleSize val="0"/>
        </c:dLbls>
        <c:marker val="1"/>
        <c:smooth val="0"/>
        <c:axId val="59325440"/>
        <c:axId val="59598336"/>
      </c:lineChart>
      <c:catAx>
        <c:axId val="59325440"/>
        <c:scaling>
          <c:orientation val="minMax"/>
        </c:scaling>
        <c:delete val="0"/>
        <c:axPos val="b"/>
        <c:title>
          <c:tx>
            <c:rich>
              <a:bodyPr/>
              <a:lstStyle/>
              <a:p>
                <a:pPr>
                  <a:defRPr sz="1000"/>
                </a:pPr>
                <a:r>
                  <a:rPr lang="lv-LV" sz="1000"/>
                  <a:t>ZP izdevumi  procentos no NA</a:t>
                </a:r>
              </a:p>
            </c:rich>
          </c:tx>
          <c:layout/>
          <c:overlay val="0"/>
        </c:title>
        <c:numFmt formatCode="0.0%" sourceLinked="1"/>
        <c:majorTickMark val="out"/>
        <c:minorTickMark val="none"/>
        <c:tickLblPos val="nextTo"/>
        <c:txPr>
          <a:bodyPr/>
          <a:lstStyle/>
          <a:p>
            <a:pPr>
              <a:defRPr sz="1000" b="1"/>
            </a:pPr>
            <a:endParaRPr lang="lv-LV"/>
          </a:p>
        </c:txPr>
        <c:crossAx val="59598336"/>
        <c:crosses val="autoZero"/>
        <c:auto val="1"/>
        <c:lblAlgn val="ctr"/>
        <c:lblOffset val="100"/>
        <c:noMultiLvlLbl val="0"/>
      </c:catAx>
      <c:valAx>
        <c:axId val="59598336"/>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txPr>
          <a:bodyPr/>
          <a:lstStyle/>
          <a:p>
            <a:pPr>
              <a:defRPr sz="1050"/>
            </a:pPr>
            <a:endParaRPr lang="lv-LV"/>
          </a:p>
        </c:txPr>
        <c:crossAx val="59325440"/>
        <c:crosses val="autoZero"/>
        <c:crossBetween val="between"/>
      </c:valAx>
      <c:spPr>
        <a:solidFill>
          <a:sysClr val="window" lastClr="FFFFFF"/>
        </a:solidFill>
      </c:spPr>
    </c:plotArea>
    <c:legend>
      <c:legendPos val="r"/>
      <c:layout>
        <c:manualLayout>
          <c:xMode val="edge"/>
          <c:yMode val="edge"/>
          <c:x val="0.65193486173344362"/>
          <c:y val="0.22888958880139992"/>
          <c:w val="0.33149230888205894"/>
          <c:h val="0.59805760129040475"/>
        </c:manualLayout>
      </c:layout>
      <c:overlay val="1"/>
      <c:txPr>
        <a:bodyPr/>
        <a:lstStyle/>
        <a:p>
          <a:pPr>
            <a:defRPr sz="1000"/>
          </a:pPr>
          <a:endParaRPr lang="lv-LV"/>
        </a:p>
      </c:txPr>
    </c:legend>
    <c:plotVisOnly val="1"/>
    <c:dispBlanksAs val="gap"/>
    <c:showDLblsOverMax val="0"/>
  </c:chart>
  <c:spPr>
    <a:solidFill>
      <a:schemeClr val="bg1">
        <a:lumMod val="95000"/>
      </a:schemeClr>
    </a:solidFill>
  </c:spPr>
  <c:txPr>
    <a:bodyPr/>
    <a:lstStyle/>
    <a:p>
      <a:pPr>
        <a:defRPr sz="1200"/>
      </a:pPr>
      <a:endParaRPr lang="lv-LV"/>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200"/>
            </a:pPr>
            <a:r>
              <a:rPr lang="lv-LV" sz="1200"/>
              <a:t>Nodokļu samazinājums pret inerces variantu </a:t>
            </a:r>
          </a:p>
          <a:p>
            <a:pPr>
              <a:defRPr sz="1200"/>
            </a:pPr>
            <a:r>
              <a:rPr lang="lv-LV" sz="1200"/>
              <a:t>(Mazie uzņēmumi)</a:t>
            </a:r>
          </a:p>
        </c:rich>
      </c:tx>
      <c:layout/>
      <c:overlay val="1"/>
    </c:title>
    <c:autoTitleDeleted val="0"/>
    <c:plotArea>
      <c:layout>
        <c:manualLayout>
          <c:layoutTarget val="inner"/>
          <c:xMode val="edge"/>
          <c:yMode val="edge"/>
          <c:x val="9.4512581838050919E-2"/>
          <c:y val="0.2088079615048119"/>
          <c:w val="0.52429665622652188"/>
          <c:h val="0.63817512394284048"/>
        </c:manualLayout>
      </c:layout>
      <c:barChart>
        <c:barDir val="col"/>
        <c:grouping val="clustered"/>
        <c:varyColors val="0"/>
        <c:ser>
          <c:idx val="0"/>
          <c:order val="0"/>
          <c:tx>
            <c:strRef>
              <c:f>SVODgraf!$A$121</c:f>
              <c:strCache>
                <c:ptCount val="1"/>
                <c:pt idx="0">
                  <c:v>Inerces variants </c:v>
                </c:pt>
              </c:strCache>
            </c:strRef>
          </c:tx>
          <c:spPr>
            <a:solidFill>
              <a:schemeClr val="bg1">
                <a:lumMod val="65000"/>
              </a:schemeClr>
            </a:solidFill>
          </c:spPr>
          <c:invertIfNegative val="0"/>
          <c:cat>
            <c:numRef>
              <c:f>SVODgraf!$B$117:$F$117</c:f>
              <c:numCache>
                <c:formatCode>0.0%</c:formatCode>
                <c:ptCount val="5"/>
                <c:pt idx="0">
                  <c:v>5.0000000000000001E-3</c:v>
                </c:pt>
                <c:pt idx="1">
                  <c:v>0.01</c:v>
                </c:pt>
                <c:pt idx="2">
                  <c:v>1.4999999999999999E-2</c:v>
                </c:pt>
                <c:pt idx="3">
                  <c:v>0.02</c:v>
                </c:pt>
                <c:pt idx="4">
                  <c:v>2.5000000000000001E-2</c:v>
                </c:pt>
              </c:numCache>
            </c:numRef>
          </c:cat>
          <c:val>
            <c:numRef>
              <c:f>SVODgraf!$B$121:$F$121</c:f>
              <c:numCache>
                <c:formatCode>0%</c:formatCode>
                <c:ptCount val="5"/>
                <c:pt idx="0">
                  <c:v>1</c:v>
                </c:pt>
                <c:pt idx="1">
                  <c:v>1</c:v>
                </c:pt>
                <c:pt idx="2">
                  <c:v>1</c:v>
                </c:pt>
                <c:pt idx="3">
                  <c:v>1</c:v>
                </c:pt>
                <c:pt idx="4">
                  <c:v>1</c:v>
                </c:pt>
              </c:numCache>
            </c:numRef>
          </c:val>
        </c:ser>
        <c:dLbls>
          <c:showLegendKey val="0"/>
          <c:showVal val="0"/>
          <c:showCatName val="0"/>
          <c:showSerName val="0"/>
          <c:showPercent val="0"/>
          <c:showBubbleSize val="0"/>
        </c:dLbls>
        <c:gapWidth val="100"/>
        <c:axId val="66290048"/>
        <c:axId val="66292352"/>
      </c:barChart>
      <c:lineChart>
        <c:grouping val="standard"/>
        <c:varyColors val="0"/>
        <c:ser>
          <c:idx val="1"/>
          <c:order val="1"/>
          <c:tx>
            <c:strRef>
              <c:f>SVODgraf!$A$129</c:f>
              <c:strCache>
                <c:ptCount val="1"/>
                <c:pt idx="0">
                  <c:v>1.variants. UIN</c:v>
                </c:pt>
              </c:strCache>
            </c:strRef>
          </c:tx>
          <c:marker>
            <c:symbol val="diamond"/>
            <c:size val="7"/>
            <c:spPr>
              <a:solidFill>
                <a:schemeClr val="bg1"/>
              </a:solidFill>
              <a:ln>
                <a:solidFill>
                  <a:schemeClr val="accent3">
                    <a:lumMod val="50000"/>
                  </a:schemeClr>
                </a:solidFill>
              </a:ln>
            </c:spPr>
          </c:marker>
          <c:cat>
            <c:numRef>
              <c:f>SVODgraf!$B$117:$F$117</c:f>
              <c:numCache>
                <c:formatCode>0.0%</c:formatCode>
                <c:ptCount val="5"/>
                <c:pt idx="0">
                  <c:v>5.0000000000000001E-3</c:v>
                </c:pt>
                <c:pt idx="1">
                  <c:v>0.01</c:v>
                </c:pt>
                <c:pt idx="2">
                  <c:v>1.4999999999999999E-2</c:v>
                </c:pt>
                <c:pt idx="3">
                  <c:v>0.02</c:v>
                </c:pt>
                <c:pt idx="4">
                  <c:v>2.5000000000000001E-2</c:v>
                </c:pt>
              </c:numCache>
            </c:numRef>
          </c:cat>
          <c:val>
            <c:numRef>
              <c:f>SVODgraf!$B$129:$F$129</c:f>
              <c:numCache>
                <c:formatCode>0%</c:formatCode>
                <c:ptCount val="5"/>
                <c:pt idx="0">
                  <c:v>0.89605518747212987</c:v>
                </c:pt>
                <c:pt idx="1">
                  <c:v>0.79943013561988086</c:v>
                </c:pt>
                <c:pt idx="2">
                  <c:v>0.70937795931787195</c:v>
                </c:pt>
                <c:pt idx="3">
                  <c:v>0.62525004408002061</c:v>
                </c:pt>
                <c:pt idx="4">
                  <c:v>0.55016373079652581</c:v>
                </c:pt>
              </c:numCache>
            </c:numRef>
          </c:val>
          <c:smooth val="0"/>
        </c:ser>
        <c:ser>
          <c:idx val="2"/>
          <c:order val="2"/>
          <c:tx>
            <c:strRef>
              <c:f>SVODgraf!$A$135</c:f>
              <c:strCache>
                <c:ptCount val="1"/>
                <c:pt idx="0">
                  <c:v>2.variants. VSAOI,INN</c:v>
                </c:pt>
              </c:strCache>
            </c:strRef>
          </c:tx>
          <c:marker>
            <c:symbol val="circle"/>
            <c:size val="6"/>
            <c:spPr>
              <a:solidFill>
                <a:schemeClr val="accent3">
                  <a:lumMod val="75000"/>
                </a:schemeClr>
              </a:solidFill>
              <a:ln>
                <a:solidFill>
                  <a:schemeClr val="bg1"/>
                </a:solidFill>
              </a:ln>
            </c:spPr>
          </c:marker>
          <c:cat>
            <c:numRef>
              <c:f>SVODgraf!$B$117:$F$117</c:f>
              <c:numCache>
                <c:formatCode>0.0%</c:formatCode>
                <c:ptCount val="5"/>
                <c:pt idx="0">
                  <c:v>5.0000000000000001E-3</c:v>
                </c:pt>
                <c:pt idx="1">
                  <c:v>0.01</c:v>
                </c:pt>
                <c:pt idx="2">
                  <c:v>1.4999999999999999E-2</c:v>
                </c:pt>
                <c:pt idx="3">
                  <c:v>0.02</c:v>
                </c:pt>
                <c:pt idx="4">
                  <c:v>2.5000000000000001E-2</c:v>
                </c:pt>
              </c:numCache>
            </c:numRef>
          </c:cat>
          <c:val>
            <c:numRef>
              <c:f>SVODgraf!$B$135:$F$135</c:f>
              <c:numCache>
                <c:formatCode>0%</c:formatCode>
                <c:ptCount val="5"/>
                <c:pt idx="0">
                  <c:v>0.96958189519223636</c:v>
                </c:pt>
                <c:pt idx="1">
                  <c:v>0.94130582366140125</c:v>
                </c:pt>
                <c:pt idx="2">
                  <c:v>0.91495321913688699</c:v>
                </c:pt>
                <c:pt idx="3">
                  <c:v>0.89033427297949719</c:v>
                </c:pt>
                <c:pt idx="4">
                  <c:v>0.86728335510856169</c:v>
                </c:pt>
              </c:numCache>
            </c:numRef>
          </c:val>
          <c:smooth val="0"/>
        </c:ser>
        <c:ser>
          <c:idx val="3"/>
          <c:order val="3"/>
          <c:tx>
            <c:strRef>
              <c:f>SVODgraf!$A$141</c:f>
              <c:strCache>
                <c:ptCount val="1"/>
                <c:pt idx="0">
                  <c:v>3.variants. UIN+VSAOI+IIN</c:v>
                </c:pt>
              </c:strCache>
            </c:strRef>
          </c:tx>
          <c:spPr>
            <a:ln>
              <a:solidFill>
                <a:schemeClr val="accent3">
                  <a:lumMod val="50000"/>
                </a:schemeClr>
              </a:solidFill>
            </a:ln>
          </c:spPr>
          <c:marker>
            <c:symbol val="triangle"/>
            <c:size val="7"/>
            <c:spPr>
              <a:ln>
                <a:solidFill>
                  <a:schemeClr val="accent3">
                    <a:lumMod val="50000"/>
                  </a:schemeClr>
                </a:solidFill>
              </a:ln>
            </c:spPr>
          </c:marker>
          <c:cat>
            <c:numRef>
              <c:f>SVODgraf!$B$117:$F$117</c:f>
              <c:numCache>
                <c:formatCode>0.0%</c:formatCode>
                <c:ptCount val="5"/>
                <c:pt idx="0">
                  <c:v>5.0000000000000001E-3</c:v>
                </c:pt>
                <c:pt idx="1">
                  <c:v>0.01</c:v>
                </c:pt>
                <c:pt idx="2">
                  <c:v>1.4999999999999999E-2</c:v>
                </c:pt>
                <c:pt idx="3">
                  <c:v>0.02</c:v>
                </c:pt>
                <c:pt idx="4">
                  <c:v>2.5000000000000001E-2</c:v>
                </c:pt>
              </c:numCache>
            </c:numRef>
          </c:cat>
          <c:val>
            <c:numRef>
              <c:f>SVODgraf!$B$141:$F$141</c:f>
              <c:numCache>
                <c:formatCode>0%</c:formatCode>
                <c:ptCount val="5"/>
                <c:pt idx="0">
                  <c:v>0.86563708266436623</c:v>
                </c:pt>
                <c:pt idx="1">
                  <c:v>0.74073595928128211</c:v>
                </c:pt>
                <c:pt idx="2">
                  <c:v>0.62433117845475905</c:v>
                </c:pt>
                <c:pt idx="3">
                  <c:v>0.51558431705951768</c:v>
                </c:pt>
                <c:pt idx="4">
                  <c:v>0.4174470859050875</c:v>
                </c:pt>
              </c:numCache>
            </c:numRef>
          </c:val>
          <c:smooth val="0"/>
        </c:ser>
        <c:dLbls>
          <c:showLegendKey val="0"/>
          <c:showVal val="0"/>
          <c:showCatName val="0"/>
          <c:showSerName val="0"/>
          <c:showPercent val="0"/>
          <c:showBubbleSize val="0"/>
        </c:dLbls>
        <c:marker val="1"/>
        <c:smooth val="0"/>
        <c:axId val="66290048"/>
        <c:axId val="66292352"/>
      </c:lineChart>
      <c:catAx>
        <c:axId val="66290048"/>
        <c:scaling>
          <c:orientation val="minMax"/>
        </c:scaling>
        <c:delete val="0"/>
        <c:axPos val="b"/>
        <c:title>
          <c:tx>
            <c:rich>
              <a:bodyPr/>
              <a:lstStyle/>
              <a:p>
                <a:pPr>
                  <a:defRPr/>
                </a:pPr>
                <a:r>
                  <a:rPr lang="lv-LV"/>
                  <a:t>ZP</a:t>
                </a:r>
                <a:r>
                  <a:rPr lang="lv-LV" baseline="0"/>
                  <a:t> izdevumi procentos no NA</a:t>
                </a:r>
                <a:endParaRPr lang="lv-LV"/>
              </a:p>
            </c:rich>
          </c:tx>
          <c:layout/>
          <c:overlay val="0"/>
        </c:title>
        <c:numFmt formatCode="0.0%" sourceLinked="1"/>
        <c:majorTickMark val="out"/>
        <c:minorTickMark val="none"/>
        <c:tickLblPos val="nextTo"/>
        <c:txPr>
          <a:bodyPr/>
          <a:lstStyle/>
          <a:p>
            <a:pPr>
              <a:defRPr b="1"/>
            </a:pPr>
            <a:endParaRPr lang="lv-LV"/>
          </a:p>
        </c:txPr>
        <c:crossAx val="66292352"/>
        <c:crosses val="autoZero"/>
        <c:auto val="1"/>
        <c:lblAlgn val="ctr"/>
        <c:lblOffset val="100"/>
        <c:noMultiLvlLbl val="0"/>
      </c:catAx>
      <c:valAx>
        <c:axId val="66292352"/>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crossAx val="66290048"/>
        <c:crosses val="autoZero"/>
        <c:crossBetween val="between"/>
      </c:valAx>
    </c:plotArea>
    <c:legend>
      <c:legendPos val="r"/>
      <c:layout/>
      <c:overlay val="0"/>
    </c:legend>
    <c:plotVisOnly val="1"/>
    <c:dispBlanksAs val="gap"/>
    <c:showDLblsOverMax val="0"/>
  </c:chart>
  <c:spPr>
    <a:solidFill>
      <a:schemeClr val="bg1">
        <a:lumMod val="95000"/>
      </a:schemeClr>
    </a:solidFill>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0.1290161854768154"/>
          <c:y val="0.16251166520851559"/>
          <c:w val="0.5321776027996501"/>
          <c:h val="0.72104698802893541"/>
        </c:manualLayout>
      </c:layout>
      <c:lineChart>
        <c:grouping val="standard"/>
        <c:varyColors val="0"/>
        <c:ser>
          <c:idx val="0"/>
          <c:order val="0"/>
          <c:tx>
            <c:strRef>
              <c:f>Prognoze!$A$23</c:f>
              <c:strCache>
                <c:ptCount val="1"/>
                <c:pt idx="0">
                  <c:v>UIN samazinājums (1.variants)</c:v>
                </c:pt>
              </c:strCache>
            </c:strRef>
          </c:tx>
          <c:marker>
            <c:symbol val="diamond"/>
            <c:size val="8"/>
            <c:spPr>
              <a:ln>
                <a:solidFill>
                  <a:schemeClr val="bg1"/>
                </a:solidFill>
              </a:ln>
            </c:spPr>
          </c:marker>
          <c:cat>
            <c:numRef>
              <c:f>Prognoze!$C$8:$G$8</c:f>
              <c:numCache>
                <c:formatCode>General</c:formatCode>
                <c:ptCount val="5"/>
                <c:pt idx="0">
                  <c:v>2014</c:v>
                </c:pt>
                <c:pt idx="1">
                  <c:v>2015</c:v>
                </c:pt>
                <c:pt idx="2">
                  <c:v>2016</c:v>
                </c:pt>
                <c:pt idx="3">
                  <c:v>2017</c:v>
                </c:pt>
                <c:pt idx="4">
                  <c:v>2018</c:v>
                </c:pt>
              </c:numCache>
            </c:numRef>
          </c:cat>
          <c:val>
            <c:numRef>
              <c:f>Prognoze!$C$23:$G$23</c:f>
              <c:numCache>
                <c:formatCode>#,##0</c:formatCode>
                <c:ptCount val="5"/>
                <c:pt idx="0">
                  <c:v>-10585.879829999989</c:v>
                </c:pt>
                <c:pt idx="1">
                  <c:v>-11942.095600350051</c:v>
                </c:pt>
                <c:pt idx="2">
                  <c:v>-12612.536474266821</c:v>
                </c:pt>
                <c:pt idx="3">
                  <c:v>-13321.466492521862</c:v>
                </c:pt>
                <c:pt idx="4">
                  <c:v>-14071.139411309896</c:v>
                </c:pt>
              </c:numCache>
            </c:numRef>
          </c:val>
          <c:smooth val="0"/>
        </c:ser>
        <c:ser>
          <c:idx val="1"/>
          <c:order val="1"/>
          <c:tx>
            <c:strRef>
              <c:f>Prognoze!$A$36</c:f>
              <c:strCache>
                <c:ptCount val="1"/>
                <c:pt idx="0">
                  <c:v>VSAOI, IIN samazinājums (2.variants)</c:v>
                </c:pt>
              </c:strCache>
            </c:strRef>
          </c:tx>
          <c:marker>
            <c:symbol val="circle"/>
            <c:size val="6"/>
          </c:marker>
          <c:cat>
            <c:numRef>
              <c:f>Prognoze!$C$8:$G$8</c:f>
              <c:numCache>
                <c:formatCode>General</c:formatCode>
                <c:ptCount val="5"/>
                <c:pt idx="0">
                  <c:v>2014</c:v>
                </c:pt>
                <c:pt idx="1">
                  <c:v>2015</c:v>
                </c:pt>
                <c:pt idx="2">
                  <c:v>2016</c:v>
                </c:pt>
                <c:pt idx="3">
                  <c:v>2017</c:v>
                </c:pt>
                <c:pt idx="4">
                  <c:v>2018</c:v>
                </c:pt>
              </c:numCache>
            </c:numRef>
          </c:cat>
          <c:val>
            <c:numRef>
              <c:f>Prognoze!$C$36:$G$36</c:f>
              <c:numCache>
                <c:formatCode>#,##0</c:formatCode>
                <c:ptCount val="5"/>
                <c:pt idx="0">
                  <c:v>-3723.8590862760875</c:v>
                </c:pt>
                <c:pt idx="1">
                  <c:v>-3928.283573796582</c:v>
                </c:pt>
                <c:pt idx="2">
                  <c:v>-4144.2074847465246</c:v>
                </c:pt>
                <c:pt idx="3">
                  <c:v>-4372.292372717433</c:v>
                </c:pt>
                <c:pt idx="4">
                  <c:v>-4613.2386123258857</c:v>
                </c:pt>
              </c:numCache>
            </c:numRef>
          </c:val>
          <c:smooth val="0"/>
        </c:ser>
        <c:ser>
          <c:idx val="2"/>
          <c:order val="2"/>
          <c:tx>
            <c:strRef>
              <c:f>Prognoze!$A$49</c:f>
              <c:strCache>
                <c:ptCount val="1"/>
                <c:pt idx="0">
                  <c:v>UIN, VSAOI, IIN samazinājums (3.variants)</c:v>
                </c:pt>
              </c:strCache>
            </c:strRef>
          </c:tx>
          <c:marker>
            <c:spPr>
              <a:ln>
                <a:solidFill>
                  <a:schemeClr val="accent2">
                    <a:lumMod val="50000"/>
                  </a:schemeClr>
                </a:solidFill>
              </a:ln>
            </c:spPr>
          </c:marker>
          <c:cat>
            <c:numRef>
              <c:f>Prognoze!$C$8:$G$8</c:f>
              <c:numCache>
                <c:formatCode>General</c:formatCode>
                <c:ptCount val="5"/>
                <c:pt idx="0">
                  <c:v>2014</c:v>
                </c:pt>
                <c:pt idx="1">
                  <c:v>2015</c:v>
                </c:pt>
                <c:pt idx="2">
                  <c:v>2016</c:v>
                </c:pt>
                <c:pt idx="3">
                  <c:v>2017</c:v>
                </c:pt>
                <c:pt idx="4">
                  <c:v>2018</c:v>
                </c:pt>
              </c:numCache>
            </c:numRef>
          </c:cat>
          <c:val>
            <c:numRef>
              <c:f>Prognoze!$C$49:$G$49</c:f>
              <c:numCache>
                <c:formatCode>#,##0</c:formatCode>
                <c:ptCount val="5"/>
                <c:pt idx="0">
                  <c:v>-13722.863924017238</c:v>
                </c:pt>
                <c:pt idx="1">
                  <c:v>-15251.847071567172</c:v>
                </c:pt>
                <c:pt idx="2">
                  <c:v>-16104.808984075222</c:v>
                </c:pt>
                <c:pt idx="3">
                  <c:v>-17006.576979166581</c:v>
                </c:pt>
                <c:pt idx="4">
                  <c:v>-17960.001274894246</c:v>
                </c:pt>
              </c:numCache>
            </c:numRef>
          </c:val>
          <c:smooth val="0"/>
        </c:ser>
        <c:dLbls>
          <c:showLegendKey val="0"/>
          <c:showVal val="0"/>
          <c:showCatName val="0"/>
          <c:showSerName val="0"/>
          <c:showPercent val="0"/>
          <c:showBubbleSize val="0"/>
        </c:dLbls>
        <c:marker val="1"/>
        <c:smooth val="0"/>
        <c:axId val="66305408"/>
        <c:axId val="66385408"/>
      </c:lineChart>
      <c:catAx>
        <c:axId val="66305408"/>
        <c:scaling>
          <c:orientation val="minMax"/>
        </c:scaling>
        <c:delete val="0"/>
        <c:axPos val="b"/>
        <c:numFmt formatCode="General" sourceLinked="1"/>
        <c:majorTickMark val="out"/>
        <c:minorTickMark val="none"/>
        <c:tickLblPos val="high"/>
        <c:txPr>
          <a:bodyPr/>
          <a:lstStyle/>
          <a:p>
            <a:pPr>
              <a:defRPr b="1"/>
            </a:pPr>
            <a:endParaRPr lang="lv-LV"/>
          </a:p>
        </c:txPr>
        <c:crossAx val="66385408"/>
        <c:crosses val="autoZero"/>
        <c:auto val="1"/>
        <c:lblAlgn val="ctr"/>
        <c:lblOffset val="100"/>
        <c:noMultiLvlLbl val="0"/>
      </c:catAx>
      <c:valAx>
        <c:axId val="66385408"/>
        <c:scaling>
          <c:orientation val="minMax"/>
        </c:scaling>
        <c:delete val="0"/>
        <c:axPos val="l"/>
        <c:majorGridlines>
          <c:spPr>
            <a:ln>
              <a:solidFill>
                <a:schemeClr val="bg1">
                  <a:lumMod val="75000"/>
                </a:schemeClr>
              </a:solidFill>
            </a:ln>
          </c:spPr>
        </c:majorGridlines>
        <c:title>
          <c:tx>
            <c:rich>
              <a:bodyPr rot="-5400000" vert="horz"/>
              <a:lstStyle/>
              <a:p>
                <a:pPr>
                  <a:defRPr/>
                </a:pPr>
                <a:r>
                  <a:rPr lang="en-US"/>
                  <a:t>tūkst.LVL</a:t>
                </a:r>
              </a:p>
            </c:rich>
          </c:tx>
          <c:layout/>
          <c:overlay val="0"/>
        </c:title>
        <c:numFmt formatCode="#,##0" sourceLinked="1"/>
        <c:majorTickMark val="out"/>
        <c:minorTickMark val="none"/>
        <c:tickLblPos val="nextTo"/>
        <c:crossAx val="66305408"/>
        <c:crosses val="autoZero"/>
        <c:crossBetween val="between"/>
      </c:valAx>
      <c:spPr>
        <a:solidFill>
          <a:schemeClr val="bg1">
            <a:lumMod val="85000"/>
          </a:schemeClr>
        </a:solidFill>
      </c:spPr>
    </c:plotArea>
    <c:legend>
      <c:legendPos val="r"/>
      <c:layout>
        <c:manualLayout>
          <c:xMode val="edge"/>
          <c:yMode val="edge"/>
          <c:x val="0.66044368274720378"/>
          <c:y val="0.17578148422829912"/>
          <c:w val="0.33955631725279622"/>
          <c:h val="0.68848441773271252"/>
        </c:manualLayout>
      </c:layout>
      <c:overlay val="0"/>
    </c:legend>
    <c:plotVisOnly val="1"/>
    <c:dispBlanksAs val="gap"/>
    <c:showDLblsOverMax val="0"/>
  </c:chart>
  <c:spPr>
    <a:solidFill>
      <a:schemeClr val="bg1">
        <a:lumMod val="95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3085739282589702E-2"/>
          <c:y val="0.15788203557888603"/>
          <c:w val="0.5503573928258968"/>
          <c:h val="0.67629884806065921"/>
        </c:manualLayout>
      </c:layout>
      <c:lineChart>
        <c:grouping val="standard"/>
        <c:varyColors val="0"/>
        <c:ser>
          <c:idx val="0"/>
          <c:order val="0"/>
          <c:tx>
            <c:strRef>
              <c:f>'EU+5'!$A$5</c:f>
              <c:strCache>
                <c:ptCount val="1"/>
                <c:pt idx="0">
                  <c:v>European Union</c:v>
                </c:pt>
              </c:strCache>
            </c:strRef>
          </c:tx>
          <c:spPr>
            <a:ln>
              <a:solidFill>
                <a:schemeClr val="accent1">
                  <a:lumMod val="75000"/>
                </a:schemeClr>
              </a:solidFill>
            </a:ln>
          </c:spPr>
          <c:marker>
            <c:symbol val="diamond"/>
            <c:size val="7"/>
            <c:spPr>
              <a:solidFill>
                <a:schemeClr val="bg1"/>
              </a:solidFill>
              <a:ln cmpd="dbl">
                <a:solidFill>
                  <a:schemeClr val="accent1">
                    <a:lumMod val="75000"/>
                  </a:schemeClr>
                </a:solidFill>
              </a:ln>
            </c:spPr>
          </c:marker>
          <c:cat>
            <c:numRef>
              <c:f>'EU+5'!$D$4:$M$4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'EU+5'!$D$5:$M$5</c:f>
              <c:numCache>
                <c:formatCode>#,##0.00</c:formatCode>
                <c:ptCount val="10"/>
                <c:pt idx="0">
                  <c:v>1.8800000000000001</c:v>
                </c:pt>
                <c:pt idx="1">
                  <c:v>1.87</c:v>
                </c:pt>
                <c:pt idx="2">
                  <c:v>1.83</c:v>
                </c:pt>
                <c:pt idx="3">
                  <c:v>1.82</c:v>
                </c:pt>
                <c:pt idx="4">
                  <c:v>1.85</c:v>
                </c:pt>
                <c:pt idx="5">
                  <c:v>1.85</c:v>
                </c:pt>
                <c:pt idx="6">
                  <c:v>1.9200000000000004</c:v>
                </c:pt>
                <c:pt idx="7">
                  <c:v>2.02</c:v>
                </c:pt>
                <c:pt idx="8">
                  <c:v>2.0099999999999998</c:v>
                </c:pt>
                <c:pt idx="9">
                  <c:v>2.0299999999999998</c:v>
                </c:pt>
              </c:numCache>
            </c:numRef>
          </c:val>
          <c:smooth val="0"/>
        </c:ser>
        <c:ser>
          <c:idx val="1"/>
          <c:order val="1"/>
          <c:tx>
            <c:strRef>
              <c:f>'EU+5'!$A$6</c:f>
              <c:strCache>
                <c:ptCount val="1"/>
                <c:pt idx="0">
                  <c:v>Russia</c:v>
                </c:pt>
              </c:strCache>
            </c:strRef>
          </c:tx>
          <c:spPr>
            <a:ln>
              <a:prstDash val="sysDot"/>
            </a:ln>
          </c:spPr>
          <c:marker>
            <c:symbol val="circle"/>
            <c:size val="7"/>
            <c:spPr>
              <a:ln>
                <a:prstDash val="sysDot"/>
              </a:ln>
            </c:spPr>
          </c:marker>
          <c:cat>
            <c:numRef>
              <c:f>'EU+5'!$D$4:$M$4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'EU+5'!$D$6:$M$6</c:f>
              <c:numCache>
                <c:formatCode>#,##0.00</c:formatCode>
                <c:ptCount val="10"/>
                <c:pt idx="0">
                  <c:v>1.25</c:v>
                </c:pt>
                <c:pt idx="1">
                  <c:v>1.29</c:v>
                </c:pt>
                <c:pt idx="2">
                  <c:v>1.1499999999999995</c:v>
                </c:pt>
                <c:pt idx="3">
                  <c:v>1.07</c:v>
                </c:pt>
                <c:pt idx="4">
                  <c:v>1.07</c:v>
                </c:pt>
                <c:pt idx="5">
                  <c:v>1.1200000000000001</c:v>
                </c:pt>
                <c:pt idx="6">
                  <c:v>1.04</c:v>
                </c:pt>
                <c:pt idx="7">
                  <c:v>1.24</c:v>
                </c:pt>
                <c:pt idx="8">
                  <c:v>1.1100000000000001</c:v>
                </c:pt>
                <c:pt idx="9" formatCode="General">
                  <c:v>1</c:v>
                </c:pt>
              </c:numCache>
            </c:numRef>
          </c:val>
          <c:smooth val="0"/>
        </c:ser>
        <c:ser>
          <c:idx val="2"/>
          <c:order val="2"/>
          <c:tx>
            <c:strRef>
              <c:f>'EU+5'!$A$7</c:f>
              <c:strCache>
                <c:ptCount val="1"/>
                <c:pt idx="0">
                  <c:v>United States</c:v>
                </c:pt>
              </c:strCache>
            </c:strRef>
          </c:tx>
          <c:cat>
            <c:numRef>
              <c:f>'EU+5'!$D$4:$M$4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'EU+5'!$D$7:$M$7</c:f>
              <c:numCache>
                <c:formatCode>#,##0.0</c:formatCode>
                <c:ptCount val="10"/>
                <c:pt idx="0">
                  <c:v>2.6</c:v>
                </c:pt>
                <c:pt idx="1">
                  <c:v>2.6</c:v>
                </c:pt>
                <c:pt idx="2" formatCode="#,##0.00">
                  <c:v>2.5299999999999998</c:v>
                </c:pt>
                <c:pt idx="3" formatCode="#,##0.00">
                  <c:v>2.58</c:v>
                </c:pt>
                <c:pt idx="4" formatCode="#,##0.00">
                  <c:v>2.62</c:v>
                </c:pt>
                <c:pt idx="5" formatCode="#,##0.00">
                  <c:v>2.69</c:v>
                </c:pt>
                <c:pt idx="6" formatCode="#,##0.00">
                  <c:v>2.82</c:v>
                </c:pt>
                <c:pt idx="7" formatCode="#,##0.00">
                  <c:v>2.8699999999999997</c:v>
                </c:pt>
                <c:pt idx="9" formatCode="General">
                  <c:v>2.7</c:v>
                </c:pt>
              </c:numCache>
            </c:numRef>
          </c:val>
          <c:smooth val="0"/>
        </c:ser>
        <c:ser>
          <c:idx val="4"/>
          <c:order val="3"/>
          <c:tx>
            <c:strRef>
              <c:f>'EU+5'!$A$9</c:f>
              <c:strCache>
                <c:ptCount val="1"/>
                <c:pt idx="0">
                  <c:v>Japan</c:v>
                </c:pt>
              </c:strCache>
            </c:strRef>
          </c:tx>
          <c:spPr>
            <a:ln w="31750" cmpd="dbl">
              <a:solidFill>
                <a:schemeClr val="tx2">
                  <a:lumMod val="60000"/>
                  <a:lumOff val="40000"/>
                </a:schemeClr>
              </a:solidFill>
            </a:ln>
          </c:spPr>
          <c:marker>
            <c:symbol val="diamond"/>
            <c:size val="7"/>
            <c:spPr>
              <a:solidFill>
                <a:schemeClr val="bg1"/>
              </a:solidFill>
              <a:ln>
                <a:solidFill>
                  <a:schemeClr val="tx2">
                    <a:lumMod val="60000"/>
                    <a:lumOff val="40000"/>
                  </a:schemeClr>
                </a:solidFill>
              </a:ln>
            </c:spPr>
          </c:marker>
          <c:cat>
            <c:numRef>
              <c:f>'EU+5'!$D$4:$M$4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'EU+5'!$D$9:$M$9</c:f>
              <c:numCache>
                <c:formatCode>#,##0.00</c:formatCode>
                <c:ptCount val="10"/>
                <c:pt idx="0">
                  <c:v>3.12</c:v>
                </c:pt>
                <c:pt idx="1">
                  <c:v>3.14</c:v>
                </c:pt>
                <c:pt idx="2">
                  <c:v>3.13</c:v>
                </c:pt>
                <c:pt idx="3">
                  <c:v>3.3099999999999992</c:v>
                </c:pt>
                <c:pt idx="4">
                  <c:v>3.4099999999999997</c:v>
                </c:pt>
                <c:pt idx="5">
                  <c:v>3.46</c:v>
                </c:pt>
                <c:pt idx="6">
                  <c:v>3.4699999999999998</c:v>
                </c:pt>
                <c:pt idx="7">
                  <c:v>3.36</c:v>
                </c:pt>
                <c:pt idx="9" formatCode="General">
                  <c:v>3.67</c:v>
                </c:pt>
              </c:numCache>
            </c:numRef>
          </c:val>
          <c:smooth val="0"/>
        </c:ser>
        <c:ser>
          <c:idx val="5"/>
          <c:order val="4"/>
          <c:tx>
            <c:strRef>
              <c:f>'EU+5'!$A$10</c:f>
              <c:strCache>
                <c:ptCount val="1"/>
                <c:pt idx="0">
                  <c:v>South Korea</c:v>
                </c:pt>
              </c:strCache>
            </c:strRef>
          </c:tx>
          <c:spPr>
            <a:ln>
              <a:solidFill>
                <a:schemeClr val="accent6"/>
              </a:solidFill>
            </a:ln>
          </c:spPr>
          <c:marker>
            <c:spPr>
              <a:solidFill>
                <a:schemeClr val="accent6">
                  <a:lumMod val="40000"/>
                  <a:lumOff val="60000"/>
                </a:schemeClr>
              </a:solidFill>
              <a:ln>
                <a:solidFill>
                  <a:schemeClr val="accent6"/>
                </a:solidFill>
              </a:ln>
            </c:spPr>
          </c:marker>
          <c:cat>
            <c:numRef>
              <c:f>'EU+5'!$D$4:$M$4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'EU+5'!$D$10:$M$10</c:f>
              <c:numCache>
                <c:formatCode>#,##0.00</c:formatCode>
                <c:ptCount val="10"/>
                <c:pt idx="0" formatCode="#,##0.0">
                  <c:v>2.4</c:v>
                </c:pt>
                <c:pt idx="1">
                  <c:v>2.4899999999999998</c:v>
                </c:pt>
                <c:pt idx="2">
                  <c:v>2.68</c:v>
                </c:pt>
                <c:pt idx="3">
                  <c:v>2.79</c:v>
                </c:pt>
                <c:pt idx="4">
                  <c:v>3.01</c:v>
                </c:pt>
                <c:pt idx="5">
                  <c:v>3.21</c:v>
                </c:pt>
                <c:pt idx="6">
                  <c:v>3.36</c:v>
                </c:pt>
                <c:pt idx="7">
                  <c:v>3.57</c:v>
                </c:pt>
                <c:pt idx="8" formatCode="#,##0">
                  <c:v>4</c:v>
                </c:pt>
                <c:pt idx="9" formatCode="General">
                  <c:v>3.74</c:v>
                </c:pt>
              </c:numCache>
            </c:numRef>
          </c:val>
          <c:smooth val="0"/>
        </c:ser>
        <c:dLbls>
          <c:showLegendKey val="0"/>
          <c:showVal val="0"/>
          <c:showCatName val="0"/>
          <c:showSerName val="0"/>
          <c:showPercent val="0"/>
          <c:showBubbleSize val="0"/>
        </c:dLbls>
        <c:marker val="1"/>
        <c:smooth val="0"/>
        <c:axId val="46439424"/>
        <c:axId val="46441600"/>
      </c:lineChart>
      <c:catAx>
        <c:axId val="46439424"/>
        <c:scaling>
          <c:orientation val="minMax"/>
        </c:scaling>
        <c:delete val="0"/>
        <c:axPos val="b"/>
        <c:numFmt formatCode="General" sourceLinked="1"/>
        <c:majorTickMark val="out"/>
        <c:minorTickMark val="none"/>
        <c:tickLblPos val="nextTo"/>
        <c:crossAx val="46441600"/>
        <c:crosses val="autoZero"/>
        <c:auto val="1"/>
        <c:lblAlgn val="ctr"/>
        <c:lblOffset val="100"/>
        <c:noMultiLvlLbl val="0"/>
      </c:catAx>
      <c:valAx>
        <c:axId val="46441600"/>
        <c:scaling>
          <c:orientation val="minMax"/>
        </c:scaling>
        <c:delete val="0"/>
        <c:axPos val="l"/>
        <c:majorGridlines>
          <c:spPr>
            <a:ln>
              <a:solidFill>
                <a:schemeClr val="bg1">
                  <a:lumMod val="75000"/>
                </a:schemeClr>
              </a:solidFill>
            </a:ln>
          </c:spPr>
        </c:majorGridlines>
        <c:numFmt formatCode="#,##0.00" sourceLinked="1"/>
        <c:majorTickMark val="out"/>
        <c:minorTickMark val="none"/>
        <c:tickLblPos val="nextTo"/>
        <c:crossAx val="46439424"/>
        <c:crosses val="autoZero"/>
        <c:crossBetween val="between"/>
      </c:valAx>
      <c:spPr>
        <a:solidFill>
          <a:schemeClr val="bg1">
            <a:lumMod val="85000"/>
          </a:schemeClr>
        </a:solidFill>
      </c:spPr>
    </c:plotArea>
    <c:legend>
      <c:legendPos val="r"/>
      <c:layout>
        <c:manualLayout>
          <c:xMode val="edge"/>
          <c:yMode val="edge"/>
          <c:x val="0.68367890813648313"/>
          <c:y val="0.14584499854184899"/>
          <c:w val="0.30352109186351717"/>
          <c:h val="0.68979148439778393"/>
        </c:manualLayout>
      </c:layout>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title>
      <c:tx>
        <c:rich>
          <a:bodyPr/>
          <a:lstStyle/>
          <a:p>
            <a:pPr>
              <a:defRPr sz="1400"/>
            </a:pPr>
            <a:r>
              <a:rPr lang="lv-LV" sz="1400"/>
              <a:t>ZP izdevumi, miljardi USD</a:t>
            </a:r>
          </a:p>
        </c:rich>
      </c:tx>
      <c:layout/>
      <c:overlay val="0"/>
    </c:title>
    <c:autoTitleDeleted val="0"/>
    <c:plotArea>
      <c:layout>
        <c:manualLayout>
          <c:layoutTarget val="inner"/>
          <c:xMode val="edge"/>
          <c:yMode val="edge"/>
          <c:x val="2.7620841180163232E-2"/>
          <c:y val="0.18300925925925926"/>
          <c:w val="0.94475831763967399"/>
          <c:h val="0.67455198308544762"/>
        </c:manualLayout>
      </c:layout>
      <c:barChart>
        <c:barDir val="col"/>
        <c:grouping val="clustered"/>
        <c:varyColors val="0"/>
        <c:ser>
          <c:idx val="0"/>
          <c:order val="0"/>
          <c:invertIfNegative val="0"/>
          <c:dLbls>
            <c:txPr>
              <a:bodyPr/>
              <a:lstStyle/>
              <a:p>
                <a:pPr>
                  <a:defRPr sz="1400" b="1">
                    <a:solidFill>
                      <a:schemeClr val="accent6">
                        <a:lumMod val="50000"/>
                      </a:schemeClr>
                    </a:solidFill>
                  </a:defRPr>
                </a:pPr>
                <a:endParaRPr lang="lv-LV"/>
              </a:p>
            </c:txPr>
            <c:showLegendKey val="0"/>
            <c:showVal val="1"/>
            <c:showCatName val="0"/>
            <c:showSerName val="0"/>
            <c:showPercent val="0"/>
            <c:showBubbleSize val="0"/>
            <c:showLeaderLines val="0"/>
          </c:dLbls>
          <c:cat>
            <c:strRef>
              <c:f>'EU+5'!$A$61:$A$66</c:f>
              <c:strCache>
                <c:ptCount val="6"/>
                <c:pt idx="0">
                  <c:v>ASV</c:v>
                </c:pt>
                <c:pt idx="1">
                  <c:v>ES*</c:v>
                </c:pt>
                <c:pt idx="2">
                  <c:v>Ķīna</c:v>
                </c:pt>
                <c:pt idx="3">
                  <c:v>Japāna</c:v>
                </c:pt>
                <c:pt idx="4">
                  <c:v>Koreja</c:v>
                </c:pt>
                <c:pt idx="5">
                  <c:v>Krievija</c:v>
                </c:pt>
              </c:strCache>
            </c:strRef>
          </c:cat>
          <c:val>
            <c:numRef>
              <c:f>'EU+5'!$B$61:$B$66</c:f>
              <c:numCache>
                <c:formatCode>0</c:formatCode>
                <c:ptCount val="6"/>
                <c:pt idx="0">
                  <c:v>405.3</c:v>
                </c:pt>
                <c:pt idx="1">
                  <c:v>330</c:v>
                </c:pt>
                <c:pt idx="2">
                  <c:v>296.8</c:v>
                </c:pt>
                <c:pt idx="3">
                  <c:v>160.30000000000001</c:v>
                </c:pt>
                <c:pt idx="4">
                  <c:v>55.8</c:v>
                </c:pt>
                <c:pt idx="5">
                  <c:v>23.8</c:v>
                </c:pt>
              </c:numCache>
            </c:numRef>
          </c:val>
        </c:ser>
        <c:dLbls>
          <c:showLegendKey val="0"/>
          <c:showVal val="0"/>
          <c:showCatName val="0"/>
          <c:showSerName val="0"/>
          <c:showPercent val="0"/>
          <c:showBubbleSize val="0"/>
        </c:dLbls>
        <c:gapWidth val="100"/>
        <c:overlap val="-25"/>
        <c:axId val="46462464"/>
        <c:axId val="46464000"/>
      </c:barChart>
      <c:catAx>
        <c:axId val="46462464"/>
        <c:scaling>
          <c:orientation val="minMax"/>
        </c:scaling>
        <c:delete val="0"/>
        <c:axPos val="b"/>
        <c:numFmt formatCode="General" sourceLinked="1"/>
        <c:majorTickMark val="none"/>
        <c:minorTickMark val="none"/>
        <c:tickLblPos val="nextTo"/>
        <c:txPr>
          <a:bodyPr/>
          <a:lstStyle/>
          <a:p>
            <a:pPr>
              <a:defRPr sz="1200" b="1"/>
            </a:pPr>
            <a:endParaRPr lang="lv-LV"/>
          </a:p>
        </c:txPr>
        <c:crossAx val="46464000"/>
        <c:crosses val="autoZero"/>
        <c:auto val="1"/>
        <c:lblAlgn val="ctr"/>
        <c:lblOffset val="100"/>
        <c:noMultiLvlLbl val="0"/>
      </c:catAx>
      <c:valAx>
        <c:axId val="46464000"/>
        <c:scaling>
          <c:orientation val="minMax"/>
        </c:scaling>
        <c:delete val="1"/>
        <c:axPos val="l"/>
        <c:numFmt formatCode="0" sourceLinked="1"/>
        <c:majorTickMark val="out"/>
        <c:minorTickMark val="none"/>
        <c:tickLblPos val="none"/>
        <c:crossAx val="46462464"/>
        <c:crosses val="autoZero"/>
        <c:crossBetween val="between"/>
      </c:valAx>
      <c:spPr>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16200000" scaled="1"/>
          <a:tileRect/>
        </a:gradFill>
      </c:spPr>
    </c:plotArea>
    <c:plotVisOnly val="1"/>
    <c:dispBlanksAs val="gap"/>
    <c:showDLblsOverMax val="0"/>
  </c:chart>
  <c:spPr>
    <a:solidFill>
      <a:schemeClr val="bg1">
        <a:lumMod val="85000"/>
      </a:schemeClr>
    </a:solidFill>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37729658792648"/>
          <c:y val="8.7641861130050402E-2"/>
          <c:w val="0.59193756147713139"/>
          <c:h val="0.7933499775942644"/>
        </c:manualLayout>
      </c:layout>
      <c:barChart>
        <c:barDir val="col"/>
        <c:grouping val="stacked"/>
        <c:varyColors val="0"/>
        <c:ser>
          <c:idx val="0"/>
          <c:order val="0"/>
          <c:tx>
            <c:strRef>
              <c:f>'EU+5'!$A$54</c:f>
              <c:strCache>
                <c:ptCount val="1"/>
                <c:pt idx="0">
                  <c:v>Privātais finansējums </c:v>
                </c:pt>
              </c:strCache>
            </c:strRef>
          </c:tx>
          <c:spPr>
            <a:solidFill>
              <a:schemeClr val="accent6"/>
            </a:solidFill>
          </c:spPr>
          <c:invertIfNegative val="0"/>
          <c:dLbls>
            <c:numFmt formatCode="0%" sourceLinked="0"/>
            <c:txPr>
              <a:bodyPr/>
              <a:lstStyle/>
              <a:p>
                <a:pPr>
                  <a:defRPr sz="1050" b="1">
                    <a:solidFill>
                      <a:sysClr val="windowText" lastClr="000000"/>
                    </a:solidFill>
                  </a:defRPr>
                </a:pPr>
                <a:endParaRPr lang="lv-LV"/>
              </a:p>
            </c:txPr>
            <c:dLblPos val="ctr"/>
            <c:showLegendKey val="0"/>
            <c:showVal val="1"/>
            <c:showCatName val="0"/>
            <c:showSerName val="0"/>
            <c:showPercent val="0"/>
            <c:showBubbleSize val="0"/>
            <c:showLeaderLines val="0"/>
          </c:dLbls>
          <c:cat>
            <c:strRef>
              <c:f>'EU+5'!$B$53:$F$53</c:f>
              <c:strCache>
                <c:ptCount val="5"/>
                <c:pt idx="0">
                  <c:v>ES27</c:v>
                </c:pt>
                <c:pt idx="1">
                  <c:v>ASV</c:v>
                </c:pt>
                <c:pt idx="2">
                  <c:v>Koreja</c:v>
                </c:pt>
                <c:pt idx="3">
                  <c:v>Japāna</c:v>
                </c:pt>
                <c:pt idx="4">
                  <c:v>Krievija</c:v>
                </c:pt>
              </c:strCache>
            </c:strRef>
          </c:cat>
          <c:val>
            <c:numRef>
              <c:f>'EU+5'!$B$54:$F$54</c:f>
              <c:numCache>
                <c:formatCode>0%</c:formatCode>
                <c:ptCount val="5"/>
                <c:pt idx="0" formatCode="0.0%">
                  <c:v>0.54400000000000004</c:v>
                </c:pt>
                <c:pt idx="1">
                  <c:v>0.64100000000000024</c:v>
                </c:pt>
                <c:pt idx="2" formatCode="0.00%">
                  <c:v>0.73500000000000021</c:v>
                </c:pt>
                <c:pt idx="3">
                  <c:v>0.76000000000000023</c:v>
                </c:pt>
                <c:pt idx="4" formatCode="0.00%">
                  <c:v>0.29200000000000009</c:v>
                </c:pt>
              </c:numCache>
            </c:numRef>
          </c:val>
        </c:ser>
        <c:ser>
          <c:idx val="1"/>
          <c:order val="1"/>
          <c:tx>
            <c:strRef>
              <c:f>'EU+5'!$A$55</c:f>
              <c:strCache>
                <c:ptCount val="1"/>
                <c:pt idx="0">
                  <c:v>Publiskais finansējums</c:v>
                </c:pt>
              </c:strCache>
            </c:strRef>
          </c:tx>
          <c:invertIfNegative val="0"/>
          <c:dLbls>
            <c:numFmt formatCode="0%" sourceLinked="0"/>
            <c:txPr>
              <a:bodyPr/>
              <a:lstStyle/>
              <a:p>
                <a:pPr>
                  <a:defRPr b="1">
                    <a:solidFill>
                      <a:schemeClr val="bg1"/>
                    </a:solidFill>
                  </a:defRPr>
                </a:pPr>
                <a:endParaRPr lang="lv-LV"/>
              </a:p>
            </c:txPr>
            <c:dLblPos val="ctr"/>
            <c:showLegendKey val="0"/>
            <c:showVal val="1"/>
            <c:showCatName val="0"/>
            <c:showSerName val="0"/>
            <c:showPercent val="0"/>
            <c:showBubbleSize val="0"/>
            <c:showLeaderLines val="0"/>
          </c:dLbls>
          <c:cat>
            <c:strRef>
              <c:f>'EU+5'!$B$53:$F$53</c:f>
              <c:strCache>
                <c:ptCount val="5"/>
                <c:pt idx="0">
                  <c:v>ES27</c:v>
                </c:pt>
                <c:pt idx="1">
                  <c:v>ASV</c:v>
                </c:pt>
                <c:pt idx="2">
                  <c:v>Koreja</c:v>
                </c:pt>
                <c:pt idx="3">
                  <c:v>Japāna</c:v>
                </c:pt>
                <c:pt idx="4">
                  <c:v>Krievija</c:v>
                </c:pt>
              </c:strCache>
            </c:strRef>
          </c:cat>
          <c:val>
            <c:numRef>
              <c:f>'EU+5'!$B$55:$F$55</c:f>
              <c:numCache>
                <c:formatCode>0.00%</c:formatCode>
                <c:ptCount val="5"/>
                <c:pt idx="0" formatCode="0.0%">
                  <c:v>0.34300000000000008</c:v>
                </c:pt>
                <c:pt idx="1">
                  <c:v>0.29700000000000015</c:v>
                </c:pt>
                <c:pt idx="2">
                  <c:v>0.24800000000000005</c:v>
                </c:pt>
                <c:pt idx="3" formatCode="0.0%">
                  <c:v>0.17100000000000001</c:v>
                </c:pt>
                <c:pt idx="4">
                  <c:v>0.63300000000000023</c:v>
                </c:pt>
              </c:numCache>
            </c:numRef>
          </c:val>
        </c:ser>
        <c:ser>
          <c:idx val="2"/>
          <c:order val="2"/>
          <c:tx>
            <c:strRef>
              <c:f>'EU+5'!$A$56</c:f>
              <c:strCache>
                <c:ptCount val="1"/>
                <c:pt idx="0">
                  <c:v>Pārējāis finansējums  (t.sk.ārzemju)</c:v>
                </c:pt>
              </c:strCache>
            </c:strRef>
          </c:tx>
          <c:invertIfNegative val="0"/>
          <c:cat>
            <c:strRef>
              <c:f>'EU+5'!$B$53:$F$53</c:f>
              <c:strCache>
                <c:ptCount val="5"/>
                <c:pt idx="0">
                  <c:v>ES27</c:v>
                </c:pt>
                <c:pt idx="1">
                  <c:v>ASV</c:v>
                </c:pt>
                <c:pt idx="2">
                  <c:v>Koreja</c:v>
                </c:pt>
                <c:pt idx="3">
                  <c:v>Japāna</c:v>
                </c:pt>
                <c:pt idx="4">
                  <c:v>Krievija</c:v>
                </c:pt>
              </c:strCache>
            </c:strRef>
          </c:cat>
          <c:val>
            <c:numRef>
              <c:f>'EU+5'!$B$56:$F$56</c:f>
              <c:numCache>
                <c:formatCode>0.0%</c:formatCode>
                <c:ptCount val="5"/>
                <c:pt idx="0">
                  <c:v>0.11299999999999991</c:v>
                </c:pt>
                <c:pt idx="1">
                  <c:v>6.200000000000002E-2</c:v>
                </c:pt>
                <c:pt idx="2">
                  <c:v>1.7000000000000022E-2</c:v>
                </c:pt>
                <c:pt idx="3">
                  <c:v>6.8999999999999978E-2</c:v>
                </c:pt>
                <c:pt idx="4">
                  <c:v>7.4999999999999983E-2</c:v>
                </c:pt>
              </c:numCache>
            </c:numRef>
          </c:val>
        </c:ser>
        <c:dLbls>
          <c:showLegendKey val="0"/>
          <c:showVal val="0"/>
          <c:showCatName val="0"/>
          <c:showSerName val="0"/>
          <c:showPercent val="0"/>
          <c:showBubbleSize val="0"/>
        </c:dLbls>
        <c:gapWidth val="50"/>
        <c:overlap val="100"/>
        <c:axId val="55232384"/>
        <c:axId val="55233920"/>
      </c:barChart>
      <c:catAx>
        <c:axId val="55232384"/>
        <c:scaling>
          <c:orientation val="minMax"/>
        </c:scaling>
        <c:delete val="0"/>
        <c:axPos val="b"/>
        <c:numFmt formatCode="General" sourceLinked="1"/>
        <c:majorTickMark val="out"/>
        <c:minorTickMark val="none"/>
        <c:tickLblPos val="nextTo"/>
        <c:txPr>
          <a:bodyPr/>
          <a:lstStyle/>
          <a:p>
            <a:pPr>
              <a:defRPr sz="1050" b="1"/>
            </a:pPr>
            <a:endParaRPr lang="lv-LV"/>
          </a:p>
        </c:txPr>
        <c:crossAx val="55233920"/>
        <c:crosses val="autoZero"/>
        <c:auto val="1"/>
        <c:lblAlgn val="ctr"/>
        <c:lblOffset val="100"/>
        <c:noMultiLvlLbl val="0"/>
      </c:catAx>
      <c:valAx>
        <c:axId val="55233920"/>
        <c:scaling>
          <c:orientation val="minMax"/>
          <c:max val="1"/>
        </c:scaling>
        <c:delete val="0"/>
        <c:axPos val="l"/>
        <c:majorGridlines>
          <c:spPr>
            <a:ln>
              <a:solidFill>
                <a:schemeClr val="bg1">
                  <a:lumMod val="95000"/>
                </a:schemeClr>
              </a:solidFill>
            </a:ln>
          </c:spPr>
        </c:majorGridlines>
        <c:numFmt formatCode="0%" sourceLinked="0"/>
        <c:majorTickMark val="out"/>
        <c:minorTickMark val="none"/>
        <c:tickLblPos val="nextTo"/>
        <c:crossAx val="55232384"/>
        <c:crosses val="autoZero"/>
        <c:crossBetween val="between"/>
      </c:valAx>
      <c:spPr>
        <a:solidFill>
          <a:schemeClr val="bg1">
            <a:lumMod val="75000"/>
          </a:schemeClr>
        </a:solidFill>
      </c:spPr>
    </c:plotArea>
    <c:legend>
      <c:legendPos val="r"/>
      <c:layout>
        <c:manualLayout>
          <c:xMode val="edge"/>
          <c:yMode val="edge"/>
          <c:x val="0.72415633500357923"/>
          <c:y val="0.15625595581040186"/>
          <c:w val="0.25917690288713918"/>
          <c:h val="0.69260171746824373"/>
        </c:manualLayout>
      </c:layout>
      <c:overlay val="0"/>
      <c:txPr>
        <a:bodyPr/>
        <a:lstStyle/>
        <a:p>
          <a:pPr>
            <a:defRPr b="1"/>
          </a:pPr>
          <a:endParaRPr lang="lv-LV"/>
        </a:p>
      </c:txPr>
    </c:legend>
    <c:plotVisOnly val="1"/>
    <c:dispBlanksAs val="gap"/>
    <c:showDLblsOverMax val="0"/>
  </c:chart>
  <c:spPr>
    <a:solidFill>
      <a:schemeClr val="bg1">
        <a:lumMod val="85000"/>
      </a:schemeClr>
    </a:solidFill>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80663849945588E-2"/>
          <c:y val="8.3807961504811943E-2"/>
          <c:w val="0.81007954036233276"/>
          <c:h val="0.75745734908136453"/>
        </c:manualLayout>
      </c:layout>
      <c:barChart>
        <c:barDir val="col"/>
        <c:grouping val="clustered"/>
        <c:varyColors val="0"/>
        <c:ser>
          <c:idx val="0"/>
          <c:order val="0"/>
          <c:invertIfNegative val="0"/>
          <c:dPt>
            <c:idx val="0"/>
            <c:invertIfNegative val="0"/>
            <c:bubble3D val="0"/>
            <c:spPr>
              <a:solidFill>
                <a:schemeClr val="accent1">
                  <a:lumMod val="40000"/>
                  <a:lumOff val="60000"/>
                </a:schemeClr>
              </a:solidFill>
            </c:spPr>
          </c:dPt>
          <c:dPt>
            <c:idx val="1"/>
            <c:invertIfNegative val="0"/>
            <c:bubble3D val="0"/>
            <c:spPr>
              <a:solidFill>
                <a:schemeClr val="accent1">
                  <a:lumMod val="40000"/>
                  <a:lumOff val="60000"/>
                </a:schemeClr>
              </a:solidFill>
            </c:spPr>
          </c:dPt>
          <c:dPt>
            <c:idx val="2"/>
            <c:invertIfNegative val="0"/>
            <c:bubble3D val="0"/>
            <c:spPr>
              <a:solidFill>
                <a:schemeClr val="accent1">
                  <a:lumMod val="40000"/>
                  <a:lumOff val="60000"/>
                </a:schemeClr>
              </a:solidFill>
            </c:spPr>
          </c:dPt>
          <c:dPt>
            <c:idx val="3"/>
            <c:invertIfNegative val="0"/>
            <c:bubble3D val="0"/>
            <c:spPr>
              <a:solidFill>
                <a:schemeClr val="accent1">
                  <a:lumMod val="40000"/>
                  <a:lumOff val="60000"/>
                </a:schemeClr>
              </a:solidFill>
            </c:spPr>
          </c:dPt>
          <c:dPt>
            <c:idx val="4"/>
            <c:invertIfNegative val="0"/>
            <c:bubble3D val="0"/>
            <c:spPr>
              <a:solidFill>
                <a:schemeClr val="tx2">
                  <a:lumMod val="60000"/>
                  <a:lumOff val="40000"/>
                </a:schemeClr>
              </a:solidFill>
            </c:spPr>
          </c:dPt>
          <c:dPt>
            <c:idx val="5"/>
            <c:invertIfNegative val="0"/>
            <c:bubble3D val="0"/>
            <c:spPr>
              <a:solidFill>
                <a:schemeClr val="tx2">
                  <a:lumMod val="60000"/>
                  <a:lumOff val="40000"/>
                </a:schemeClr>
              </a:solidFill>
            </c:spPr>
          </c:dPt>
          <c:dPt>
            <c:idx val="6"/>
            <c:invertIfNegative val="0"/>
            <c:bubble3D val="0"/>
            <c:spPr>
              <a:solidFill>
                <a:schemeClr val="tx2">
                  <a:lumMod val="60000"/>
                  <a:lumOff val="40000"/>
                </a:schemeClr>
              </a:solidFill>
            </c:spPr>
          </c:dPt>
          <c:dPt>
            <c:idx val="7"/>
            <c:invertIfNegative val="0"/>
            <c:bubble3D val="0"/>
            <c:spPr>
              <a:solidFill>
                <a:schemeClr val="tx2">
                  <a:lumMod val="60000"/>
                  <a:lumOff val="40000"/>
                </a:schemeClr>
              </a:solidFill>
            </c:spPr>
          </c:dPt>
          <c:dPt>
            <c:idx val="8"/>
            <c:invertIfNegative val="0"/>
            <c:bubble3D val="0"/>
            <c:spPr>
              <a:solidFill>
                <a:schemeClr val="tx2">
                  <a:lumMod val="60000"/>
                  <a:lumOff val="40000"/>
                </a:schemeClr>
              </a:solidFill>
            </c:spPr>
          </c:dPt>
          <c:dPt>
            <c:idx val="9"/>
            <c:invertIfNegative val="0"/>
            <c:bubble3D val="0"/>
            <c:spPr>
              <a:solidFill>
                <a:schemeClr val="tx2">
                  <a:lumMod val="60000"/>
                  <a:lumOff val="40000"/>
                </a:schemeClr>
              </a:solidFill>
            </c:spPr>
          </c:dPt>
          <c:dPt>
            <c:idx val="10"/>
            <c:invertIfNegative val="0"/>
            <c:bubble3D val="0"/>
            <c:spPr>
              <a:solidFill>
                <a:schemeClr val="tx2">
                  <a:lumMod val="60000"/>
                  <a:lumOff val="40000"/>
                </a:schemeClr>
              </a:solidFill>
            </c:spPr>
          </c:dPt>
          <c:dPt>
            <c:idx val="11"/>
            <c:invertIfNegative val="0"/>
            <c:bubble3D val="0"/>
            <c:spPr>
              <a:solidFill>
                <a:schemeClr val="tx2">
                  <a:lumMod val="60000"/>
                  <a:lumOff val="40000"/>
                </a:schemeClr>
              </a:solidFill>
            </c:spPr>
          </c:dPt>
          <c:dPt>
            <c:idx val="12"/>
            <c:invertIfNegative val="0"/>
            <c:bubble3D val="0"/>
            <c:spPr>
              <a:solidFill>
                <a:schemeClr val="tx2">
                  <a:lumMod val="60000"/>
                  <a:lumOff val="40000"/>
                </a:schemeClr>
              </a:solidFill>
            </c:spPr>
          </c:dPt>
          <c:dPt>
            <c:idx val="13"/>
            <c:invertIfNegative val="0"/>
            <c:bubble3D val="0"/>
            <c:spPr>
              <a:solidFill>
                <a:schemeClr val="accent1">
                  <a:lumMod val="75000"/>
                </a:schemeClr>
              </a:solidFill>
            </c:spPr>
          </c:dPt>
          <c:dPt>
            <c:idx val="14"/>
            <c:invertIfNegative val="0"/>
            <c:bubble3D val="0"/>
            <c:spPr>
              <a:solidFill>
                <a:schemeClr val="accent1">
                  <a:lumMod val="75000"/>
                </a:schemeClr>
              </a:solidFill>
            </c:spPr>
          </c:dPt>
          <c:dPt>
            <c:idx val="15"/>
            <c:invertIfNegative val="0"/>
            <c:bubble3D val="0"/>
            <c:spPr>
              <a:solidFill>
                <a:schemeClr val="accent1">
                  <a:lumMod val="75000"/>
                </a:schemeClr>
              </a:solidFill>
            </c:spPr>
          </c:dPt>
          <c:dPt>
            <c:idx val="16"/>
            <c:invertIfNegative val="0"/>
            <c:bubble3D val="0"/>
            <c:spPr>
              <a:solidFill>
                <a:schemeClr val="accent6">
                  <a:lumMod val="75000"/>
                </a:schemeClr>
              </a:solidFill>
            </c:spPr>
          </c:dPt>
          <c:dPt>
            <c:idx val="17"/>
            <c:invertIfNegative val="0"/>
            <c:bubble3D val="0"/>
            <c:spPr>
              <a:solidFill>
                <a:schemeClr val="accent1">
                  <a:lumMod val="75000"/>
                </a:schemeClr>
              </a:solidFill>
            </c:spPr>
          </c:dPt>
          <c:dPt>
            <c:idx val="18"/>
            <c:invertIfNegative val="0"/>
            <c:bubble3D val="0"/>
            <c:spPr>
              <a:solidFill>
                <a:schemeClr val="accent1">
                  <a:lumMod val="75000"/>
                </a:schemeClr>
              </a:solidFill>
            </c:spPr>
          </c:dPt>
          <c:dPt>
            <c:idx val="19"/>
            <c:invertIfNegative val="0"/>
            <c:bubble3D val="0"/>
            <c:spPr>
              <a:solidFill>
                <a:schemeClr val="accent1">
                  <a:lumMod val="75000"/>
                </a:schemeClr>
              </a:solidFill>
            </c:spPr>
          </c:dPt>
          <c:dPt>
            <c:idx val="20"/>
            <c:invertIfNegative val="0"/>
            <c:bubble3D val="0"/>
            <c:spPr>
              <a:solidFill>
                <a:schemeClr val="accent1">
                  <a:lumMod val="75000"/>
                </a:schemeClr>
              </a:solidFill>
            </c:spPr>
          </c:dPt>
          <c:dPt>
            <c:idx val="21"/>
            <c:invertIfNegative val="0"/>
            <c:bubble3D val="0"/>
            <c:spPr>
              <a:solidFill>
                <a:schemeClr val="accent1">
                  <a:lumMod val="75000"/>
                </a:schemeClr>
              </a:solidFill>
            </c:spPr>
          </c:dPt>
          <c:dPt>
            <c:idx val="22"/>
            <c:invertIfNegative val="0"/>
            <c:bubble3D val="0"/>
            <c:spPr>
              <a:solidFill>
                <a:schemeClr val="accent1">
                  <a:lumMod val="75000"/>
                </a:schemeClr>
              </a:solidFill>
            </c:spPr>
          </c:dPt>
          <c:dPt>
            <c:idx val="23"/>
            <c:invertIfNegative val="0"/>
            <c:bubble3D val="0"/>
            <c:spPr>
              <a:solidFill>
                <a:schemeClr val="accent1">
                  <a:lumMod val="75000"/>
                </a:schemeClr>
              </a:solidFill>
            </c:spPr>
          </c:dPt>
          <c:dPt>
            <c:idx val="24"/>
            <c:invertIfNegative val="0"/>
            <c:bubble3D val="0"/>
            <c:spPr>
              <a:solidFill>
                <a:schemeClr val="accent1">
                  <a:lumMod val="50000"/>
                </a:schemeClr>
              </a:solidFill>
            </c:spPr>
          </c:dPt>
          <c:dPt>
            <c:idx val="25"/>
            <c:invertIfNegative val="0"/>
            <c:bubble3D val="0"/>
            <c:spPr>
              <a:solidFill>
                <a:schemeClr val="accent1">
                  <a:lumMod val="50000"/>
                </a:schemeClr>
              </a:solidFill>
            </c:spPr>
          </c:dPt>
          <c:dPt>
            <c:idx val="26"/>
            <c:invertIfNegative val="0"/>
            <c:bubble3D val="0"/>
            <c:spPr>
              <a:solidFill>
                <a:schemeClr val="accent1">
                  <a:lumMod val="50000"/>
                </a:schemeClr>
              </a:solidFill>
            </c:spPr>
          </c:dPt>
          <c:dPt>
            <c:idx val="27"/>
            <c:invertIfNegative val="0"/>
            <c:bubble3D val="0"/>
            <c:spPr>
              <a:solidFill>
                <a:schemeClr val="accent1">
                  <a:lumMod val="50000"/>
                </a:schemeClr>
              </a:solidFill>
            </c:spPr>
          </c:dPt>
          <c:cat>
            <c:strRef>
              <c:f>Sheet1!$C$41:$C$68</c:f>
              <c:strCache>
                <c:ptCount val="28"/>
                <c:pt idx="0">
                  <c:v>LV</c:v>
                </c:pt>
                <c:pt idx="1">
                  <c:v>BG</c:v>
                </c:pt>
                <c:pt idx="2">
                  <c:v>LT</c:v>
                </c:pt>
                <c:pt idx="3">
                  <c:v>RO</c:v>
                </c:pt>
                <c:pt idx="4">
                  <c:v>PL</c:v>
                </c:pt>
                <c:pt idx="5">
                  <c:v>SK</c:v>
                </c:pt>
                <c:pt idx="6">
                  <c:v>MT</c:v>
                </c:pt>
                <c:pt idx="7">
                  <c:v>GR</c:v>
                </c:pt>
                <c:pt idx="8">
                  <c:v>HU</c:v>
                </c:pt>
                <c:pt idx="9">
                  <c:v>ES</c:v>
                </c:pt>
                <c:pt idx="10">
                  <c:v>CZ</c:v>
                </c:pt>
                <c:pt idx="11">
                  <c:v>PT</c:v>
                </c:pt>
                <c:pt idx="12">
                  <c:v>IT</c:v>
                </c:pt>
                <c:pt idx="13">
                  <c:v>EE</c:v>
                </c:pt>
                <c:pt idx="14">
                  <c:v>CY</c:v>
                </c:pt>
                <c:pt idx="15">
                  <c:v>SI</c:v>
                </c:pt>
                <c:pt idx="16">
                  <c:v>EU27</c:v>
                </c:pt>
                <c:pt idx="17">
                  <c:v>FR</c:v>
                </c:pt>
                <c:pt idx="18">
                  <c:v>IE</c:v>
                </c:pt>
                <c:pt idx="19">
                  <c:v>LU</c:v>
                </c:pt>
                <c:pt idx="20">
                  <c:v>AT</c:v>
                </c:pt>
                <c:pt idx="21">
                  <c:v>NL</c:v>
                </c:pt>
                <c:pt idx="22">
                  <c:v>UK</c:v>
                </c:pt>
                <c:pt idx="23">
                  <c:v>BE</c:v>
                </c:pt>
                <c:pt idx="24">
                  <c:v>FI</c:v>
                </c:pt>
                <c:pt idx="25">
                  <c:v>DE</c:v>
                </c:pt>
                <c:pt idx="26">
                  <c:v>DK</c:v>
                </c:pt>
                <c:pt idx="27">
                  <c:v>SE</c:v>
                </c:pt>
              </c:strCache>
            </c:strRef>
          </c:cat>
          <c:val>
            <c:numRef>
              <c:f>Sheet1!$D$41:$D$68</c:f>
              <c:numCache>
                <c:formatCode>General</c:formatCode>
                <c:ptCount val="28"/>
                <c:pt idx="0">
                  <c:v>0.23</c:v>
                </c:pt>
                <c:pt idx="1">
                  <c:v>0.23900000000000005</c:v>
                </c:pt>
                <c:pt idx="2">
                  <c:v>0.255</c:v>
                </c:pt>
                <c:pt idx="3">
                  <c:v>0.26300000000000001</c:v>
                </c:pt>
                <c:pt idx="4">
                  <c:v>0.29600000000000015</c:v>
                </c:pt>
                <c:pt idx="5">
                  <c:v>0.30500000000000016</c:v>
                </c:pt>
                <c:pt idx="6">
                  <c:v>0.34</c:v>
                </c:pt>
                <c:pt idx="7">
                  <c:v>0.34300000000000008</c:v>
                </c:pt>
                <c:pt idx="8">
                  <c:v>0.35200000000000009</c:v>
                </c:pt>
                <c:pt idx="9">
                  <c:v>0.40600000000000008</c:v>
                </c:pt>
                <c:pt idx="10">
                  <c:v>0.43600000000000011</c:v>
                </c:pt>
                <c:pt idx="11">
                  <c:v>0.43800000000000011</c:v>
                </c:pt>
                <c:pt idx="12">
                  <c:v>0.441</c:v>
                </c:pt>
                <c:pt idx="13">
                  <c:v>0.49600000000000011</c:v>
                </c:pt>
                <c:pt idx="14">
                  <c:v>0.50900000000000001</c:v>
                </c:pt>
                <c:pt idx="15">
                  <c:v>0.52100000000000002</c:v>
                </c:pt>
                <c:pt idx="16">
                  <c:v>0.53900000000000003</c:v>
                </c:pt>
                <c:pt idx="17">
                  <c:v>0.55800000000000005</c:v>
                </c:pt>
                <c:pt idx="18">
                  <c:v>0.58199999999999996</c:v>
                </c:pt>
                <c:pt idx="19">
                  <c:v>0.59499999999999997</c:v>
                </c:pt>
                <c:pt idx="20">
                  <c:v>0.59499999999999997</c:v>
                </c:pt>
                <c:pt idx="21">
                  <c:v>0.59599999999999997</c:v>
                </c:pt>
                <c:pt idx="22">
                  <c:v>0.62000000000000022</c:v>
                </c:pt>
                <c:pt idx="23">
                  <c:v>0.62100000000000022</c:v>
                </c:pt>
                <c:pt idx="24">
                  <c:v>0.69099999999999995</c:v>
                </c:pt>
                <c:pt idx="25">
                  <c:v>0.70000000000000018</c:v>
                </c:pt>
                <c:pt idx="26">
                  <c:v>0.7240000000000002</c:v>
                </c:pt>
                <c:pt idx="27">
                  <c:v>0.75500000000000023</c:v>
                </c:pt>
              </c:numCache>
            </c:numRef>
          </c:val>
        </c:ser>
        <c:dLbls>
          <c:showLegendKey val="0"/>
          <c:showVal val="0"/>
          <c:showCatName val="0"/>
          <c:showSerName val="0"/>
          <c:showPercent val="0"/>
          <c:showBubbleSize val="0"/>
        </c:dLbls>
        <c:gapWidth val="150"/>
        <c:axId val="56515968"/>
        <c:axId val="56599680"/>
      </c:barChart>
      <c:catAx>
        <c:axId val="56515968"/>
        <c:scaling>
          <c:orientation val="minMax"/>
        </c:scaling>
        <c:delete val="0"/>
        <c:axPos val="b"/>
        <c:numFmt formatCode="General" sourceLinked="1"/>
        <c:majorTickMark val="out"/>
        <c:minorTickMark val="none"/>
        <c:tickLblPos val="nextTo"/>
        <c:txPr>
          <a:bodyPr/>
          <a:lstStyle/>
          <a:p>
            <a:pPr>
              <a:defRPr b="1"/>
            </a:pPr>
            <a:endParaRPr lang="lv-LV"/>
          </a:p>
        </c:txPr>
        <c:crossAx val="56599680"/>
        <c:crosses val="autoZero"/>
        <c:auto val="1"/>
        <c:lblAlgn val="ctr"/>
        <c:lblOffset val="100"/>
        <c:noMultiLvlLbl val="0"/>
      </c:catAx>
      <c:valAx>
        <c:axId val="56599680"/>
        <c:scaling>
          <c:orientation val="minMax"/>
          <c:max val="0.9"/>
        </c:scaling>
        <c:delete val="0"/>
        <c:axPos val="l"/>
        <c:majorGridlines>
          <c:spPr>
            <a:ln>
              <a:solidFill>
                <a:schemeClr val="bg1">
                  <a:lumMod val="85000"/>
                </a:schemeClr>
              </a:solidFill>
            </a:ln>
          </c:spPr>
        </c:majorGridlines>
        <c:numFmt formatCode="General" sourceLinked="1"/>
        <c:majorTickMark val="out"/>
        <c:minorTickMark val="none"/>
        <c:tickLblPos val="nextTo"/>
        <c:crossAx val="56515968"/>
        <c:crosses val="autoZero"/>
        <c:crossBetween val="between"/>
      </c:valAx>
      <c:spPr>
        <a:solidFill>
          <a:schemeClr val="bg1">
            <a:lumMod val="85000"/>
          </a:schemeClr>
        </a:solidFill>
      </c:spPr>
    </c:plotArea>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'2011 sort'!$C$4</c:f>
              <c:strCache>
                <c:ptCount val="1"/>
                <c:pt idx="0">
                  <c:v>Business</c:v>
                </c:pt>
              </c:strCache>
            </c:strRef>
          </c:tx>
          <c:spPr>
            <a:solidFill>
              <a:schemeClr val="accent6">
                <a:lumMod val="60000"/>
                <a:lumOff val="40000"/>
              </a:schemeClr>
            </a:solidFill>
            <a:ln>
              <a:solidFill>
                <a:schemeClr val="bg1"/>
              </a:solidFill>
            </a:ln>
          </c:spPr>
          <c:invertIfNegative val="0"/>
          <c:dPt>
            <c:idx val="23"/>
            <c:invertIfNegative val="0"/>
            <c:bubble3D val="0"/>
            <c:spPr>
              <a:solidFill>
                <a:schemeClr val="accent6"/>
              </a:solidFill>
              <a:ln>
                <a:solidFill>
                  <a:schemeClr val="bg1"/>
                </a:solidFill>
              </a:ln>
            </c:spPr>
          </c:dPt>
          <c:cat>
            <c:strRef>
              <c:f>'2011 sort'!$A$8:$A$35</c:f>
              <c:strCache>
                <c:ptCount val="28"/>
                <c:pt idx="0">
                  <c:v>Finland</c:v>
                </c:pt>
                <c:pt idx="1">
                  <c:v>Sweden</c:v>
                </c:pt>
                <c:pt idx="2">
                  <c:v>Denmark</c:v>
                </c:pt>
                <c:pt idx="3">
                  <c:v>Germany</c:v>
                </c:pt>
                <c:pt idx="4">
                  <c:v>Austria</c:v>
                </c:pt>
                <c:pt idx="5">
                  <c:v>Slovenia</c:v>
                </c:pt>
                <c:pt idx="6">
                  <c:v>Estonia</c:v>
                </c:pt>
                <c:pt idx="7">
                  <c:v>France</c:v>
                </c:pt>
                <c:pt idx="8">
                  <c:v>Belgium</c:v>
                </c:pt>
                <c:pt idx="9">
                  <c:v>Netherlands</c:v>
                </c:pt>
                <c:pt idx="10">
                  <c:v>Czech Republic</c:v>
                </c:pt>
                <c:pt idx="11">
                  <c:v>United Kingdom</c:v>
                </c:pt>
                <c:pt idx="12">
                  <c:v>Ireland</c:v>
                </c:pt>
                <c:pt idx="13">
                  <c:v>Norway</c:v>
                </c:pt>
                <c:pt idx="14">
                  <c:v>Portugal</c:v>
                </c:pt>
                <c:pt idx="15">
                  <c:v>Luxembourg</c:v>
                </c:pt>
                <c:pt idx="16">
                  <c:v>Spain</c:v>
                </c:pt>
                <c:pt idx="17">
                  <c:v>Italy</c:v>
                </c:pt>
                <c:pt idx="18">
                  <c:v>Hungary</c:v>
                </c:pt>
                <c:pt idx="19">
                  <c:v>Lithuania</c:v>
                </c:pt>
                <c:pt idx="20">
                  <c:v>Poland</c:v>
                </c:pt>
                <c:pt idx="21">
                  <c:v>Croatia</c:v>
                </c:pt>
                <c:pt idx="22">
                  <c:v>Malta</c:v>
                </c:pt>
                <c:pt idx="23">
                  <c:v>Latvia</c:v>
                </c:pt>
                <c:pt idx="24">
                  <c:v>Slovakia</c:v>
                </c:pt>
                <c:pt idx="25">
                  <c:v>Bulgaria</c:v>
                </c:pt>
                <c:pt idx="26">
                  <c:v>Cyprus</c:v>
                </c:pt>
                <c:pt idx="27">
                  <c:v>Romania</c:v>
                </c:pt>
              </c:strCache>
            </c:strRef>
          </c:cat>
          <c:val>
            <c:numRef>
              <c:f>'2011 sort'!$C$8:$C$35</c:f>
              <c:numCache>
                <c:formatCode>General</c:formatCode>
                <c:ptCount val="28"/>
                <c:pt idx="0">
                  <c:v>2.67</c:v>
                </c:pt>
                <c:pt idx="1">
                  <c:v>2.34</c:v>
                </c:pt>
                <c:pt idx="2">
                  <c:v>2.09</c:v>
                </c:pt>
                <c:pt idx="3">
                  <c:v>1.9000000000000001</c:v>
                </c:pt>
                <c:pt idx="4">
                  <c:v>1.87</c:v>
                </c:pt>
                <c:pt idx="5">
                  <c:v>1.83</c:v>
                </c:pt>
                <c:pt idx="6">
                  <c:v>1.49</c:v>
                </c:pt>
                <c:pt idx="7">
                  <c:v>1.43</c:v>
                </c:pt>
                <c:pt idx="8">
                  <c:v>1.37</c:v>
                </c:pt>
                <c:pt idx="9">
                  <c:v>1.07</c:v>
                </c:pt>
                <c:pt idx="10">
                  <c:v>1.1100000000000001</c:v>
                </c:pt>
                <c:pt idx="11">
                  <c:v>1.0900000000000001</c:v>
                </c:pt>
                <c:pt idx="12">
                  <c:v>1.1700000000000004</c:v>
                </c:pt>
                <c:pt idx="13">
                  <c:v>0.86000000000000021</c:v>
                </c:pt>
                <c:pt idx="14">
                  <c:v>0.69000000000000017</c:v>
                </c:pt>
                <c:pt idx="15">
                  <c:v>0.98</c:v>
                </c:pt>
                <c:pt idx="16">
                  <c:v>0.70000000000000018</c:v>
                </c:pt>
                <c:pt idx="17">
                  <c:v>0.68</c:v>
                </c:pt>
                <c:pt idx="18">
                  <c:v>0.75000000000000022</c:v>
                </c:pt>
                <c:pt idx="19">
                  <c:v>0.24000000000000005</c:v>
                </c:pt>
                <c:pt idx="20">
                  <c:v>0.23</c:v>
                </c:pt>
                <c:pt idx="21">
                  <c:v>0.34</c:v>
                </c:pt>
                <c:pt idx="22">
                  <c:v>0.4900000000000001</c:v>
                </c:pt>
                <c:pt idx="23">
                  <c:v>0.19</c:v>
                </c:pt>
                <c:pt idx="24">
                  <c:v>0.25</c:v>
                </c:pt>
                <c:pt idx="25">
                  <c:v>0.3000000000000001</c:v>
                </c:pt>
                <c:pt idx="26">
                  <c:v>8.0000000000000029E-2</c:v>
                </c:pt>
                <c:pt idx="27">
                  <c:v>0.17</c:v>
                </c:pt>
              </c:numCache>
            </c:numRef>
          </c:val>
        </c:ser>
        <c:ser>
          <c:idx val="1"/>
          <c:order val="1"/>
          <c:tx>
            <c:strRef>
              <c:f>'2011 sort'!$D$4</c:f>
              <c:strCache>
                <c:ptCount val="1"/>
                <c:pt idx="0">
                  <c:v>Government sectors</c:v>
                </c:pt>
              </c:strCache>
            </c:strRef>
          </c:tx>
          <c:spPr>
            <a:solidFill>
              <a:schemeClr val="tx2">
                <a:lumMod val="60000"/>
                <a:lumOff val="40000"/>
              </a:schemeClr>
            </a:solidFill>
            <a:ln>
              <a:solidFill>
                <a:schemeClr val="bg1"/>
              </a:solidFill>
            </a:ln>
          </c:spPr>
          <c:invertIfNegative val="0"/>
          <c:cat>
            <c:strRef>
              <c:f>'2011 sort'!$A$8:$A$35</c:f>
              <c:strCache>
                <c:ptCount val="28"/>
                <c:pt idx="0">
                  <c:v>Finland</c:v>
                </c:pt>
                <c:pt idx="1">
                  <c:v>Sweden</c:v>
                </c:pt>
                <c:pt idx="2">
                  <c:v>Denmark</c:v>
                </c:pt>
                <c:pt idx="3">
                  <c:v>Germany</c:v>
                </c:pt>
                <c:pt idx="4">
                  <c:v>Austria</c:v>
                </c:pt>
                <c:pt idx="5">
                  <c:v>Slovenia</c:v>
                </c:pt>
                <c:pt idx="6">
                  <c:v>Estonia</c:v>
                </c:pt>
                <c:pt idx="7">
                  <c:v>France</c:v>
                </c:pt>
                <c:pt idx="8">
                  <c:v>Belgium</c:v>
                </c:pt>
                <c:pt idx="9">
                  <c:v>Netherlands</c:v>
                </c:pt>
                <c:pt idx="10">
                  <c:v>Czech Republic</c:v>
                </c:pt>
                <c:pt idx="11">
                  <c:v>United Kingdom</c:v>
                </c:pt>
                <c:pt idx="12">
                  <c:v>Ireland</c:v>
                </c:pt>
                <c:pt idx="13">
                  <c:v>Norway</c:v>
                </c:pt>
                <c:pt idx="14">
                  <c:v>Portugal</c:v>
                </c:pt>
                <c:pt idx="15">
                  <c:v>Luxembourg</c:v>
                </c:pt>
                <c:pt idx="16">
                  <c:v>Spain</c:v>
                </c:pt>
                <c:pt idx="17">
                  <c:v>Italy</c:v>
                </c:pt>
                <c:pt idx="18">
                  <c:v>Hungary</c:v>
                </c:pt>
                <c:pt idx="19">
                  <c:v>Lithuania</c:v>
                </c:pt>
                <c:pt idx="20">
                  <c:v>Poland</c:v>
                </c:pt>
                <c:pt idx="21">
                  <c:v>Croatia</c:v>
                </c:pt>
                <c:pt idx="22">
                  <c:v>Malta</c:v>
                </c:pt>
                <c:pt idx="23">
                  <c:v>Latvia</c:v>
                </c:pt>
                <c:pt idx="24">
                  <c:v>Slovakia</c:v>
                </c:pt>
                <c:pt idx="25">
                  <c:v>Bulgaria</c:v>
                </c:pt>
                <c:pt idx="26">
                  <c:v>Cyprus</c:v>
                </c:pt>
                <c:pt idx="27">
                  <c:v>Romania</c:v>
                </c:pt>
              </c:strCache>
            </c:strRef>
          </c:cat>
          <c:val>
            <c:numRef>
              <c:f>'2011 sort'!$D$8:$D$35</c:f>
              <c:numCache>
                <c:formatCode>General</c:formatCode>
                <c:ptCount val="28"/>
                <c:pt idx="0">
                  <c:v>0.33000000000000013</c:v>
                </c:pt>
                <c:pt idx="1">
                  <c:v>0.15000000000000005</c:v>
                </c:pt>
                <c:pt idx="2">
                  <c:v>7.0000000000000021E-2</c:v>
                </c:pt>
                <c:pt idx="3">
                  <c:v>0.4200000000000001</c:v>
                </c:pt>
                <c:pt idx="4">
                  <c:v>0.15000000000000005</c:v>
                </c:pt>
                <c:pt idx="5">
                  <c:v>0.35000000000000009</c:v>
                </c:pt>
                <c:pt idx="6">
                  <c:v>0.2</c:v>
                </c:pt>
                <c:pt idx="7">
                  <c:v>0.32000000000000012</c:v>
                </c:pt>
                <c:pt idx="8">
                  <c:v>0.18000000000000005</c:v>
                </c:pt>
                <c:pt idx="9">
                  <c:v>0.22</c:v>
                </c:pt>
                <c:pt idx="10">
                  <c:v>0.32000000000000012</c:v>
                </c:pt>
                <c:pt idx="11">
                  <c:v>0.16</c:v>
                </c:pt>
                <c:pt idx="12">
                  <c:v>8.0000000000000029E-2</c:v>
                </c:pt>
                <c:pt idx="13">
                  <c:v>0.28000000000000008</c:v>
                </c:pt>
                <c:pt idx="14">
                  <c:v>0.11</c:v>
                </c:pt>
                <c:pt idx="15">
                  <c:v>0.27</c:v>
                </c:pt>
                <c:pt idx="16">
                  <c:v>0.26</c:v>
                </c:pt>
                <c:pt idx="17">
                  <c:v>0.17</c:v>
                </c:pt>
                <c:pt idx="18">
                  <c:v>0.19</c:v>
                </c:pt>
                <c:pt idx="19">
                  <c:v>0.18000000000000005</c:v>
                </c:pt>
                <c:pt idx="20">
                  <c:v>0.26</c:v>
                </c:pt>
                <c:pt idx="21">
                  <c:v>0.21000000000000005</c:v>
                </c:pt>
                <c:pt idx="22">
                  <c:v>2.0000000000000007E-2</c:v>
                </c:pt>
                <c:pt idx="23">
                  <c:v>0.16</c:v>
                </c:pt>
                <c:pt idx="24">
                  <c:v>0.19</c:v>
                </c:pt>
                <c:pt idx="25">
                  <c:v>0.2</c:v>
                </c:pt>
                <c:pt idx="26">
                  <c:v>8.0000000000000029E-2</c:v>
                </c:pt>
                <c:pt idx="27">
                  <c:v>0.2</c:v>
                </c:pt>
              </c:numCache>
            </c:numRef>
          </c:val>
        </c:ser>
        <c:ser>
          <c:idx val="2"/>
          <c:order val="2"/>
          <c:tx>
            <c:strRef>
              <c:f>'2011 sort'!$E$4</c:f>
              <c:strCache>
                <c:ptCount val="1"/>
                <c:pt idx="0">
                  <c:v>Higher education</c:v>
                </c:pt>
              </c:strCache>
            </c:strRef>
          </c:tx>
          <c:spPr>
            <a:solidFill>
              <a:schemeClr val="accent1">
                <a:lumMod val="40000"/>
                <a:lumOff val="60000"/>
              </a:schemeClr>
            </a:solidFill>
            <a:ln>
              <a:solidFill>
                <a:schemeClr val="bg1"/>
              </a:solidFill>
            </a:ln>
          </c:spPr>
          <c:invertIfNegative val="0"/>
          <c:cat>
            <c:strRef>
              <c:f>'2011 sort'!$A$8:$A$35</c:f>
              <c:strCache>
                <c:ptCount val="28"/>
                <c:pt idx="0">
                  <c:v>Finland</c:v>
                </c:pt>
                <c:pt idx="1">
                  <c:v>Sweden</c:v>
                </c:pt>
                <c:pt idx="2">
                  <c:v>Denmark</c:v>
                </c:pt>
                <c:pt idx="3">
                  <c:v>Germany</c:v>
                </c:pt>
                <c:pt idx="4">
                  <c:v>Austria</c:v>
                </c:pt>
                <c:pt idx="5">
                  <c:v>Slovenia</c:v>
                </c:pt>
                <c:pt idx="6">
                  <c:v>Estonia</c:v>
                </c:pt>
                <c:pt idx="7">
                  <c:v>France</c:v>
                </c:pt>
                <c:pt idx="8">
                  <c:v>Belgium</c:v>
                </c:pt>
                <c:pt idx="9">
                  <c:v>Netherlands</c:v>
                </c:pt>
                <c:pt idx="10">
                  <c:v>Czech Republic</c:v>
                </c:pt>
                <c:pt idx="11">
                  <c:v>United Kingdom</c:v>
                </c:pt>
                <c:pt idx="12">
                  <c:v>Ireland</c:v>
                </c:pt>
                <c:pt idx="13">
                  <c:v>Norway</c:v>
                </c:pt>
                <c:pt idx="14">
                  <c:v>Portugal</c:v>
                </c:pt>
                <c:pt idx="15">
                  <c:v>Luxembourg</c:v>
                </c:pt>
                <c:pt idx="16">
                  <c:v>Spain</c:v>
                </c:pt>
                <c:pt idx="17">
                  <c:v>Italy</c:v>
                </c:pt>
                <c:pt idx="18">
                  <c:v>Hungary</c:v>
                </c:pt>
                <c:pt idx="19">
                  <c:v>Lithuania</c:v>
                </c:pt>
                <c:pt idx="20">
                  <c:v>Poland</c:v>
                </c:pt>
                <c:pt idx="21">
                  <c:v>Croatia</c:v>
                </c:pt>
                <c:pt idx="22">
                  <c:v>Malta</c:v>
                </c:pt>
                <c:pt idx="23">
                  <c:v>Latvia</c:v>
                </c:pt>
                <c:pt idx="24">
                  <c:v>Slovakia</c:v>
                </c:pt>
                <c:pt idx="25">
                  <c:v>Bulgaria</c:v>
                </c:pt>
                <c:pt idx="26">
                  <c:v>Cyprus</c:v>
                </c:pt>
                <c:pt idx="27">
                  <c:v>Romania</c:v>
                </c:pt>
              </c:strCache>
            </c:strRef>
          </c:cat>
          <c:val>
            <c:numRef>
              <c:f>'2011 sort'!$E$8:$E$35</c:f>
              <c:numCache>
                <c:formatCode>General</c:formatCode>
                <c:ptCount val="28"/>
                <c:pt idx="0">
                  <c:v>0.76000000000000023</c:v>
                </c:pt>
                <c:pt idx="1">
                  <c:v>0.88</c:v>
                </c:pt>
                <c:pt idx="2">
                  <c:v>0.92</c:v>
                </c:pt>
                <c:pt idx="3">
                  <c:v>0.52</c:v>
                </c:pt>
                <c:pt idx="4">
                  <c:v>0.7200000000000002</c:v>
                </c:pt>
                <c:pt idx="5">
                  <c:v>0.29000000000000009</c:v>
                </c:pt>
                <c:pt idx="6">
                  <c:v>0.67000000000000026</c:v>
                </c:pt>
                <c:pt idx="7">
                  <c:v>0.48000000000000009</c:v>
                </c:pt>
                <c:pt idx="8">
                  <c:v>0.47000000000000008</c:v>
                </c:pt>
                <c:pt idx="9">
                  <c:v>0.75000000000000022</c:v>
                </c:pt>
                <c:pt idx="10">
                  <c:v>0.4</c:v>
                </c:pt>
                <c:pt idx="11">
                  <c:v>0.48000000000000009</c:v>
                </c:pt>
                <c:pt idx="12">
                  <c:v>0.47000000000000008</c:v>
                </c:pt>
                <c:pt idx="13">
                  <c:v>0.56000000000000005</c:v>
                </c:pt>
                <c:pt idx="14">
                  <c:v>0.56999999999999995</c:v>
                </c:pt>
                <c:pt idx="15">
                  <c:v>0.18000000000000005</c:v>
                </c:pt>
                <c:pt idx="16">
                  <c:v>0.38000000000000012</c:v>
                </c:pt>
                <c:pt idx="17">
                  <c:v>0.3600000000000001</c:v>
                </c:pt>
                <c:pt idx="18">
                  <c:v>0.24000000000000005</c:v>
                </c:pt>
                <c:pt idx="19">
                  <c:v>0.5</c:v>
                </c:pt>
                <c:pt idx="20">
                  <c:v>0.27</c:v>
                </c:pt>
                <c:pt idx="21">
                  <c:v>0.21000000000000005</c:v>
                </c:pt>
                <c:pt idx="22">
                  <c:v>0.22</c:v>
                </c:pt>
                <c:pt idx="23">
                  <c:v>0.34</c:v>
                </c:pt>
                <c:pt idx="24">
                  <c:v>0.24000000000000005</c:v>
                </c:pt>
                <c:pt idx="25">
                  <c:v>6.0000000000000019E-2</c:v>
                </c:pt>
                <c:pt idx="26">
                  <c:v>0.25</c:v>
                </c:pt>
                <c:pt idx="27">
                  <c:v>0.11</c:v>
                </c:pt>
              </c:numCache>
            </c:numRef>
          </c:val>
        </c:ser>
        <c:ser>
          <c:idx val="3"/>
          <c:order val="3"/>
          <c:tx>
            <c:strRef>
              <c:f>'2011 sort'!$F$4</c:f>
              <c:strCache>
                <c:ptCount val="1"/>
                <c:pt idx="0">
                  <c:v>Private non-profit sector</c:v>
                </c:pt>
              </c:strCache>
            </c:strRef>
          </c:tx>
          <c:spPr>
            <a:solidFill>
              <a:schemeClr val="bg1">
                <a:lumMod val="50000"/>
              </a:schemeClr>
            </a:solidFill>
            <a:ln>
              <a:solidFill>
                <a:schemeClr val="bg1"/>
              </a:solidFill>
            </a:ln>
          </c:spPr>
          <c:invertIfNegative val="0"/>
          <c:cat>
            <c:strRef>
              <c:f>'2011 sort'!$A$8:$A$35</c:f>
              <c:strCache>
                <c:ptCount val="28"/>
                <c:pt idx="0">
                  <c:v>Finland</c:v>
                </c:pt>
                <c:pt idx="1">
                  <c:v>Sweden</c:v>
                </c:pt>
                <c:pt idx="2">
                  <c:v>Denmark</c:v>
                </c:pt>
                <c:pt idx="3">
                  <c:v>Germany</c:v>
                </c:pt>
                <c:pt idx="4">
                  <c:v>Austria</c:v>
                </c:pt>
                <c:pt idx="5">
                  <c:v>Slovenia</c:v>
                </c:pt>
                <c:pt idx="6">
                  <c:v>Estonia</c:v>
                </c:pt>
                <c:pt idx="7">
                  <c:v>France</c:v>
                </c:pt>
                <c:pt idx="8">
                  <c:v>Belgium</c:v>
                </c:pt>
                <c:pt idx="9">
                  <c:v>Netherlands</c:v>
                </c:pt>
                <c:pt idx="10">
                  <c:v>Czech Republic</c:v>
                </c:pt>
                <c:pt idx="11">
                  <c:v>United Kingdom</c:v>
                </c:pt>
                <c:pt idx="12">
                  <c:v>Ireland</c:v>
                </c:pt>
                <c:pt idx="13">
                  <c:v>Norway</c:v>
                </c:pt>
                <c:pt idx="14">
                  <c:v>Portugal</c:v>
                </c:pt>
                <c:pt idx="15">
                  <c:v>Luxembourg</c:v>
                </c:pt>
                <c:pt idx="16">
                  <c:v>Spain</c:v>
                </c:pt>
                <c:pt idx="17">
                  <c:v>Italy</c:v>
                </c:pt>
                <c:pt idx="18">
                  <c:v>Hungary</c:v>
                </c:pt>
                <c:pt idx="19">
                  <c:v>Lithuania</c:v>
                </c:pt>
                <c:pt idx="20">
                  <c:v>Poland</c:v>
                </c:pt>
                <c:pt idx="21">
                  <c:v>Croatia</c:v>
                </c:pt>
                <c:pt idx="22">
                  <c:v>Malta</c:v>
                </c:pt>
                <c:pt idx="23">
                  <c:v>Latvia</c:v>
                </c:pt>
                <c:pt idx="24">
                  <c:v>Slovakia</c:v>
                </c:pt>
                <c:pt idx="25">
                  <c:v>Bulgaria</c:v>
                </c:pt>
                <c:pt idx="26">
                  <c:v>Cyprus</c:v>
                </c:pt>
                <c:pt idx="27">
                  <c:v>Romania</c:v>
                </c:pt>
              </c:strCache>
            </c:strRef>
          </c:cat>
          <c:val>
            <c:numRef>
              <c:f>'2011 sort'!$F$8:$F$35</c:f>
              <c:numCache>
                <c:formatCode>0.00</c:formatCode>
                <c:ptCount val="28"/>
                <c:pt idx="0">
                  <c:v>3.0000000000000002E-2</c:v>
                </c:pt>
                <c:pt idx="1">
                  <c:v>1.0000000000000004E-2</c:v>
                </c:pt>
                <c:pt idx="2">
                  <c:v>1.0000000000000004E-2</c:v>
                </c:pt>
                <c:pt idx="4">
                  <c:v>1.0000000000000004E-2</c:v>
                </c:pt>
                <c:pt idx="6">
                  <c:v>2.0000000000000007E-2</c:v>
                </c:pt>
                <c:pt idx="7">
                  <c:v>3.0000000000000002E-2</c:v>
                </c:pt>
                <c:pt idx="8">
                  <c:v>2.0000000000000007E-2</c:v>
                </c:pt>
                <c:pt idx="10">
                  <c:v>1.0000000000000004E-2</c:v>
                </c:pt>
                <c:pt idx="11">
                  <c:v>4.0000000000000015E-2</c:v>
                </c:pt>
                <c:pt idx="14">
                  <c:v>0.12000000000000002</c:v>
                </c:pt>
                <c:pt idx="17">
                  <c:v>4.0000000000000015E-2</c:v>
                </c:pt>
                <c:pt idx="18">
                  <c:v>2.9999999999999971E-2</c:v>
                </c:pt>
                <c:pt idx="19">
                  <c:v>0</c:v>
                </c:pt>
                <c:pt idx="23">
                  <c:v>9.9999999999999586E-3</c:v>
                </c:pt>
                <c:pt idx="26">
                  <c:v>7.0000000000000021E-2</c:v>
                </c:pt>
              </c:numCache>
            </c:numRef>
          </c:val>
        </c:ser>
        <c:dLbls>
          <c:showLegendKey val="0"/>
          <c:showVal val="0"/>
          <c:showCatName val="0"/>
          <c:showSerName val="0"/>
          <c:showPercent val="0"/>
          <c:showBubbleSize val="0"/>
        </c:dLbls>
        <c:gapWidth val="25"/>
        <c:overlap val="100"/>
        <c:axId val="57019392"/>
        <c:axId val="57021184"/>
      </c:barChart>
      <c:catAx>
        <c:axId val="57019392"/>
        <c:scaling>
          <c:orientation val="minMax"/>
        </c:scaling>
        <c:delete val="0"/>
        <c:axPos val="l"/>
        <c:numFmt formatCode="General" sourceLinked="1"/>
        <c:majorTickMark val="out"/>
        <c:minorTickMark val="none"/>
        <c:tickLblPos val="nextTo"/>
        <c:crossAx val="57021184"/>
        <c:crosses val="autoZero"/>
        <c:auto val="1"/>
        <c:lblAlgn val="ctr"/>
        <c:lblOffset val="100"/>
        <c:noMultiLvlLbl val="0"/>
      </c:catAx>
      <c:valAx>
        <c:axId val="57021184"/>
        <c:scaling>
          <c:orientation val="minMax"/>
        </c:scaling>
        <c:delete val="0"/>
        <c:axPos val="b"/>
        <c:majorGridlines/>
        <c:numFmt formatCode="0%" sourceLinked="1"/>
        <c:majorTickMark val="out"/>
        <c:minorTickMark val="none"/>
        <c:tickLblPos val="nextTo"/>
        <c:crossAx val="57019392"/>
        <c:crosses val="autoZero"/>
        <c:crossBetween val="between"/>
      </c:valAx>
    </c:plotArea>
    <c:legend>
      <c:legendPos val="b"/>
      <c:layout>
        <c:manualLayout>
          <c:xMode val="edge"/>
          <c:yMode val="edge"/>
          <c:x val="0.21771842708850589"/>
          <c:y val="0.90526602643887499"/>
          <c:w val="0.77661086283133551"/>
          <c:h val="7.6970927718893703E-2"/>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lv-LV" sz="1200"/>
              <a:t>Finansējuma avoti zinātniski pētnieciskajam darbam </a:t>
            </a:r>
          </a:p>
        </c:rich>
      </c:tx>
      <c:layout/>
      <c:overlay val="1"/>
    </c:title>
    <c:autoTitleDeleted val="0"/>
    <c:plotArea>
      <c:layout>
        <c:manualLayout>
          <c:layoutTarget val="inner"/>
          <c:xMode val="edge"/>
          <c:yMode val="edge"/>
          <c:x val="8.6071741032370933E-2"/>
          <c:y val="0.19954870224555263"/>
          <c:w val="0.85684195357933235"/>
          <c:h val="0.61039734616506269"/>
        </c:manualLayout>
      </c:layout>
      <c:barChart>
        <c:barDir val="col"/>
        <c:grouping val="stacked"/>
        <c:varyColors val="0"/>
        <c:ser>
          <c:idx val="0"/>
          <c:order val="0"/>
          <c:tx>
            <c:strRef>
              <c:f>'ZinPēt izdevumi'!$A$34</c:f>
              <c:strCache>
                <c:ptCount val="1"/>
                <c:pt idx="0">
                  <c:v> uzņēmumu finansējums</c:v>
                </c:pt>
              </c:strCache>
            </c:strRef>
          </c:tx>
          <c:spPr>
            <a:solidFill>
              <a:schemeClr val="accent6">
                <a:lumMod val="75000"/>
              </a:schemeClr>
            </a:solidFill>
          </c:spPr>
          <c:invertIfNegative val="0"/>
          <c:dLbls>
            <c:txPr>
              <a:bodyPr/>
              <a:lstStyle/>
              <a:p>
                <a:pPr>
                  <a:defRPr sz="1000" b="0" i="0" u="none" strike="noStrike" baseline="0">
                    <a:solidFill>
                      <a:srgbClr val="000000"/>
                    </a:solidFill>
                    <a:latin typeface="Calibri"/>
                    <a:ea typeface="Calibri"/>
                    <a:cs typeface="Calibri"/>
                  </a:defRPr>
                </a:pPr>
                <a:endParaRPr lang="lv-LV"/>
              </a:p>
            </c:txPr>
            <c:dLblPos val="ctr"/>
            <c:showLegendKey val="0"/>
            <c:showVal val="1"/>
            <c:showCatName val="0"/>
            <c:showSerName val="0"/>
            <c:showPercent val="0"/>
            <c:showBubbleSize val="0"/>
            <c:showLeaderLines val="0"/>
          </c:dLbls>
          <c:cat>
            <c:numRef>
              <c:f>'ZinPēt izdevumi'!$G$33:$M$33</c:f>
              <c:numCache>
                <c:formatCode>General</c:formatCode>
                <c:ptCount val="7"/>
                <c:pt idx="0">
                  <c:v>2005</c:v>
                </c:pt>
                <c:pt idx="1">
                  <c:v>2006</c:v>
                </c:pt>
                <c:pt idx="2">
                  <c:v>2007</c:v>
                </c:pt>
                <c:pt idx="3">
                  <c:v>2008</c:v>
                </c:pt>
                <c:pt idx="4">
                  <c:v>2009</c:v>
                </c:pt>
                <c:pt idx="5">
                  <c:v>2010</c:v>
                </c:pt>
                <c:pt idx="6">
                  <c:v>2011</c:v>
                </c:pt>
              </c:numCache>
            </c:numRef>
          </c:cat>
          <c:val>
            <c:numRef>
              <c:f>'ZinPēt izdevumi'!$G$34:$M$34</c:f>
              <c:numCache>
                <c:formatCode>General</c:formatCode>
                <c:ptCount val="7"/>
                <c:pt idx="0">
                  <c:v>17.399999999999999</c:v>
                </c:pt>
                <c:pt idx="1">
                  <c:v>41.2</c:v>
                </c:pt>
                <c:pt idx="2">
                  <c:v>32</c:v>
                </c:pt>
                <c:pt idx="3">
                  <c:v>26.9</c:v>
                </c:pt>
                <c:pt idx="4">
                  <c:v>22.1</c:v>
                </c:pt>
                <c:pt idx="5">
                  <c:v>29.9</c:v>
                </c:pt>
                <c:pt idx="6">
                  <c:v>24.7</c:v>
                </c:pt>
              </c:numCache>
            </c:numRef>
          </c:val>
        </c:ser>
        <c:ser>
          <c:idx val="1"/>
          <c:order val="1"/>
          <c:tx>
            <c:strRef>
              <c:f>'ZinPēt izdevumi'!$A$35</c:f>
              <c:strCache>
                <c:ptCount val="1"/>
                <c:pt idx="0">
                  <c:v> valsts finansējums</c:v>
                </c:pt>
              </c:strCache>
            </c:strRef>
          </c:tx>
          <c:invertIfNegative val="0"/>
          <c:dLbls>
            <c:txPr>
              <a:bodyPr/>
              <a:lstStyle/>
              <a:p>
                <a:pPr>
                  <a:defRPr sz="1000" b="0" i="0" u="none" strike="noStrike" baseline="0">
                    <a:solidFill>
                      <a:srgbClr val="000000"/>
                    </a:solidFill>
                    <a:latin typeface="Calibri"/>
                    <a:ea typeface="Calibri"/>
                    <a:cs typeface="Calibri"/>
                  </a:defRPr>
                </a:pPr>
                <a:endParaRPr lang="lv-LV"/>
              </a:p>
            </c:txPr>
            <c:dLblPos val="ctr"/>
            <c:showLegendKey val="0"/>
            <c:showVal val="1"/>
            <c:showCatName val="0"/>
            <c:showSerName val="0"/>
            <c:showPercent val="0"/>
            <c:showBubbleSize val="0"/>
            <c:showLeaderLines val="0"/>
          </c:dLbls>
          <c:cat>
            <c:numRef>
              <c:f>'ZinPēt izdevumi'!$G$33:$M$33</c:f>
              <c:numCache>
                <c:formatCode>General</c:formatCode>
                <c:ptCount val="7"/>
                <c:pt idx="0">
                  <c:v>2005</c:v>
                </c:pt>
                <c:pt idx="1">
                  <c:v>2006</c:v>
                </c:pt>
                <c:pt idx="2">
                  <c:v>2007</c:v>
                </c:pt>
                <c:pt idx="3">
                  <c:v>2008</c:v>
                </c:pt>
                <c:pt idx="4">
                  <c:v>2009</c:v>
                </c:pt>
                <c:pt idx="5">
                  <c:v>2010</c:v>
                </c:pt>
                <c:pt idx="6">
                  <c:v>2011</c:v>
                </c:pt>
              </c:numCache>
            </c:numRef>
          </c:cat>
          <c:val>
            <c:numRef>
              <c:f>'ZinPēt izdevumi'!$G$35:$M$35</c:f>
              <c:numCache>
                <c:formatCode>General</c:formatCode>
                <c:ptCount val="7"/>
                <c:pt idx="0">
                  <c:v>23.900000000000002</c:v>
                </c:pt>
                <c:pt idx="1">
                  <c:v>31.099999999999991</c:v>
                </c:pt>
                <c:pt idx="2">
                  <c:v>44.70000000000001</c:v>
                </c:pt>
                <c:pt idx="3">
                  <c:v>49.6</c:v>
                </c:pt>
                <c:pt idx="4">
                  <c:v>28.6</c:v>
                </c:pt>
                <c:pt idx="5">
                  <c:v>21.400000000000002</c:v>
                </c:pt>
                <c:pt idx="6">
                  <c:v>24</c:v>
                </c:pt>
              </c:numCache>
            </c:numRef>
          </c:val>
        </c:ser>
        <c:ser>
          <c:idx val="2"/>
          <c:order val="2"/>
          <c:tx>
            <c:strRef>
              <c:f>'ZinPēt izdevumi'!$A$36</c:f>
              <c:strCache>
                <c:ptCount val="1"/>
                <c:pt idx="0">
                  <c:v>ārvalstu finansējums </c:v>
                </c:pt>
              </c:strCache>
            </c:strRef>
          </c:tx>
          <c:invertIfNegative val="0"/>
          <c:dLbls>
            <c:dLbl>
              <c:idx val="0"/>
              <c:layout>
                <c:manualLayout>
                  <c:x val="0"/>
                  <c:y val="-1.16039661708953E-2"/>
                </c:manualLayout>
              </c:layout>
              <c:dLblPos val="ctr"/>
              <c:showLegendKey val="0"/>
              <c:showVal val="1"/>
              <c:showCatName val="0"/>
              <c:showSerName val="0"/>
              <c:showPercent val="0"/>
              <c:showBubbleSize val="0"/>
            </c:dLbl>
            <c:dLbl>
              <c:idx val="1"/>
              <c:layout>
                <c:manualLayout>
                  <c:x val="0"/>
                  <c:y val="-2.6104913969087196E-2"/>
                </c:manualLayout>
              </c:layout>
              <c:dLblPos val="ctr"/>
              <c:showLegendKey val="0"/>
              <c:showVal val="1"/>
              <c:showCatName val="0"/>
              <c:showSerName val="0"/>
              <c:showPercent val="0"/>
              <c:showBubbleSize val="0"/>
            </c:dLbl>
            <c:dLbl>
              <c:idx val="2"/>
              <c:layout>
                <c:manualLayout>
                  <c:x val="0"/>
                  <c:y val="6.7118693496646736E-3"/>
                </c:manualLayout>
              </c:layout>
              <c:dLblPos val="ctr"/>
              <c:showLegendKey val="0"/>
              <c:showVal val="1"/>
              <c:showCatName val="0"/>
              <c:showSerName val="0"/>
              <c:showPercent val="0"/>
              <c:showBubbleSize val="0"/>
            </c:dLbl>
            <c:dLbl>
              <c:idx val="4"/>
              <c:layout>
                <c:manualLayout>
                  <c:x val="0"/>
                  <c:y val="-1.5979512977544467E-2"/>
                </c:manualLayout>
              </c:layout>
              <c:dLblPos val="ctr"/>
              <c:showLegendKey val="0"/>
              <c:showVal val="1"/>
              <c:showCatName val="0"/>
              <c:showSerName val="0"/>
              <c:showPercent val="0"/>
              <c:showBubbleSize val="0"/>
            </c:dLbl>
            <c:txPr>
              <a:bodyPr/>
              <a:lstStyle/>
              <a:p>
                <a:pPr>
                  <a:defRPr sz="1000" b="0" i="0" u="none" strike="noStrike" baseline="0">
                    <a:solidFill>
                      <a:srgbClr val="000000"/>
                    </a:solidFill>
                    <a:latin typeface="Calibri"/>
                    <a:ea typeface="Calibri"/>
                    <a:cs typeface="Calibri"/>
                  </a:defRPr>
                </a:pPr>
                <a:endParaRPr lang="lv-LV"/>
              </a:p>
            </c:txPr>
            <c:dLblPos val="inEnd"/>
            <c:showLegendKey val="0"/>
            <c:showVal val="1"/>
            <c:showCatName val="0"/>
            <c:showSerName val="0"/>
            <c:showPercent val="0"/>
            <c:showBubbleSize val="0"/>
            <c:showLeaderLines val="0"/>
          </c:dLbls>
          <c:cat>
            <c:numRef>
              <c:f>'ZinPēt izdevumi'!$G$33:$M$33</c:f>
              <c:numCache>
                <c:formatCode>General</c:formatCode>
                <c:ptCount val="7"/>
                <c:pt idx="0">
                  <c:v>2005</c:v>
                </c:pt>
                <c:pt idx="1">
                  <c:v>2006</c:v>
                </c:pt>
                <c:pt idx="2">
                  <c:v>2007</c:v>
                </c:pt>
                <c:pt idx="3">
                  <c:v>2008</c:v>
                </c:pt>
                <c:pt idx="4">
                  <c:v>2009</c:v>
                </c:pt>
                <c:pt idx="5">
                  <c:v>2010</c:v>
                </c:pt>
                <c:pt idx="6">
                  <c:v>2011</c:v>
                </c:pt>
              </c:numCache>
            </c:numRef>
          </c:cat>
          <c:val>
            <c:numRef>
              <c:f>'ZinPēt izdevumi'!$G$36:$M$36</c:f>
              <c:numCache>
                <c:formatCode>General</c:formatCode>
                <c:ptCount val="7"/>
                <c:pt idx="0">
                  <c:v>9.3000000000000007</c:v>
                </c:pt>
                <c:pt idx="1">
                  <c:v>5.9</c:v>
                </c:pt>
                <c:pt idx="2">
                  <c:v>11.2</c:v>
                </c:pt>
                <c:pt idx="3">
                  <c:v>23</c:v>
                </c:pt>
                <c:pt idx="4">
                  <c:v>9.2000000000000011</c:v>
                </c:pt>
                <c:pt idx="5">
                  <c:v>25.7</c:v>
                </c:pt>
                <c:pt idx="6">
                  <c:v>50.7</c:v>
                </c:pt>
              </c:numCache>
            </c:numRef>
          </c:val>
        </c:ser>
        <c:dLbls>
          <c:showLegendKey val="0"/>
          <c:showVal val="0"/>
          <c:showCatName val="0"/>
          <c:showSerName val="0"/>
          <c:showPercent val="0"/>
          <c:showBubbleSize val="0"/>
        </c:dLbls>
        <c:gapWidth val="75"/>
        <c:overlap val="100"/>
        <c:axId val="57038336"/>
        <c:axId val="57039872"/>
      </c:barChart>
      <c:catAx>
        <c:axId val="57038336"/>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57039872"/>
        <c:crosses val="autoZero"/>
        <c:auto val="1"/>
        <c:lblAlgn val="ctr"/>
        <c:lblOffset val="100"/>
        <c:noMultiLvlLbl val="0"/>
      </c:catAx>
      <c:valAx>
        <c:axId val="57039872"/>
        <c:scaling>
          <c:orientation val="minMax"/>
        </c:scaling>
        <c:delete val="0"/>
        <c:axPos val="l"/>
        <c:majorGridlines>
          <c:spPr>
            <a:ln>
              <a:solidFill>
                <a:schemeClr val="bg1"/>
              </a:solidFill>
            </a:ln>
          </c:spPr>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57038336"/>
        <c:crosses val="autoZero"/>
        <c:crossBetween val="between"/>
      </c:valAx>
      <c:spPr>
        <a:solidFill>
          <a:schemeClr val="bg1">
            <a:lumMod val="85000"/>
          </a:schemeClr>
        </a:solidFill>
      </c:spPr>
    </c:plotArea>
    <c:legend>
      <c:legendPos val="b"/>
      <c:layout/>
      <c:overlay val="0"/>
      <c:txPr>
        <a:bodyPr/>
        <a:lstStyle/>
        <a:p>
          <a:pPr>
            <a:defRPr sz="920" b="0" i="0" u="none" strike="noStrike" baseline="0">
              <a:solidFill>
                <a:srgbClr val="000000"/>
              </a:solidFill>
              <a:latin typeface="Calibri"/>
              <a:ea typeface="Calibri"/>
              <a:cs typeface="Calibri"/>
            </a:defRPr>
          </a:pPr>
          <a:endParaRPr lang="lv-LV"/>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lv-LV" sz="1200"/>
              <a:t>Izdevumi zinātniski pētnieciskajam darbam pa sektoriem</a:t>
            </a:r>
          </a:p>
        </c:rich>
      </c:tx>
      <c:layout/>
      <c:overlay val="1"/>
    </c:title>
    <c:autoTitleDeleted val="0"/>
    <c:plotArea>
      <c:layout>
        <c:manualLayout>
          <c:layoutTarget val="inner"/>
          <c:xMode val="edge"/>
          <c:yMode val="edge"/>
          <c:x val="8.6071741032370933E-2"/>
          <c:y val="0.20417833187518233"/>
          <c:w val="0.85251181102362195"/>
          <c:h val="0.61502697579469234"/>
        </c:manualLayout>
      </c:layout>
      <c:barChart>
        <c:barDir val="col"/>
        <c:grouping val="stacked"/>
        <c:varyColors val="0"/>
        <c:ser>
          <c:idx val="0"/>
          <c:order val="0"/>
          <c:tx>
            <c:strRef>
              <c:f>'ZinPēt izdevumi'!$A$40</c:f>
              <c:strCache>
                <c:ptCount val="1"/>
                <c:pt idx="0">
                  <c:v>UZŅĒMĒJDARBĪBA</c:v>
                </c:pt>
              </c:strCache>
            </c:strRef>
          </c:tx>
          <c:spPr>
            <a:solidFill>
              <a:schemeClr val="accent6">
                <a:lumMod val="75000"/>
              </a:schemeClr>
            </a:solidFill>
          </c:spPr>
          <c:invertIfNegative val="0"/>
          <c:dLbls>
            <c:txPr>
              <a:bodyPr/>
              <a:lstStyle/>
              <a:p>
                <a:pPr>
                  <a:defRPr sz="1000" b="0" i="0" u="none" strike="noStrike" baseline="0">
                    <a:solidFill>
                      <a:srgbClr val="000000"/>
                    </a:solidFill>
                    <a:latin typeface="Calibri"/>
                    <a:ea typeface="Calibri"/>
                    <a:cs typeface="Calibri"/>
                  </a:defRPr>
                </a:pPr>
                <a:endParaRPr lang="lv-LV"/>
              </a:p>
            </c:txPr>
            <c:dLblPos val="ctr"/>
            <c:showLegendKey val="0"/>
            <c:showVal val="1"/>
            <c:showCatName val="0"/>
            <c:showSerName val="0"/>
            <c:showPercent val="0"/>
            <c:showBubbleSize val="0"/>
            <c:showLeaderLines val="0"/>
          </c:dLbls>
          <c:cat>
            <c:numRef>
              <c:f>'ZinPēt izdevumi'!$G$39:$M$39</c:f>
              <c:numCache>
                <c:formatCode>General</c:formatCode>
                <c:ptCount val="7"/>
                <c:pt idx="0">
                  <c:v>2005</c:v>
                </c:pt>
                <c:pt idx="1">
                  <c:v>2006</c:v>
                </c:pt>
                <c:pt idx="2">
                  <c:v>2007</c:v>
                </c:pt>
                <c:pt idx="3">
                  <c:v>2008</c:v>
                </c:pt>
                <c:pt idx="4">
                  <c:v>2009</c:v>
                </c:pt>
                <c:pt idx="5">
                  <c:v>2010</c:v>
                </c:pt>
                <c:pt idx="6">
                  <c:v>2011</c:v>
                </c:pt>
              </c:numCache>
            </c:numRef>
          </c:cat>
          <c:val>
            <c:numRef>
              <c:f>'ZinPēt izdevumi'!$G$40:$M$40</c:f>
              <c:numCache>
                <c:formatCode>General</c:formatCode>
                <c:ptCount val="7"/>
                <c:pt idx="0">
                  <c:v>20.6</c:v>
                </c:pt>
                <c:pt idx="1">
                  <c:v>39.4</c:v>
                </c:pt>
                <c:pt idx="2">
                  <c:v>28.6</c:v>
                </c:pt>
                <c:pt idx="3">
                  <c:v>24.9</c:v>
                </c:pt>
                <c:pt idx="4">
                  <c:v>21.8</c:v>
                </c:pt>
                <c:pt idx="5">
                  <c:v>28.5</c:v>
                </c:pt>
                <c:pt idx="6">
                  <c:v>27.6</c:v>
                </c:pt>
              </c:numCache>
            </c:numRef>
          </c:val>
        </c:ser>
        <c:ser>
          <c:idx val="1"/>
          <c:order val="1"/>
          <c:tx>
            <c:strRef>
              <c:f>'ZinPēt izdevumi'!$A$41</c:f>
              <c:strCache>
                <c:ptCount val="1"/>
                <c:pt idx="0">
                  <c:v>VALSTS SEKTORS</c:v>
                </c:pt>
              </c:strCache>
            </c:strRef>
          </c:tx>
          <c:spPr>
            <a:solidFill>
              <a:schemeClr val="bg1">
                <a:lumMod val="50000"/>
              </a:schemeClr>
            </a:solidFill>
          </c:spPr>
          <c:invertIfNegative val="0"/>
          <c:dLbls>
            <c:dLbl>
              <c:idx val="0"/>
              <c:layout>
                <c:manualLayout>
                  <c:x val="0"/>
                  <c:y val="1.0852289297171101E-2"/>
                </c:manualLayout>
              </c:layout>
              <c:dLblPos val="ctr"/>
              <c:showLegendKey val="0"/>
              <c:showVal val="1"/>
              <c:showCatName val="0"/>
              <c:showSerName val="0"/>
              <c:showPercent val="0"/>
              <c:showBubbleSize val="0"/>
            </c:dLbl>
            <c:dLbl>
              <c:idx val="1"/>
              <c:layout>
                <c:manualLayout>
                  <c:x val="0"/>
                  <c:y val="4.9580781568970564E-3"/>
                </c:manualLayout>
              </c:layout>
              <c:dLblPos val="ctr"/>
              <c:showLegendKey val="0"/>
              <c:showVal val="1"/>
              <c:showCatName val="0"/>
              <c:showSerName val="0"/>
              <c:showPercent val="0"/>
              <c:showBubbleSize val="0"/>
            </c:dLbl>
            <c:txPr>
              <a:bodyPr/>
              <a:lstStyle/>
              <a:p>
                <a:pPr>
                  <a:defRPr sz="1000" b="0" i="0" u="none" strike="noStrike" baseline="0">
                    <a:solidFill>
                      <a:srgbClr val="000000"/>
                    </a:solidFill>
                    <a:latin typeface="Calibri"/>
                    <a:ea typeface="Calibri"/>
                    <a:cs typeface="Calibri"/>
                  </a:defRPr>
                </a:pPr>
                <a:endParaRPr lang="lv-LV"/>
              </a:p>
            </c:txPr>
            <c:dLblPos val="inEnd"/>
            <c:showLegendKey val="0"/>
            <c:showVal val="1"/>
            <c:showCatName val="0"/>
            <c:showSerName val="0"/>
            <c:showPercent val="0"/>
            <c:showBubbleSize val="0"/>
            <c:showLeaderLines val="0"/>
          </c:dLbls>
          <c:cat>
            <c:numRef>
              <c:f>'ZinPēt izdevumi'!$G$39:$M$39</c:f>
              <c:numCache>
                <c:formatCode>General</c:formatCode>
                <c:ptCount val="7"/>
                <c:pt idx="0">
                  <c:v>2005</c:v>
                </c:pt>
                <c:pt idx="1">
                  <c:v>2006</c:v>
                </c:pt>
                <c:pt idx="2">
                  <c:v>2007</c:v>
                </c:pt>
                <c:pt idx="3">
                  <c:v>2008</c:v>
                </c:pt>
                <c:pt idx="4">
                  <c:v>2009</c:v>
                </c:pt>
                <c:pt idx="5">
                  <c:v>2010</c:v>
                </c:pt>
                <c:pt idx="6">
                  <c:v>2011</c:v>
                </c:pt>
              </c:numCache>
            </c:numRef>
          </c:cat>
          <c:val>
            <c:numRef>
              <c:f>'ZinPēt izdevumi'!$G$41:$M$41</c:f>
              <c:numCache>
                <c:formatCode>General</c:formatCode>
                <c:ptCount val="7"/>
                <c:pt idx="0">
                  <c:v>9.5</c:v>
                </c:pt>
                <c:pt idx="1">
                  <c:v>11.8</c:v>
                </c:pt>
                <c:pt idx="2">
                  <c:v>21.3</c:v>
                </c:pt>
                <c:pt idx="3">
                  <c:v>27.4</c:v>
                </c:pt>
                <c:pt idx="4">
                  <c:v>14.8</c:v>
                </c:pt>
                <c:pt idx="5">
                  <c:v>17.7</c:v>
                </c:pt>
                <c:pt idx="6">
                  <c:v>23.2</c:v>
                </c:pt>
              </c:numCache>
            </c:numRef>
          </c:val>
        </c:ser>
        <c:ser>
          <c:idx val="2"/>
          <c:order val="2"/>
          <c:tx>
            <c:strRef>
              <c:f>'ZinPēt izdevumi'!$A$42</c:f>
              <c:strCache>
                <c:ptCount val="1"/>
                <c:pt idx="0">
                  <c:v>AUGSTĀKĀ IZGLĪTĪBA </c:v>
                </c:pt>
              </c:strCache>
            </c:strRef>
          </c:tx>
          <c:spPr>
            <a:solidFill>
              <a:schemeClr val="bg1">
                <a:lumMod val="65000"/>
              </a:schemeClr>
            </a:solidFill>
          </c:spPr>
          <c:invertIfNegative val="0"/>
          <c:dLbls>
            <c:txPr>
              <a:bodyPr/>
              <a:lstStyle/>
              <a:p>
                <a:pPr>
                  <a:defRPr sz="1000" b="0" i="0" u="none" strike="noStrike" baseline="0">
                    <a:solidFill>
                      <a:srgbClr val="000000"/>
                    </a:solidFill>
                    <a:latin typeface="Calibri"/>
                    <a:ea typeface="Calibri"/>
                    <a:cs typeface="Calibri"/>
                  </a:defRPr>
                </a:pPr>
                <a:endParaRPr lang="lv-LV"/>
              </a:p>
            </c:txPr>
            <c:dLblPos val="inEnd"/>
            <c:showLegendKey val="0"/>
            <c:showVal val="1"/>
            <c:showCatName val="0"/>
            <c:showSerName val="0"/>
            <c:showPercent val="0"/>
            <c:showBubbleSize val="0"/>
            <c:showLeaderLines val="0"/>
          </c:dLbls>
          <c:cat>
            <c:numRef>
              <c:f>'ZinPēt izdevumi'!$G$39:$M$39</c:f>
              <c:numCache>
                <c:formatCode>General</c:formatCode>
                <c:ptCount val="7"/>
                <c:pt idx="0">
                  <c:v>2005</c:v>
                </c:pt>
                <c:pt idx="1">
                  <c:v>2006</c:v>
                </c:pt>
                <c:pt idx="2">
                  <c:v>2007</c:v>
                </c:pt>
                <c:pt idx="3">
                  <c:v>2008</c:v>
                </c:pt>
                <c:pt idx="4">
                  <c:v>2009</c:v>
                </c:pt>
                <c:pt idx="5">
                  <c:v>2010</c:v>
                </c:pt>
                <c:pt idx="6">
                  <c:v>2011</c:v>
                </c:pt>
              </c:numCache>
            </c:numRef>
          </c:cat>
          <c:val>
            <c:numRef>
              <c:f>'ZinPēt izdevumi'!$G$42:$M$42</c:f>
              <c:numCache>
                <c:formatCode>General</c:formatCode>
                <c:ptCount val="7"/>
                <c:pt idx="0">
                  <c:v>20.5</c:v>
                </c:pt>
                <c:pt idx="1">
                  <c:v>27</c:v>
                </c:pt>
                <c:pt idx="2">
                  <c:v>38</c:v>
                </c:pt>
                <c:pt idx="3">
                  <c:v>47.2</c:v>
                </c:pt>
                <c:pt idx="4">
                  <c:v>23.3</c:v>
                </c:pt>
                <c:pt idx="5">
                  <c:v>30.8</c:v>
                </c:pt>
                <c:pt idx="6">
                  <c:v>48.6</c:v>
                </c:pt>
              </c:numCache>
            </c:numRef>
          </c:val>
        </c:ser>
        <c:dLbls>
          <c:showLegendKey val="0"/>
          <c:showVal val="0"/>
          <c:showCatName val="0"/>
          <c:showSerName val="0"/>
          <c:showPercent val="0"/>
          <c:showBubbleSize val="0"/>
        </c:dLbls>
        <c:gapWidth val="75"/>
        <c:overlap val="100"/>
        <c:axId val="57055488"/>
        <c:axId val="57073664"/>
      </c:barChart>
      <c:catAx>
        <c:axId val="57055488"/>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57073664"/>
        <c:crosses val="autoZero"/>
        <c:auto val="1"/>
        <c:lblAlgn val="ctr"/>
        <c:lblOffset val="100"/>
        <c:noMultiLvlLbl val="0"/>
      </c:catAx>
      <c:valAx>
        <c:axId val="57073664"/>
        <c:scaling>
          <c:orientation val="minMax"/>
        </c:scaling>
        <c:delete val="0"/>
        <c:axPos val="l"/>
        <c:majorGridlines>
          <c:spPr>
            <a:ln>
              <a:solidFill>
                <a:schemeClr val="bg1"/>
              </a:solidFill>
            </a:ln>
          </c:spPr>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57055488"/>
        <c:crosses val="autoZero"/>
        <c:crossBetween val="between"/>
      </c:valAx>
      <c:spPr>
        <a:solidFill>
          <a:schemeClr val="bg1">
            <a:lumMod val="85000"/>
          </a:schemeClr>
        </a:solidFill>
      </c:spPr>
    </c:plotArea>
    <c:legend>
      <c:legendPos val="b"/>
      <c:layout/>
      <c:overlay val="0"/>
      <c:txPr>
        <a:bodyPr/>
        <a:lstStyle/>
        <a:p>
          <a:pPr>
            <a:defRPr sz="920" b="0" i="0" u="none" strike="noStrike" baseline="0">
              <a:solidFill>
                <a:srgbClr val="000000"/>
              </a:solidFill>
              <a:latin typeface="Calibri"/>
              <a:ea typeface="Calibri"/>
              <a:cs typeface="Calibri"/>
            </a:defRPr>
          </a:pPr>
          <a:endParaRPr lang="lv-LV"/>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0.0016</cdr:x>
      <cdr:y>0.04514</cdr:y>
    </cdr:from>
    <cdr:to>
      <cdr:x>0.1552</cdr:x>
      <cdr:y>0.14236</cdr:y>
    </cdr:to>
    <cdr:sp macro="" textlink="">
      <cdr:nvSpPr>
        <cdr:cNvPr id="2" name="TextBox 1"/>
        <cdr:cNvSpPr txBox="1"/>
      </cdr:nvSpPr>
      <cdr:spPr>
        <a:xfrm xmlns:a="http://schemas.openxmlformats.org/drawingml/2006/main">
          <a:off x="9526" y="123825"/>
          <a:ext cx="9144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 of GDP</a:t>
          </a:r>
          <a:endParaRPr lang="lv-LV" sz="1100"/>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0.10243</cdr:y>
    </cdr:from>
    <cdr:to>
      <cdr:x>0.13333</cdr:x>
      <cdr:y>0.21007</cdr:y>
    </cdr:to>
    <cdr:sp macro="" textlink="">
      <cdr:nvSpPr>
        <cdr:cNvPr id="2" name="TextBox 1"/>
        <cdr:cNvSpPr txBox="1"/>
      </cdr:nvSpPr>
      <cdr:spPr>
        <a:xfrm xmlns:a="http://schemas.openxmlformats.org/drawingml/2006/main">
          <a:off x="0" y="280988"/>
          <a:ext cx="60960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a:t>tūkst.LVL</a:t>
          </a:r>
        </a:p>
      </cdr:txBody>
    </cdr:sp>
  </cdr:relSizeAnchor>
</c:userShapes>
</file>

<file path=word/drawings/drawing11.xml><?xml version="1.0" encoding="utf-8"?>
<c:userShapes xmlns:c="http://schemas.openxmlformats.org/drawingml/2006/chart">
  <cdr:relSizeAnchor xmlns:cdr="http://schemas.openxmlformats.org/drawingml/2006/chartDrawing">
    <cdr:from>
      <cdr:x>0.00833</cdr:x>
      <cdr:y>0.07118</cdr:y>
    </cdr:from>
    <cdr:to>
      <cdr:x>0.20833</cdr:x>
      <cdr:y>0.40451</cdr:y>
    </cdr:to>
    <cdr:sp macro="" textlink="">
      <cdr:nvSpPr>
        <cdr:cNvPr id="2" name="TextBox 1"/>
        <cdr:cNvSpPr txBox="1"/>
      </cdr:nvSpPr>
      <cdr:spPr>
        <a:xfrm xmlns:a="http://schemas.openxmlformats.org/drawingml/2006/main">
          <a:off x="38100" y="19526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a:t>tūkst.LVL</a:t>
          </a:r>
        </a:p>
      </cdr:txBody>
    </cdr:sp>
  </cdr:relSizeAnchor>
</c:userShapes>
</file>

<file path=word/drawings/drawing2.xml><?xml version="1.0" encoding="utf-8"?>
<c:userShapes xmlns:c="http://schemas.openxmlformats.org/drawingml/2006/chart">
  <cdr:relSizeAnchor xmlns:cdr="http://schemas.openxmlformats.org/drawingml/2006/chartDrawing">
    <cdr:from>
      <cdr:x>0.02448</cdr:x>
      <cdr:y>0.66667</cdr:y>
    </cdr:from>
    <cdr:to>
      <cdr:x>0.20527</cdr:x>
      <cdr:y>1</cdr:y>
    </cdr:to>
    <cdr:sp macro="" textlink="">
      <cdr:nvSpPr>
        <cdr:cNvPr id="2" name="TextBox 1"/>
        <cdr:cNvSpPr txBox="1"/>
      </cdr:nvSpPr>
      <cdr:spPr>
        <a:xfrm xmlns:a="http://schemas.openxmlformats.org/drawingml/2006/main">
          <a:off x="123826" y="1828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a:p>
      </cdr:txBody>
    </cdr:sp>
  </cdr:relSizeAnchor>
  <cdr:relSizeAnchor xmlns:cdr="http://schemas.openxmlformats.org/drawingml/2006/chartDrawing">
    <cdr:from>
      <cdr:x>0.01318</cdr:x>
      <cdr:y>0.87674</cdr:y>
    </cdr:from>
    <cdr:to>
      <cdr:x>0.19397</cdr:x>
      <cdr:y>0.99306</cdr:y>
    </cdr:to>
    <cdr:sp macro="" textlink="">
      <cdr:nvSpPr>
        <cdr:cNvPr id="3" name="TextBox 2"/>
        <cdr:cNvSpPr txBox="1"/>
      </cdr:nvSpPr>
      <cdr:spPr>
        <a:xfrm xmlns:a="http://schemas.openxmlformats.org/drawingml/2006/main">
          <a:off x="66676" y="2405062"/>
          <a:ext cx="914400" cy="3190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a:p>
      </cdr:txBody>
    </cdr:sp>
  </cdr:relSizeAnchor>
</c:userShapes>
</file>

<file path=word/drawings/drawing3.xml><?xml version="1.0" encoding="utf-8"?>
<c:userShapes xmlns:c="http://schemas.openxmlformats.org/drawingml/2006/chart">
  <cdr:relSizeAnchor xmlns:cdr="http://schemas.openxmlformats.org/drawingml/2006/chartDrawing">
    <cdr:from>
      <cdr:x>0.87957</cdr:x>
      <cdr:y>0.67476</cdr:y>
    </cdr:from>
    <cdr:to>
      <cdr:x>0.96494</cdr:x>
      <cdr:y>0.76851</cdr:y>
    </cdr:to>
    <cdr:sp macro="" textlink="">
      <cdr:nvSpPr>
        <cdr:cNvPr id="17" name="TextBox 1"/>
        <cdr:cNvSpPr txBox="1"/>
      </cdr:nvSpPr>
      <cdr:spPr>
        <a:xfrm xmlns:a="http://schemas.openxmlformats.org/drawingml/2006/main">
          <a:off x="5495924" y="1851014"/>
          <a:ext cx="533401" cy="2571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lv-LV" sz="1100">
              <a:solidFill>
                <a:schemeClr val="tx1">
                  <a:lumMod val="50000"/>
                  <a:lumOff val="50000"/>
                </a:schemeClr>
              </a:solidFill>
            </a:rPr>
            <a:t>ZEMS</a:t>
          </a:r>
        </a:p>
      </cdr:txBody>
    </cdr:sp>
  </cdr:relSizeAnchor>
  <cdr:relSizeAnchor xmlns:cdr="http://schemas.openxmlformats.org/drawingml/2006/chartDrawing">
    <cdr:from>
      <cdr:x>0.87043</cdr:x>
      <cdr:y>0.48727</cdr:y>
    </cdr:from>
    <cdr:to>
      <cdr:x>0.97713</cdr:x>
      <cdr:y>0.58102</cdr:y>
    </cdr:to>
    <cdr:sp macro="" textlink="">
      <cdr:nvSpPr>
        <cdr:cNvPr id="28" name="TextBox 1"/>
        <cdr:cNvSpPr txBox="1"/>
      </cdr:nvSpPr>
      <cdr:spPr>
        <a:xfrm xmlns:a="http://schemas.openxmlformats.org/drawingml/2006/main">
          <a:off x="5438775" y="1336670"/>
          <a:ext cx="666750" cy="2571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1100">
              <a:solidFill>
                <a:schemeClr val="tx1">
                  <a:lumMod val="50000"/>
                  <a:lumOff val="50000"/>
                </a:schemeClr>
              </a:solidFill>
            </a:rPr>
            <a:t>M</a:t>
          </a:r>
          <a:r>
            <a:rPr lang="lv-LV" sz="1100">
              <a:solidFill>
                <a:schemeClr val="tx1">
                  <a:lumMod val="50000"/>
                  <a:lumOff val="50000"/>
                </a:schemeClr>
              </a:solidFill>
            </a:rPr>
            <a:t>Ē</a:t>
          </a:r>
          <a:r>
            <a:rPr lang="en-US" sz="1100">
              <a:solidFill>
                <a:schemeClr val="tx1">
                  <a:lumMod val="50000"/>
                  <a:lumOff val="50000"/>
                </a:schemeClr>
              </a:solidFill>
            </a:rPr>
            <a:t>RENS</a:t>
          </a:r>
          <a:endParaRPr lang="lv-LV" sz="1100">
            <a:solidFill>
              <a:schemeClr val="tx1">
                <a:lumMod val="50000"/>
                <a:lumOff val="50000"/>
              </a:schemeClr>
            </a:solidFill>
          </a:endParaRPr>
        </a:p>
      </cdr:txBody>
    </cdr:sp>
  </cdr:relSizeAnchor>
  <cdr:relSizeAnchor xmlns:cdr="http://schemas.openxmlformats.org/drawingml/2006/chartDrawing">
    <cdr:from>
      <cdr:x>0.86738</cdr:x>
      <cdr:y>0.31018</cdr:y>
    </cdr:from>
    <cdr:to>
      <cdr:x>1</cdr:x>
      <cdr:y>0.40393</cdr:y>
    </cdr:to>
    <cdr:sp macro="" textlink="">
      <cdr:nvSpPr>
        <cdr:cNvPr id="31" name="TextBox 1"/>
        <cdr:cNvSpPr txBox="1"/>
      </cdr:nvSpPr>
      <cdr:spPr>
        <a:xfrm xmlns:a="http://schemas.openxmlformats.org/drawingml/2006/main">
          <a:off x="5419725" y="850889"/>
          <a:ext cx="828675" cy="2571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lv-LV" sz="1100">
              <a:solidFill>
                <a:schemeClr val="tx1">
                  <a:lumMod val="50000"/>
                  <a:lumOff val="50000"/>
                </a:schemeClr>
              </a:solidFill>
            </a:rPr>
            <a:t>VIDĒJS</a:t>
          </a:r>
        </a:p>
      </cdr:txBody>
    </cdr:sp>
  </cdr:relSizeAnchor>
  <cdr:relSizeAnchor xmlns:cdr="http://schemas.openxmlformats.org/drawingml/2006/chartDrawing">
    <cdr:from>
      <cdr:x>0.86585</cdr:x>
      <cdr:y>0.15393</cdr:y>
    </cdr:from>
    <cdr:to>
      <cdr:x>1</cdr:x>
      <cdr:y>0.24768</cdr:y>
    </cdr:to>
    <cdr:sp macro="" textlink="">
      <cdr:nvSpPr>
        <cdr:cNvPr id="32" name="TextBox 1"/>
        <cdr:cNvSpPr txBox="1"/>
      </cdr:nvSpPr>
      <cdr:spPr>
        <a:xfrm xmlns:a="http://schemas.openxmlformats.org/drawingml/2006/main">
          <a:off x="5410200" y="422267"/>
          <a:ext cx="838200" cy="2571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lv-LV" sz="1100">
              <a:solidFill>
                <a:schemeClr val="tx1">
                  <a:lumMod val="50000"/>
                  <a:lumOff val="50000"/>
                </a:schemeClr>
              </a:solidFill>
            </a:rPr>
            <a:t>AUGSTS</a:t>
          </a:r>
        </a:p>
      </cdr:txBody>
    </cdr:sp>
  </cdr:relSizeAnchor>
  <cdr:relSizeAnchor xmlns:cdr="http://schemas.openxmlformats.org/drawingml/2006/chartDrawing">
    <cdr:from>
      <cdr:x>0.05488</cdr:x>
      <cdr:y>0.61458</cdr:y>
    </cdr:from>
    <cdr:to>
      <cdr:x>0.97713</cdr:x>
      <cdr:y>0.61458</cdr:y>
    </cdr:to>
    <cdr:cxnSp macro="">
      <cdr:nvCxnSpPr>
        <cdr:cNvPr id="34" name="Straight Connector 20"/>
        <cdr:cNvCxnSpPr/>
      </cdr:nvCxnSpPr>
      <cdr:spPr>
        <a:xfrm xmlns:a="http://schemas.openxmlformats.org/drawingml/2006/main" flipH="1">
          <a:off x="342904" y="1685925"/>
          <a:ext cx="5762621" cy="1"/>
        </a:xfrm>
        <a:prstGeom xmlns:a="http://schemas.openxmlformats.org/drawingml/2006/main" prst="line">
          <a:avLst/>
        </a:prstGeom>
        <a:ln xmlns:a="http://schemas.openxmlformats.org/drawingml/2006/main">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0.05234</cdr:x>
      <cdr:y>0.43519</cdr:y>
    </cdr:from>
    <cdr:to>
      <cdr:x>0.97459</cdr:x>
      <cdr:y>0.43519</cdr:y>
    </cdr:to>
    <cdr:cxnSp macro="">
      <cdr:nvCxnSpPr>
        <cdr:cNvPr id="37" name="Straight Connector 36"/>
        <cdr:cNvCxnSpPr/>
      </cdr:nvCxnSpPr>
      <cdr:spPr>
        <a:xfrm xmlns:a="http://schemas.openxmlformats.org/drawingml/2006/main" flipH="1">
          <a:off x="327025" y="1193800"/>
          <a:ext cx="5762621" cy="1"/>
        </a:xfrm>
        <a:prstGeom xmlns:a="http://schemas.openxmlformats.org/drawingml/2006/main" prst="line">
          <a:avLst/>
        </a:prstGeom>
        <a:ln xmlns:a="http://schemas.openxmlformats.org/drawingml/2006/main">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0.05843</cdr:x>
      <cdr:y>0.28241</cdr:y>
    </cdr:from>
    <cdr:to>
      <cdr:x>0.98069</cdr:x>
      <cdr:y>0.28241</cdr:y>
    </cdr:to>
    <cdr:cxnSp macro="">
      <cdr:nvCxnSpPr>
        <cdr:cNvPr id="39" name="Straight Connector 38"/>
        <cdr:cNvCxnSpPr/>
      </cdr:nvCxnSpPr>
      <cdr:spPr>
        <a:xfrm xmlns:a="http://schemas.openxmlformats.org/drawingml/2006/main" flipH="1">
          <a:off x="365125" y="774700"/>
          <a:ext cx="5762621" cy="1"/>
        </a:xfrm>
        <a:prstGeom xmlns:a="http://schemas.openxmlformats.org/drawingml/2006/main" prst="line">
          <a:avLst/>
        </a:prstGeom>
        <a:ln xmlns:a="http://schemas.openxmlformats.org/drawingml/2006/main">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cdr:x>
      <cdr:y>0.1059</cdr:y>
    </cdr:from>
    <cdr:to>
      <cdr:x>0.12708</cdr:x>
      <cdr:y>0.21354</cdr:y>
    </cdr:to>
    <cdr:sp macro="" textlink="">
      <cdr:nvSpPr>
        <cdr:cNvPr id="2" name="TextBox 1"/>
        <cdr:cNvSpPr txBox="1"/>
      </cdr:nvSpPr>
      <cdr:spPr>
        <a:xfrm xmlns:a="http://schemas.openxmlformats.org/drawingml/2006/main">
          <a:off x="0" y="290513"/>
          <a:ext cx="58102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l"/>
          <a:r>
            <a:rPr lang="lv-LV" sz="1100"/>
            <a:t>milj.LVL</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0.08449</cdr:y>
    </cdr:from>
    <cdr:to>
      <cdr:x>0.11941</cdr:x>
      <cdr:y>0.19213</cdr:y>
    </cdr:to>
    <cdr:sp macro="" textlink="">
      <cdr:nvSpPr>
        <cdr:cNvPr id="2" name="TextBox 1"/>
        <cdr:cNvSpPr txBox="1"/>
      </cdr:nvSpPr>
      <cdr:spPr>
        <a:xfrm xmlns:a="http://schemas.openxmlformats.org/drawingml/2006/main">
          <a:off x="0" y="231775"/>
          <a:ext cx="545921"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lv-LV" sz="1100"/>
            <a:t>milj.LVL</a:t>
          </a: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0.01158</cdr:y>
    </cdr:from>
    <cdr:to>
      <cdr:x>0.2</cdr:x>
      <cdr:y>0.11574</cdr:y>
    </cdr:to>
    <cdr:sp macro="" textlink="">
      <cdr:nvSpPr>
        <cdr:cNvPr id="2" name="TextBox 1"/>
        <cdr:cNvSpPr txBox="1"/>
      </cdr:nvSpPr>
      <cdr:spPr>
        <a:xfrm xmlns:a="http://schemas.openxmlformats.org/drawingml/2006/main">
          <a:off x="0" y="31760"/>
          <a:ext cx="914400" cy="28573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 no IKP</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0.03646</cdr:y>
    </cdr:from>
    <cdr:to>
      <cdr:x>0.15833</cdr:x>
      <cdr:y>0.15451</cdr:y>
    </cdr:to>
    <cdr:sp macro="" textlink="">
      <cdr:nvSpPr>
        <cdr:cNvPr id="2" name="TextBox 1"/>
        <cdr:cNvSpPr txBox="1"/>
      </cdr:nvSpPr>
      <cdr:spPr>
        <a:xfrm xmlns:a="http://schemas.openxmlformats.org/drawingml/2006/main">
          <a:off x="0" y="100013"/>
          <a:ext cx="723900" cy="323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a:t>milj.LVL</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0.00868</cdr:y>
    </cdr:from>
    <cdr:to>
      <cdr:x>0.2</cdr:x>
      <cdr:y>0.10243</cdr:y>
    </cdr:to>
    <cdr:sp macro="" textlink="">
      <cdr:nvSpPr>
        <cdr:cNvPr id="2" name="TextBox 1"/>
        <cdr:cNvSpPr txBox="1"/>
      </cdr:nvSpPr>
      <cdr:spPr>
        <a:xfrm xmlns:a="http://schemas.openxmlformats.org/drawingml/2006/main">
          <a:off x="0" y="23813"/>
          <a:ext cx="91440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a:t>milj. LVL</a:t>
          </a: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0.96394</cdr:y>
    </cdr:from>
    <cdr:to>
      <cdr:x>1</cdr:x>
      <cdr:y>0.996</cdr:y>
    </cdr:to>
    <cdr:sp macro="" textlink="">
      <cdr:nvSpPr>
        <cdr:cNvPr id="5" name="TextBox 1"/>
        <cdr:cNvSpPr txBox="1"/>
      </cdr:nvSpPr>
      <cdr:spPr>
        <a:xfrm xmlns:a="http://schemas.openxmlformats.org/drawingml/2006/main">
          <a:off x="0" y="7477125"/>
          <a:ext cx="6067425"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v-LV" sz="900" i="1">
              <a:latin typeface="+mn-lt"/>
              <a:cs typeface="Arial" pitchFamily="34" charset="0"/>
            </a:rPr>
            <a:t>Bāze: visi respondenti, kuri</a:t>
          </a:r>
          <a:r>
            <a:rPr lang="lv-LV" sz="900" i="1" baseline="0">
              <a:latin typeface="+mn-lt"/>
              <a:cs typeface="Arial" pitchFamily="34" charset="0"/>
            </a:rPr>
            <a:t> snieguši konkrētu atbildi uz konkrēto jautājumu</a:t>
          </a:r>
          <a:endParaRPr lang="lv-LV" sz="900" i="1">
            <a:latin typeface="+mn-lt"/>
            <a:cs typeface="Arial"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543E-F02D-4F44-82CC-B5F94814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198</Pages>
  <Words>233246</Words>
  <Characters>132951</Characters>
  <Application>Microsoft Office Word</Application>
  <DocSecurity>0</DocSecurity>
  <Lines>1107</Lines>
  <Paragraphs>730</Paragraphs>
  <ScaleCrop>false</ScaleCrop>
  <HeadingPairs>
    <vt:vector size="2" baseType="variant">
      <vt:variant>
        <vt:lpstr>Title</vt:lpstr>
      </vt:variant>
      <vt:variant>
        <vt:i4>1</vt:i4>
      </vt:variant>
    </vt:vector>
  </HeadingPairs>
  <TitlesOfParts>
    <vt:vector size="1" baseType="lpstr">
      <vt:lpstr/>
    </vt:vector>
  </TitlesOfParts>
  <Company>Konsorts</Company>
  <LinksUpToDate>false</LinksUpToDate>
  <CharactersWithSpaces>365467</CharactersWithSpaces>
  <SharedDoc>false</SharedDoc>
  <HLinks>
    <vt:vector size="786" baseType="variant">
      <vt:variant>
        <vt:i4>6815804</vt:i4>
      </vt:variant>
      <vt:variant>
        <vt:i4>993</vt:i4>
      </vt:variant>
      <vt:variant>
        <vt:i4>0</vt:i4>
      </vt:variant>
      <vt:variant>
        <vt:i4>5</vt:i4>
      </vt:variant>
      <vt:variant>
        <vt:lpwstr>http://eur-lex.europa.eu/LexUriServ/LexUriServ.do?uri=OJ:L:2011:302:0016:01:LV:HTML</vt:lpwstr>
      </vt:variant>
      <vt:variant>
        <vt:lpwstr/>
      </vt:variant>
      <vt:variant>
        <vt:i4>6750265</vt:i4>
      </vt:variant>
      <vt:variant>
        <vt:i4>990</vt:i4>
      </vt:variant>
      <vt:variant>
        <vt:i4>0</vt:i4>
      </vt:variant>
      <vt:variant>
        <vt:i4>5</vt:i4>
      </vt:variant>
      <vt:variant>
        <vt:lpwstr>http://eur-lex.europa.eu/LexUriServ/LexUriServ.do?uri=OJ:L:2010:084:0001:01:LV:HTML</vt:lpwstr>
      </vt:variant>
      <vt:variant>
        <vt:lpwstr/>
      </vt:variant>
      <vt:variant>
        <vt:i4>6815804</vt:i4>
      </vt:variant>
      <vt:variant>
        <vt:i4>987</vt:i4>
      </vt:variant>
      <vt:variant>
        <vt:i4>0</vt:i4>
      </vt:variant>
      <vt:variant>
        <vt:i4>5</vt:i4>
      </vt:variant>
      <vt:variant>
        <vt:lpwstr>http://eur-lex.europa.eu/LexUriServ/LexUriServ.do?uri=OJ:L:2011:302:0016:01:LV:HTML</vt:lpwstr>
      </vt:variant>
      <vt:variant>
        <vt:lpwstr/>
      </vt:variant>
      <vt:variant>
        <vt:i4>5111888</vt:i4>
      </vt:variant>
      <vt:variant>
        <vt:i4>984</vt:i4>
      </vt:variant>
      <vt:variant>
        <vt:i4>0</vt:i4>
      </vt:variant>
      <vt:variant>
        <vt:i4>5</vt:i4>
      </vt:variant>
      <vt:variant>
        <vt:lpwstr>http://www.likumi.lv/doc.php?id=253451</vt:lpwstr>
      </vt:variant>
      <vt:variant>
        <vt:lpwstr>p48</vt:lpwstr>
      </vt:variant>
      <vt:variant>
        <vt:i4>5111888</vt:i4>
      </vt:variant>
      <vt:variant>
        <vt:i4>981</vt:i4>
      </vt:variant>
      <vt:variant>
        <vt:i4>0</vt:i4>
      </vt:variant>
      <vt:variant>
        <vt:i4>5</vt:i4>
      </vt:variant>
      <vt:variant>
        <vt:lpwstr>http://www.likumi.lv/doc.php?id=253451</vt:lpwstr>
      </vt:variant>
      <vt:variant>
        <vt:lpwstr>p47</vt:lpwstr>
      </vt:variant>
      <vt:variant>
        <vt:i4>5111888</vt:i4>
      </vt:variant>
      <vt:variant>
        <vt:i4>978</vt:i4>
      </vt:variant>
      <vt:variant>
        <vt:i4>0</vt:i4>
      </vt:variant>
      <vt:variant>
        <vt:i4>5</vt:i4>
      </vt:variant>
      <vt:variant>
        <vt:lpwstr>http://www.likumi.lv/doc.php?id=253451</vt:lpwstr>
      </vt:variant>
      <vt:variant>
        <vt:lpwstr>p46</vt:lpwstr>
      </vt:variant>
      <vt:variant>
        <vt:i4>5111888</vt:i4>
      </vt:variant>
      <vt:variant>
        <vt:i4>975</vt:i4>
      </vt:variant>
      <vt:variant>
        <vt:i4>0</vt:i4>
      </vt:variant>
      <vt:variant>
        <vt:i4>5</vt:i4>
      </vt:variant>
      <vt:variant>
        <vt:lpwstr>http://www.likumi.lv/doc.php?id=253451</vt:lpwstr>
      </vt:variant>
      <vt:variant>
        <vt:lpwstr>p45</vt:lpwstr>
      </vt:variant>
      <vt:variant>
        <vt:i4>5111888</vt:i4>
      </vt:variant>
      <vt:variant>
        <vt:i4>972</vt:i4>
      </vt:variant>
      <vt:variant>
        <vt:i4>0</vt:i4>
      </vt:variant>
      <vt:variant>
        <vt:i4>5</vt:i4>
      </vt:variant>
      <vt:variant>
        <vt:lpwstr>http://www.likumi.lv/doc.php?id=253451</vt:lpwstr>
      </vt:variant>
      <vt:variant>
        <vt:lpwstr>p44</vt:lpwstr>
      </vt:variant>
      <vt:variant>
        <vt:i4>5111888</vt:i4>
      </vt:variant>
      <vt:variant>
        <vt:i4>969</vt:i4>
      </vt:variant>
      <vt:variant>
        <vt:i4>0</vt:i4>
      </vt:variant>
      <vt:variant>
        <vt:i4>5</vt:i4>
      </vt:variant>
      <vt:variant>
        <vt:lpwstr>http://www.likumi.lv/doc.php?id=253451</vt:lpwstr>
      </vt:variant>
      <vt:variant>
        <vt:lpwstr>p43</vt:lpwstr>
      </vt:variant>
      <vt:variant>
        <vt:i4>5111888</vt:i4>
      </vt:variant>
      <vt:variant>
        <vt:i4>966</vt:i4>
      </vt:variant>
      <vt:variant>
        <vt:i4>0</vt:i4>
      </vt:variant>
      <vt:variant>
        <vt:i4>5</vt:i4>
      </vt:variant>
      <vt:variant>
        <vt:lpwstr>http://www.likumi.lv/doc.php?id=253451</vt:lpwstr>
      </vt:variant>
      <vt:variant>
        <vt:lpwstr>p48</vt:lpwstr>
      </vt:variant>
      <vt:variant>
        <vt:i4>5111888</vt:i4>
      </vt:variant>
      <vt:variant>
        <vt:i4>963</vt:i4>
      </vt:variant>
      <vt:variant>
        <vt:i4>0</vt:i4>
      </vt:variant>
      <vt:variant>
        <vt:i4>5</vt:i4>
      </vt:variant>
      <vt:variant>
        <vt:lpwstr>http://www.likumi.lv/doc.php?id=253451</vt:lpwstr>
      </vt:variant>
      <vt:variant>
        <vt:lpwstr>p47</vt:lpwstr>
      </vt:variant>
      <vt:variant>
        <vt:i4>5111888</vt:i4>
      </vt:variant>
      <vt:variant>
        <vt:i4>960</vt:i4>
      </vt:variant>
      <vt:variant>
        <vt:i4>0</vt:i4>
      </vt:variant>
      <vt:variant>
        <vt:i4>5</vt:i4>
      </vt:variant>
      <vt:variant>
        <vt:lpwstr>http://www.likumi.lv/doc.php?id=253451</vt:lpwstr>
      </vt:variant>
      <vt:variant>
        <vt:lpwstr>p46</vt:lpwstr>
      </vt:variant>
      <vt:variant>
        <vt:i4>5111888</vt:i4>
      </vt:variant>
      <vt:variant>
        <vt:i4>957</vt:i4>
      </vt:variant>
      <vt:variant>
        <vt:i4>0</vt:i4>
      </vt:variant>
      <vt:variant>
        <vt:i4>5</vt:i4>
      </vt:variant>
      <vt:variant>
        <vt:lpwstr>http://www.likumi.lv/doc.php?id=253451</vt:lpwstr>
      </vt:variant>
      <vt:variant>
        <vt:lpwstr>p45</vt:lpwstr>
      </vt:variant>
      <vt:variant>
        <vt:i4>5111888</vt:i4>
      </vt:variant>
      <vt:variant>
        <vt:i4>954</vt:i4>
      </vt:variant>
      <vt:variant>
        <vt:i4>0</vt:i4>
      </vt:variant>
      <vt:variant>
        <vt:i4>5</vt:i4>
      </vt:variant>
      <vt:variant>
        <vt:lpwstr>http://www.likumi.lv/doc.php?id=253451</vt:lpwstr>
      </vt:variant>
      <vt:variant>
        <vt:lpwstr>p44</vt:lpwstr>
      </vt:variant>
      <vt:variant>
        <vt:i4>5111888</vt:i4>
      </vt:variant>
      <vt:variant>
        <vt:i4>951</vt:i4>
      </vt:variant>
      <vt:variant>
        <vt:i4>0</vt:i4>
      </vt:variant>
      <vt:variant>
        <vt:i4>5</vt:i4>
      </vt:variant>
      <vt:variant>
        <vt:lpwstr>http://www.likumi.lv/doc.php?id=253451</vt:lpwstr>
      </vt:variant>
      <vt:variant>
        <vt:lpwstr>p43</vt:lpwstr>
      </vt:variant>
      <vt:variant>
        <vt:i4>2293887</vt:i4>
      </vt:variant>
      <vt:variant>
        <vt:i4>948</vt:i4>
      </vt:variant>
      <vt:variant>
        <vt:i4>0</vt:i4>
      </vt:variant>
      <vt:variant>
        <vt:i4>5</vt:i4>
      </vt:variant>
      <vt:variant>
        <vt:lpwstr>http://eur-lex.europa.eu/LexUriServ/LexUriServ.do?uri=CELEX:31987R2658:LV:HTML</vt:lpwstr>
      </vt:variant>
      <vt:variant>
        <vt:lpwstr/>
      </vt:variant>
      <vt:variant>
        <vt:i4>5111888</vt:i4>
      </vt:variant>
      <vt:variant>
        <vt:i4>945</vt:i4>
      </vt:variant>
      <vt:variant>
        <vt:i4>0</vt:i4>
      </vt:variant>
      <vt:variant>
        <vt:i4>5</vt:i4>
      </vt:variant>
      <vt:variant>
        <vt:lpwstr>http://www.likumi.lv/doc.php?id=253451</vt:lpwstr>
      </vt:variant>
      <vt:variant>
        <vt:lpwstr>p48</vt:lpwstr>
      </vt:variant>
      <vt:variant>
        <vt:i4>5111888</vt:i4>
      </vt:variant>
      <vt:variant>
        <vt:i4>942</vt:i4>
      </vt:variant>
      <vt:variant>
        <vt:i4>0</vt:i4>
      </vt:variant>
      <vt:variant>
        <vt:i4>5</vt:i4>
      </vt:variant>
      <vt:variant>
        <vt:lpwstr>http://www.likumi.lv/doc.php?id=253451</vt:lpwstr>
      </vt:variant>
      <vt:variant>
        <vt:lpwstr>p47</vt:lpwstr>
      </vt:variant>
      <vt:variant>
        <vt:i4>5111888</vt:i4>
      </vt:variant>
      <vt:variant>
        <vt:i4>939</vt:i4>
      </vt:variant>
      <vt:variant>
        <vt:i4>0</vt:i4>
      </vt:variant>
      <vt:variant>
        <vt:i4>5</vt:i4>
      </vt:variant>
      <vt:variant>
        <vt:lpwstr>http://www.likumi.lv/doc.php?id=253451</vt:lpwstr>
      </vt:variant>
      <vt:variant>
        <vt:lpwstr>p46</vt:lpwstr>
      </vt:variant>
      <vt:variant>
        <vt:i4>5111888</vt:i4>
      </vt:variant>
      <vt:variant>
        <vt:i4>936</vt:i4>
      </vt:variant>
      <vt:variant>
        <vt:i4>0</vt:i4>
      </vt:variant>
      <vt:variant>
        <vt:i4>5</vt:i4>
      </vt:variant>
      <vt:variant>
        <vt:lpwstr>http://www.likumi.lv/doc.php?id=253451</vt:lpwstr>
      </vt:variant>
      <vt:variant>
        <vt:lpwstr>p45</vt:lpwstr>
      </vt:variant>
      <vt:variant>
        <vt:i4>5111888</vt:i4>
      </vt:variant>
      <vt:variant>
        <vt:i4>933</vt:i4>
      </vt:variant>
      <vt:variant>
        <vt:i4>0</vt:i4>
      </vt:variant>
      <vt:variant>
        <vt:i4>5</vt:i4>
      </vt:variant>
      <vt:variant>
        <vt:lpwstr>http://www.likumi.lv/doc.php?id=253451</vt:lpwstr>
      </vt:variant>
      <vt:variant>
        <vt:lpwstr>p44</vt:lpwstr>
      </vt:variant>
      <vt:variant>
        <vt:i4>5111888</vt:i4>
      </vt:variant>
      <vt:variant>
        <vt:i4>930</vt:i4>
      </vt:variant>
      <vt:variant>
        <vt:i4>0</vt:i4>
      </vt:variant>
      <vt:variant>
        <vt:i4>5</vt:i4>
      </vt:variant>
      <vt:variant>
        <vt:lpwstr>http://www.likumi.lv/doc.php?id=253451</vt:lpwstr>
      </vt:variant>
      <vt:variant>
        <vt:lpwstr>p43</vt:lpwstr>
      </vt:variant>
      <vt:variant>
        <vt:i4>4784208</vt:i4>
      </vt:variant>
      <vt:variant>
        <vt:i4>927</vt:i4>
      </vt:variant>
      <vt:variant>
        <vt:i4>0</vt:i4>
      </vt:variant>
      <vt:variant>
        <vt:i4>5</vt:i4>
      </vt:variant>
      <vt:variant>
        <vt:lpwstr>http://www.likumi.lv/doc.php?id=253451</vt:lpwstr>
      </vt:variant>
      <vt:variant>
        <vt:lpwstr>p36</vt:lpwstr>
      </vt:variant>
      <vt:variant>
        <vt:i4>5111888</vt:i4>
      </vt:variant>
      <vt:variant>
        <vt:i4>924</vt:i4>
      </vt:variant>
      <vt:variant>
        <vt:i4>0</vt:i4>
      </vt:variant>
      <vt:variant>
        <vt:i4>5</vt:i4>
      </vt:variant>
      <vt:variant>
        <vt:lpwstr>http://www.likumi.lv/doc.php?id=253451</vt:lpwstr>
      </vt:variant>
      <vt:variant>
        <vt:lpwstr>p45</vt:lpwstr>
      </vt:variant>
      <vt:variant>
        <vt:i4>5111888</vt:i4>
      </vt:variant>
      <vt:variant>
        <vt:i4>921</vt:i4>
      </vt:variant>
      <vt:variant>
        <vt:i4>0</vt:i4>
      </vt:variant>
      <vt:variant>
        <vt:i4>5</vt:i4>
      </vt:variant>
      <vt:variant>
        <vt:lpwstr>http://www.likumi.lv/doc.php?id=253451</vt:lpwstr>
      </vt:variant>
      <vt:variant>
        <vt:lpwstr>p48</vt:lpwstr>
      </vt:variant>
      <vt:variant>
        <vt:i4>5111888</vt:i4>
      </vt:variant>
      <vt:variant>
        <vt:i4>918</vt:i4>
      </vt:variant>
      <vt:variant>
        <vt:i4>0</vt:i4>
      </vt:variant>
      <vt:variant>
        <vt:i4>5</vt:i4>
      </vt:variant>
      <vt:variant>
        <vt:lpwstr>http://www.likumi.lv/doc.php?id=253451</vt:lpwstr>
      </vt:variant>
      <vt:variant>
        <vt:lpwstr>p47</vt:lpwstr>
      </vt:variant>
      <vt:variant>
        <vt:i4>5111888</vt:i4>
      </vt:variant>
      <vt:variant>
        <vt:i4>915</vt:i4>
      </vt:variant>
      <vt:variant>
        <vt:i4>0</vt:i4>
      </vt:variant>
      <vt:variant>
        <vt:i4>5</vt:i4>
      </vt:variant>
      <vt:variant>
        <vt:lpwstr>http://www.likumi.lv/doc.php?id=253451</vt:lpwstr>
      </vt:variant>
      <vt:variant>
        <vt:lpwstr>p46</vt:lpwstr>
      </vt:variant>
      <vt:variant>
        <vt:i4>5111888</vt:i4>
      </vt:variant>
      <vt:variant>
        <vt:i4>912</vt:i4>
      </vt:variant>
      <vt:variant>
        <vt:i4>0</vt:i4>
      </vt:variant>
      <vt:variant>
        <vt:i4>5</vt:i4>
      </vt:variant>
      <vt:variant>
        <vt:lpwstr>http://www.likumi.lv/doc.php?id=253451</vt:lpwstr>
      </vt:variant>
      <vt:variant>
        <vt:lpwstr>p45</vt:lpwstr>
      </vt:variant>
      <vt:variant>
        <vt:i4>5111888</vt:i4>
      </vt:variant>
      <vt:variant>
        <vt:i4>909</vt:i4>
      </vt:variant>
      <vt:variant>
        <vt:i4>0</vt:i4>
      </vt:variant>
      <vt:variant>
        <vt:i4>5</vt:i4>
      </vt:variant>
      <vt:variant>
        <vt:lpwstr>http://www.likumi.lv/doc.php?id=253451</vt:lpwstr>
      </vt:variant>
      <vt:variant>
        <vt:lpwstr>p44</vt:lpwstr>
      </vt:variant>
      <vt:variant>
        <vt:i4>5111888</vt:i4>
      </vt:variant>
      <vt:variant>
        <vt:i4>906</vt:i4>
      </vt:variant>
      <vt:variant>
        <vt:i4>0</vt:i4>
      </vt:variant>
      <vt:variant>
        <vt:i4>5</vt:i4>
      </vt:variant>
      <vt:variant>
        <vt:lpwstr>http://www.likumi.lv/doc.php?id=253451</vt:lpwstr>
      </vt:variant>
      <vt:variant>
        <vt:lpwstr>p43</vt:lpwstr>
      </vt:variant>
      <vt:variant>
        <vt:i4>5111888</vt:i4>
      </vt:variant>
      <vt:variant>
        <vt:i4>903</vt:i4>
      </vt:variant>
      <vt:variant>
        <vt:i4>0</vt:i4>
      </vt:variant>
      <vt:variant>
        <vt:i4>5</vt:i4>
      </vt:variant>
      <vt:variant>
        <vt:lpwstr>http://www.likumi.lv/doc.php?id=253451</vt:lpwstr>
      </vt:variant>
      <vt:variant>
        <vt:lpwstr>p48</vt:lpwstr>
      </vt:variant>
      <vt:variant>
        <vt:i4>5111888</vt:i4>
      </vt:variant>
      <vt:variant>
        <vt:i4>900</vt:i4>
      </vt:variant>
      <vt:variant>
        <vt:i4>0</vt:i4>
      </vt:variant>
      <vt:variant>
        <vt:i4>5</vt:i4>
      </vt:variant>
      <vt:variant>
        <vt:lpwstr>http://www.likumi.lv/doc.php?id=253451</vt:lpwstr>
      </vt:variant>
      <vt:variant>
        <vt:lpwstr>p47</vt:lpwstr>
      </vt:variant>
      <vt:variant>
        <vt:i4>5111888</vt:i4>
      </vt:variant>
      <vt:variant>
        <vt:i4>897</vt:i4>
      </vt:variant>
      <vt:variant>
        <vt:i4>0</vt:i4>
      </vt:variant>
      <vt:variant>
        <vt:i4>5</vt:i4>
      </vt:variant>
      <vt:variant>
        <vt:lpwstr>http://www.likumi.lv/doc.php?id=253451</vt:lpwstr>
      </vt:variant>
      <vt:variant>
        <vt:lpwstr>p46</vt:lpwstr>
      </vt:variant>
      <vt:variant>
        <vt:i4>5111888</vt:i4>
      </vt:variant>
      <vt:variant>
        <vt:i4>894</vt:i4>
      </vt:variant>
      <vt:variant>
        <vt:i4>0</vt:i4>
      </vt:variant>
      <vt:variant>
        <vt:i4>5</vt:i4>
      </vt:variant>
      <vt:variant>
        <vt:lpwstr>http://www.likumi.lv/doc.php?id=253451</vt:lpwstr>
      </vt:variant>
      <vt:variant>
        <vt:lpwstr>p45</vt:lpwstr>
      </vt:variant>
      <vt:variant>
        <vt:i4>5111888</vt:i4>
      </vt:variant>
      <vt:variant>
        <vt:i4>891</vt:i4>
      </vt:variant>
      <vt:variant>
        <vt:i4>0</vt:i4>
      </vt:variant>
      <vt:variant>
        <vt:i4>5</vt:i4>
      </vt:variant>
      <vt:variant>
        <vt:lpwstr>http://www.likumi.lv/doc.php?id=253451</vt:lpwstr>
      </vt:variant>
      <vt:variant>
        <vt:lpwstr>p44</vt:lpwstr>
      </vt:variant>
      <vt:variant>
        <vt:i4>5111888</vt:i4>
      </vt:variant>
      <vt:variant>
        <vt:i4>888</vt:i4>
      </vt:variant>
      <vt:variant>
        <vt:i4>0</vt:i4>
      </vt:variant>
      <vt:variant>
        <vt:i4>5</vt:i4>
      </vt:variant>
      <vt:variant>
        <vt:lpwstr>http://www.likumi.lv/doc.php?id=253451</vt:lpwstr>
      </vt:variant>
      <vt:variant>
        <vt:lpwstr>p43</vt:lpwstr>
      </vt:variant>
      <vt:variant>
        <vt:i4>5111888</vt:i4>
      </vt:variant>
      <vt:variant>
        <vt:i4>885</vt:i4>
      </vt:variant>
      <vt:variant>
        <vt:i4>0</vt:i4>
      </vt:variant>
      <vt:variant>
        <vt:i4>5</vt:i4>
      </vt:variant>
      <vt:variant>
        <vt:lpwstr>http://www.likumi.lv/doc.php?id=253451</vt:lpwstr>
      </vt:variant>
      <vt:variant>
        <vt:lpwstr>p48</vt:lpwstr>
      </vt:variant>
      <vt:variant>
        <vt:i4>5111888</vt:i4>
      </vt:variant>
      <vt:variant>
        <vt:i4>882</vt:i4>
      </vt:variant>
      <vt:variant>
        <vt:i4>0</vt:i4>
      </vt:variant>
      <vt:variant>
        <vt:i4>5</vt:i4>
      </vt:variant>
      <vt:variant>
        <vt:lpwstr>http://www.likumi.lv/doc.php?id=253451</vt:lpwstr>
      </vt:variant>
      <vt:variant>
        <vt:lpwstr>p47</vt:lpwstr>
      </vt:variant>
      <vt:variant>
        <vt:i4>5111888</vt:i4>
      </vt:variant>
      <vt:variant>
        <vt:i4>879</vt:i4>
      </vt:variant>
      <vt:variant>
        <vt:i4>0</vt:i4>
      </vt:variant>
      <vt:variant>
        <vt:i4>5</vt:i4>
      </vt:variant>
      <vt:variant>
        <vt:lpwstr>http://www.likumi.lv/doc.php?id=253451</vt:lpwstr>
      </vt:variant>
      <vt:variant>
        <vt:lpwstr>p46</vt:lpwstr>
      </vt:variant>
      <vt:variant>
        <vt:i4>5111888</vt:i4>
      </vt:variant>
      <vt:variant>
        <vt:i4>876</vt:i4>
      </vt:variant>
      <vt:variant>
        <vt:i4>0</vt:i4>
      </vt:variant>
      <vt:variant>
        <vt:i4>5</vt:i4>
      </vt:variant>
      <vt:variant>
        <vt:lpwstr>http://www.likumi.lv/doc.php?id=253451</vt:lpwstr>
      </vt:variant>
      <vt:variant>
        <vt:lpwstr>p45</vt:lpwstr>
      </vt:variant>
      <vt:variant>
        <vt:i4>5111888</vt:i4>
      </vt:variant>
      <vt:variant>
        <vt:i4>873</vt:i4>
      </vt:variant>
      <vt:variant>
        <vt:i4>0</vt:i4>
      </vt:variant>
      <vt:variant>
        <vt:i4>5</vt:i4>
      </vt:variant>
      <vt:variant>
        <vt:lpwstr>http://www.likumi.lv/doc.php?id=253451</vt:lpwstr>
      </vt:variant>
      <vt:variant>
        <vt:lpwstr>p44</vt:lpwstr>
      </vt:variant>
      <vt:variant>
        <vt:i4>5111888</vt:i4>
      </vt:variant>
      <vt:variant>
        <vt:i4>870</vt:i4>
      </vt:variant>
      <vt:variant>
        <vt:i4>0</vt:i4>
      </vt:variant>
      <vt:variant>
        <vt:i4>5</vt:i4>
      </vt:variant>
      <vt:variant>
        <vt:lpwstr>http://www.likumi.lv/doc.php?id=253451</vt:lpwstr>
      </vt:variant>
      <vt:variant>
        <vt:lpwstr>p43</vt:lpwstr>
      </vt:variant>
      <vt:variant>
        <vt:i4>4915280</vt:i4>
      </vt:variant>
      <vt:variant>
        <vt:i4>867</vt:i4>
      </vt:variant>
      <vt:variant>
        <vt:i4>0</vt:i4>
      </vt:variant>
      <vt:variant>
        <vt:i4>5</vt:i4>
      </vt:variant>
      <vt:variant>
        <vt:lpwstr>http://www.likumi.lv/doc.php?id=253451</vt:lpwstr>
      </vt:variant>
      <vt:variant>
        <vt:lpwstr>p16</vt:lpwstr>
      </vt:variant>
      <vt:variant>
        <vt:i4>5111888</vt:i4>
      </vt:variant>
      <vt:variant>
        <vt:i4>864</vt:i4>
      </vt:variant>
      <vt:variant>
        <vt:i4>0</vt:i4>
      </vt:variant>
      <vt:variant>
        <vt:i4>5</vt:i4>
      </vt:variant>
      <vt:variant>
        <vt:lpwstr>http://www.likumi.lv/doc.php?id=253451</vt:lpwstr>
      </vt:variant>
      <vt:variant>
        <vt:lpwstr>p48</vt:lpwstr>
      </vt:variant>
      <vt:variant>
        <vt:i4>5111888</vt:i4>
      </vt:variant>
      <vt:variant>
        <vt:i4>861</vt:i4>
      </vt:variant>
      <vt:variant>
        <vt:i4>0</vt:i4>
      </vt:variant>
      <vt:variant>
        <vt:i4>5</vt:i4>
      </vt:variant>
      <vt:variant>
        <vt:lpwstr>http://www.likumi.lv/doc.php?id=253451</vt:lpwstr>
      </vt:variant>
      <vt:variant>
        <vt:lpwstr>p47</vt:lpwstr>
      </vt:variant>
      <vt:variant>
        <vt:i4>5111888</vt:i4>
      </vt:variant>
      <vt:variant>
        <vt:i4>858</vt:i4>
      </vt:variant>
      <vt:variant>
        <vt:i4>0</vt:i4>
      </vt:variant>
      <vt:variant>
        <vt:i4>5</vt:i4>
      </vt:variant>
      <vt:variant>
        <vt:lpwstr>http://www.likumi.lv/doc.php?id=253451</vt:lpwstr>
      </vt:variant>
      <vt:variant>
        <vt:lpwstr>p46</vt:lpwstr>
      </vt:variant>
      <vt:variant>
        <vt:i4>5111888</vt:i4>
      </vt:variant>
      <vt:variant>
        <vt:i4>855</vt:i4>
      </vt:variant>
      <vt:variant>
        <vt:i4>0</vt:i4>
      </vt:variant>
      <vt:variant>
        <vt:i4>5</vt:i4>
      </vt:variant>
      <vt:variant>
        <vt:lpwstr>http://www.likumi.lv/doc.php?id=253451</vt:lpwstr>
      </vt:variant>
      <vt:variant>
        <vt:lpwstr>p45</vt:lpwstr>
      </vt:variant>
      <vt:variant>
        <vt:i4>5111888</vt:i4>
      </vt:variant>
      <vt:variant>
        <vt:i4>852</vt:i4>
      </vt:variant>
      <vt:variant>
        <vt:i4>0</vt:i4>
      </vt:variant>
      <vt:variant>
        <vt:i4>5</vt:i4>
      </vt:variant>
      <vt:variant>
        <vt:lpwstr>http://www.likumi.lv/doc.php?id=253451</vt:lpwstr>
      </vt:variant>
      <vt:variant>
        <vt:lpwstr>p44</vt:lpwstr>
      </vt:variant>
      <vt:variant>
        <vt:i4>5111888</vt:i4>
      </vt:variant>
      <vt:variant>
        <vt:i4>849</vt:i4>
      </vt:variant>
      <vt:variant>
        <vt:i4>0</vt:i4>
      </vt:variant>
      <vt:variant>
        <vt:i4>5</vt:i4>
      </vt:variant>
      <vt:variant>
        <vt:lpwstr>http://www.likumi.lv/doc.php?id=253451</vt:lpwstr>
      </vt:variant>
      <vt:variant>
        <vt:lpwstr>p43</vt:lpwstr>
      </vt:variant>
      <vt:variant>
        <vt:i4>4915280</vt:i4>
      </vt:variant>
      <vt:variant>
        <vt:i4>846</vt:i4>
      </vt:variant>
      <vt:variant>
        <vt:i4>0</vt:i4>
      </vt:variant>
      <vt:variant>
        <vt:i4>5</vt:i4>
      </vt:variant>
      <vt:variant>
        <vt:lpwstr>http://www.likumi.lv/doc.php?id=253451</vt:lpwstr>
      </vt:variant>
      <vt:variant>
        <vt:lpwstr>p16</vt:lpwstr>
      </vt:variant>
      <vt:variant>
        <vt:i4>6684728</vt:i4>
      </vt:variant>
      <vt:variant>
        <vt:i4>843</vt:i4>
      </vt:variant>
      <vt:variant>
        <vt:i4>0</vt:i4>
      </vt:variant>
      <vt:variant>
        <vt:i4>5</vt:i4>
      </vt:variant>
      <vt:variant>
        <vt:lpwstr>http://eur-lex.europa.eu/LexUriServ/LexUriServ.do?uri=OJ:L:2006:302:0029:01:LV:HTML</vt:lpwstr>
      </vt:variant>
      <vt:variant>
        <vt:lpwstr/>
      </vt:variant>
      <vt:variant>
        <vt:i4>6684728</vt:i4>
      </vt:variant>
      <vt:variant>
        <vt:i4>840</vt:i4>
      </vt:variant>
      <vt:variant>
        <vt:i4>0</vt:i4>
      </vt:variant>
      <vt:variant>
        <vt:i4>5</vt:i4>
      </vt:variant>
      <vt:variant>
        <vt:lpwstr>http://eur-lex.europa.eu/LexUriServ/LexUriServ.do?uri=OJ:L:2006:302:0029:01:LV:HTML</vt:lpwstr>
      </vt:variant>
      <vt:variant>
        <vt:lpwstr/>
      </vt:variant>
      <vt:variant>
        <vt:i4>7929955</vt:i4>
      </vt:variant>
      <vt:variant>
        <vt:i4>837</vt:i4>
      </vt:variant>
      <vt:variant>
        <vt:i4>0</vt:i4>
      </vt:variant>
      <vt:variant>
        <vt:i4>5</vt:i4>
      </vt:variant>
      <vt:variant>
        <vt:lpwstr>http://www.likumi.lv/doc.php?id=33419</vt:lpwstr>
      </vt:variant>
      <vt:variant>
        <vt:lpwstr>p1</vt:lpwstr>
      </vt:variant>
      <vt:variant>
        <vt:i4>4194312</vt:i4>
      </vt:variant>
      <vt:variant>
        <vt:i4>834</vt:i4>
      </vt:variant>
      <vt:variant>
        <vt:i4>0</vt:i4>
      </vt:variant>
      <vt:variant>
        <vt:i4>5</vt:i4>
      </vt:variant>
      <vt:variant>
        <vt:lpwstr>http://www.likumi.lv/doc.php?id=33419&amp;from=off</vt:lpwstr>
      </vt:variant>
      <vt:variant>
        <vt:lpwstr>p8</vt:lpwstr>
      </vt:variant>
      <vt:variant>
        <vt:i4>5111816</vt:i4>
      </vt:variant>
      <vt:variant>
        <vt:i4>831</vt:i4>
      </vt:variant>
      <vt:variant>
        <vt:i4>0</vt:i4>
      </vt:variant>
      <vt:variant>
        <vt:i4>5</vt:i4>
      </vt:variant>
      <vt:variant>
        <vt:lpwstr>http://www.likumi.lv/doc.php?id=33419&amp;from=off</vt:lpwstr>
      </vt:variant>
      <vt:variant>
        <vt:lpwstr>p6</vt:lpwstr>
      </vt:variant>
      <vt:variant>
        <vt:i4>5177352</vt:i4>
      </vt:variant>
      <vt:variant>
        <vt:i4>828</vt:i4>
      </vt:variant>
      <vt:variant>
        <vt:i4>0</vt:i4>
      </vt:variant>
      <vt:variant>
        <vt:i4>5</vt:i4>
      </vt:variant>
      <vt:variant>
        <vt:lpwstr>http://www.likumi.lv/doc.php?id=33419&amp;from=off</vt:lpwstr>
      </vt:variant>
      <vt:variant>
        <vt:lpwstr>p7</vt:lpwstr>
      </vt:variant>
      <vt:variant>
        <vt:i4>4784136</vt:i4>
      </vt:variant>
      <vt:variant>
        <vt:i4>825</vt:i4>
      </vt:variant>
      <vt:variant>
        <vt:i4>0</vt:i4>
      </vt:variant>
      <vt:variant>
        <vt:i4>5</vt:i4>
      </vt:variant>
      <vt:variant>
        <vt:lpwstr>http://www.likumi.lv/doc.php?id=33419&amp;from=off</vt:lpwstr>
      </vt:variant>
      <vt:variant>
        <vt:lpwstr>p10</vt:lpwstr>
      </vt:variant>
      <vt:variant>
        <vt:i4>5111816</vt:i4>
      </vt:variant>
      <vt:variant>
        <vt:i4>822</vt:i4>
      </vt:variant>
      <vt:variant>
        <vt:i4>0</vt:i4>
      </vt:variant>
      <vt:variant>
        <vt:i4>5</vt:i4>
      </vt:variant>
      <vt:variant>
        <vt:lpwstr>http://www.likumi.lv/doc.php?id=33419&amp;from=off</vt:lpwstr>
      </vt:variant>
      <vt:variant>
        <vt:lpwstr>p6</vt:lpwstr>
      </vt:variant>
      <vt:variant>
        <vt:i4>4194312</vt:i4>
      </vt:variant>
      <vt:variant>
        <vt:i4>819</vt:i4>
      </vt:variant>
      <vt:variant>
        <vt:i4>0</vt:i4>
      </vt:variant>
      <vt:variant>
        <vt:i4>5</vt:i4>
      </vt:variant>
      <vt:variant>
        <vt:lpwstr>http://www.likumi.lv/doc.php?id=33419&amp;from=off</vt:lpwstr>
      </vt:variant>
      <vt:variant>
        <vt:lpwstr>p8</vt:lpwstr>
      </vt:variant>
      <vt:variant>
        <vt:i4>5111816</vt:i4>
      </vt:variant>
      <vt:variant>
        <vt:i4>816</vt:i4>
      </vt:variant>
      <vt:variant>
        <vt:i4>0</vt:i4>
      </vt:variant>
      <vt:variant>
        <vt:i4>5</vt:i4>
      </vt:variant>
      <vt:variant>
        <vt:lpwstr>http://www.likumi.lv/doc.php?id=33419&amp;from=off</vt:lpwstr>
      </vt:variant>
      <vt:variant>
        <vt:lpwstr>p6</vt:lpwstr>
      </vt:variant>
      <vt:variant>
        <vt:i4>4784136</vt:i4>
      </vt:variant>
      <vt:variant>
        <vt:i4>813</vt:i4>
      </vt:variant>
      <vt:variant>
        <vt:i4>0</vt:i4>
      </vt:variant>
      <vt:variant>
        <vt:i4>5</vt:i4>
      </vt:variant>
      <vt:variant>
        <vt:lpwstr>http://www.likumi.lv/doc.php?id=33419&amp;from=off</vt:lpwstr>
      </vt:variant>
      <vt:variant>
        <vt:lpwstr>p11</vt:lpwstr>
      </vt:variant>
      <vt:variant>
        <vt:i4>4784136</vt:i4>
      </vt:variant>
      <vt:variant>
        <vt:i4>810</vt:i4>
      </vt:variant>
      <vt:variant>
        <vt:i4>0</vt:i4>
      </vt:variant>
      <vt:variant>
        <vt:i4>5</vt:i4>
      </vt:variant>
      <vt:variant>
        <vt:lpwstr>http://www.likumi.lv/doc.php?id=33419&amp;from=off</vt:lpwstr>
      </vt:variant>
      <vt:variant>
        <vt:lpwstr>p10</vt:lpwstr>
      </vt:variant>
      <vt:variant>
        <vt:i4>5177352</vt:i4>
      </vt:variant>
      <vt:variant>
        <vt:i4>807</vt:i4>
      </vt:variant>
      <vt:variant>
        <vt:i4>0</vt:i4>
      </vt:variant>
      <vt:variant>
        <vt:i4>5</vt:i4>
      </vt:variant>
      <vt:variant>
        <vt:lpwstr>http://www.likumi.lv/doc.php?id=33419&amp;from=off</vt:lpwstr>
      </vt:variant>
      <vt:variant>
        <vt:lpwstr>p7</vt:lpwstr>
      </vt:variant>
      <vt:variant>
        <vt:i4>5111816</vt:i4>
      </vt:variant>
      <vt:variant>
        <vt:i4>804</vt:i4>
      </vt:variant>
      <vt:variant>
        <vt:i4>0</vt:i4>
      </vt:variant>
      <vt:variant>
        <vt:i4>5</vt:i4>
      </vt:variant>
      <vt:variant>
        <vt:lpwstr>http://www.likumi.lv/doc.php?id=33419&amp;from=off</vt:lpwstr>
      </vt:variant>
      <vt:variant>
        <vt:lpwstr>p6</vt:lpwstr>
      </vt:variant>
      <vt:variant>
        <vt:i4>6684728</vt:i4>
      </vt:variant>
      <vt:variant>
        <vt:i4>801</vt:i4>
      </vt:variant>
      <vt:variant>
        <vt:i4>0</vt:i4>
      </vt:variant>
      <vt:variant>
        <vt:i4>5</vt:i4>
      </vt:variant>
      <vt:variant>
        <vt:lpwstr>http://eur-lex.europa.eu/LexUriServ/LexUriServ.do?uri=OJ:L:2006:302:0029:01:LV:HTML</vt:lpwstr>
      </vt:variant>
      <vt:variant>
        <vt:lpwstr/>
      </vt:variant>
      <vt:variant>
        <vt:i4>6684728</vt:i4>
      </vt:variant>
      <vt:variant>
        <vt:i4>798</vt:i4>
      </vt:variant>
      <vt:variant>
        <vt:i4>0</vt:i4>
      </vt:variant>
      <vt:variant>
        <vt:i4>5</vt:i4>
      </vt:variant>
      <vt:variant>
        <vt:lpwstr>http://eur-lex.europa.eu/LexUriServ/LexUriServ.do?uri=OJ:L:2006:302:0029:01:LV:HTML</vt:lpwstr>
      </vt:variant>
      <vt:variant>
        <vt:lpwstr/>
      </vt:variant>
      <vt:variant>
        <vt:i4>8192109</vt:i4>
      </vt:variant>
      <vt:variant>
        <vt:i4>795</vt:i4>
      </vt:variant>
      <vt:variant>
        <vt:i4>0</vt:i4>
      </vt:variant>
      <vt:variant>
        <vt:i4>5</vt:i4>
      </vt:variant>
      <vt:variant>
        <vt:lpwstr>http://www.likumi.lv/doc.php?id=33419&amp;from=off</vt:lpwstr>
      </vt:variant>
      <vt:variant>
        <vt:lpwstr>piel4</vt:lpwstr>
      </vt:variant>
      <vt:variant>
        <vt:i4>6684728</vt:i4>
      </vt:variant>
      <vt:variant>
        <vt:i4>792</vt:i4>
      </vt:variant>
      <vt:variant>
        <vt:i4>0</vt:i4>
      </vt:variant>
      <vt:variant>
        <vt:i4>5</vt:i4>
      </vt:variant>
      <vt:variant>
        <vt:lpwstr>http://eur-lex.europa.eu/LexUriServ/LexUriServ.do?uri=OJ:L:2006:302:0029:01:LV:HTML</vt:lpwstr>
      </vt:variant>
      <vt:variant>
        <vt:lpwstr/>
      </vt:variant>
      <vt:variant>
        <vt:i4>1310790</vt:i4>
      </vt:variant>
      <vt:variant>
        <vt:i4>789</vt:i4>
      </vt:variant>
      <vt:variant>
        <vt:i4>0</vt:i4>
      </vt:variant>
      <vt:variant>
        <vt:i4>5</vt:i4>
      </vt:variant>
      <vt:variant>
        <vt:lpwstr>http://eur-lex.europa.eu/LexUriServ/LexUriServ.do?uri=CONSLEG:2001R0070:20070101:LV:HTML</vt:lpwstr>
      </vt:variant>
      <vt:variant>
        <vt:lpwstr/>
      </vt:variant>
      <vt:variant>
        <vt:i4>7012408</vt:i4>
      </vt:variant>
      <vt:variant>
        <vt:i4>786</vt:i4>
      </vt:variant>
      <vt:variant>
        <vt:i4>0</vt:i4>
      </vt:variant>
      <vt:variant>
        <vt:i4>5</vt:i4>
      </vt:variant>
      <vt:variant>
        <vt:lpwstr>http://eur-lex.europa.eu/LexUriServ/LexUriServ.do?uri=OJ:L:2004:063:0022:01:LV:HTML</vt:lpwstr>
      </vt:variant>
      <vt:variant>
        <vt:lpwstr/>
      </vt:variant>
      <vt:variant>
        <vt:i4>6684728</vt:i4>
      </vt:variant>
      <vt:variant>
        <vt:i4>783</vt:i4>
      </vt:variant>
      <vt:variant>
        <vt:i4>0</vt:i4>
      </vt:variant>
      <vt:variant>
        <vt:i4>5</vt:i4>
      </vt:variant>
      <vt:variant>
        <vt:lpwstr>http://eur-lex.europa.eu/LexUriServ/LexUriServ.do?uri=OJ:L:2006:302:0029:01:LV:HTML</vt:lpwstr>
      </vt:variant>
      <vt:variant>
        <vt:lpwstr/>
      </vt:variant>
      <vt:variant>
        <vt:i4>1310790</vt:i4>
      </vt:variant>
      <vt:variant>
        <vt:i4>780</vt:i4>
      </vt:variant>
      <vt:variant>
        <vt:i4>0</vt:i4>
      </vt:variant>
      <vt:variant>
        <vt:i4>5</vt:i4>
      </vt:variant>
      <vt:variant>
        <vt:lpwstr>http://eur-lex.europa.eu/LexUriServ/LexUriServ.do?uri=CONSLEG:2001R0070:20070101:LV:HTML</vt:lpwstr>
      </vt:variant>
      <vt:variant>
        <vt:lpwstr/>
      </vt:variant>
      <vt:variant>
        <vt:i4>7012408</vt:i4>
      </vt:variant>
      <vt:variant>
        <vt:i4>777</vt:i4>
      </vt:variant>
      <vt:variant>
        <vt:i4>0</vt:i4>
      </vt:variant>
      <vt:variant>
        <vt:i4>5</vt:i4>
      </vt:variant>
      <vt:variant>
        <vt:lpwstr>http://eur-lex.europa.eu/LexUriServ/LexUriServ.do?uri=OJ:L:2004:063:0022:01:LV:HTML</vt:lpwstr>
      </vt:variant>
      <vt:variant>
        <vt:lpwstr/>
      </vt:variant>
      <vt:variant>
        <vt:i4>6684728</vt:i4>
      </vt:variant>
      <vt:variant>
        <vt:i4>774</vt:i4>
      </vt:variant>
      <vt:variant>
        <vt:i4>0</vt:i4>
      </vt:variant>
      <vt:variant>
        <vt:i4>5</vt:i4>
      </vt:variant>
      <vt:variant>
        <vt:lpwstr>http://eur-lex.europa.eu/LexUriServ/LexUriServ.do?uri=OJ:L:2006:302:0029:01:LV:HTML</vt:lpwstr>
      </vt:variant>
      <vt:variant>
        <vt:lpwstr/>
      </vt:variant>
      <vt:variant>
        <vt:i4>1310790</vt:i4>
      </vt:variant>
      <vt:variant>
        <vt:i4>771</vt:i4>
      </vt:variant>
      <vt:variant>
        <vt:i4>0</vt:i4>
      </vt:variant>
      <vt:variant>
        <vt:i4>5</vt:i4>
      </vt:variant>
      <vt:variant>
        <vt:lpwstr>http://eur-lex.europa.eu/LexUriServ/LexUriServ.do?uri=CONSLEG:2001R0070:20070101:LV:HTML</vt:lpwstr>
      </vt:variant>
      <vt:variant>
        <vt:lpwstr/>
      </vt:variant>
      <vt:variant>
        <vt:i4>7012408</vt:i4>
      </vt:variant>
      <vt:variant>
        <vt:i4>768</vt:i4>
      </vt:variant>
      <vt:variant>
        <vt:i4>0</vt:i4>
      </vt:variant>
      <vt:variant>
        <vt:i4>5</vt:i4>
      </vt:variant>
      <vt:variant>
        <vt:lpwstr>http://eur-lex.europa.eu/LexUriServ/LexUriServ.do?uri=OJ:L:2004:063:0022:01:LV:HTML</vt:lpwstr>
      </vt:variant>
      <vt:variant>
        <vt:lpwstr/>
      </vt:variant>
      <vt:variant>
        <vt:i4>4784136</vt:i4>
      </vt:variant>
      <vt:variant>
        <vt:i4>765</vt:i4>
      </vt:variant>
      <vt:variant>
        <vt:i4>0</vt:i4>
      </vt:variant>
      <vt:variant>
        <vt:i4>5</vt:i4>
      </vt:variant>
      <vt:variant>
        <vt:lpwstr>http://www.likumi.lv/doc.php?id=33419&amp;from=off</vt:lpwstr>
      </vt:variant>
      <vt:variant>
        <vt:lpwstr>p10</vt:lpwstr>
      </vt:variant>
      <vt:variant>
        <vt:i4>4784136</vt:i4>
      </vt:variant>
      <vt:variant>
        <vt:i4>762</vt:i4>
      </vt:variant>
      <vt:variant>
        <vt:i4>0</vt:i4>
      </vt:variant>
      <vt:variant>
        <vt:i4>5</vt:i4>
      </vt:variant>
      <vt:variant>
        <vt:lpwstr>http://www.likumi.lv/doc.php?id=33419&amp;from=off</vt:lpwstr>
      </vt:variant>
      <vt:variant>
        <vt:lpwstr>p10</vt:lpwstr>
      </vt:variant>
      <vt:variant>
        <vt:i4>4915218</vt:i4>
      </vt:variant>
      <vt:variant>
        <vt:i4>759</vt:i4>
      </vt:variant>
      <vt:variant>
        <vt:i4>0</vt:i4>
      </vt:variant>
      <vt:variant>
        <vt:i4>5</vt:i4>
      </vt:variant>
      <vt:variant>
        <vt:lpwstr>http://www.likumi.lv/doc.php?id=61002</vt:lpwstr>
      </vt:variant>
      <vt:variant>
        <vt:lpwstr/>
      </vt:variant>
      <vt:variant>
        <vt:i4>5046302</vt:i4>
      </vt:variant>
      <vt:variant>
        <vt:i4>756</vt:i4>
      </vt:variant>
      <vt:variant>
        <vt:i4>0</vt:i4>
      </vt:variant>
      <vt:variant>
        <vt:i4>5</vt:i4>
      </vt:variant>
      <vt:variant>
        <vt:lpwstr>http://www.likumi.lv/doc.php?id=33946</vt:lpwstr>
      </vt:variant>
      <vt:variant>
        <vt:lpwstr/>
      </vt:variant>
      <vt:variant>
        <vt:i4>7143475</vt:i4>
      </vt:variant>
      <vt:variant>
        <vt:i4>753</vt:i4>
      </vt:variant>
      <vt:variant>
        <vt:i4>0</vt:i4>
      </vt:variant>
      <vt:variant>
        <vt:i4>5</vt:i4>
      </vt:variant>
      <vt:variant>
        <vt:lpwstr>http://eur-lex.europa.eu/LexUriServ/LexUriServ.do?uri=OJ:L:2008:214:0003:01:LV:HTML</vt:lpwstr>
      </vt:variant>
      <vt:variant>
        <vt:lpwstr/>
      </vt:variant>
      <vt:variant>
        <vt:i4>4718611</vt:i4>
      </vt:variant>
      <vt:variant>
        <vt:i4>750</vt:i4>
      </vt:variant>
      <vt:variant>
        <vt:i4>0</vt:i4>
      </vt:variant>
      <vt:variant>
        <vt:i4>5</vt:i4>
      </vt:variant>
      <vt:variant>
        <vt:lpwstr>http://www.likumi.lv/doc.php?id=33419</vt:lpwstr>
      </vt:variant>
      <vt:variant>
        <vt:lpwstr/>
      </vt:variant>
      <vt:variant>
        <vt:i4>7733351</vt:i4>
      </vt:variant>
      <vt:variant>
        <vt:i4>747</vt:i4>
      </vt:variant>
      <vt:variant>
        <vt:i4>0</vt:i4>
      </vt:variant>
      <vt:variant>
        <vt:i4>5</vt:i4>
      </vt:variant>
      <vt:variant>
        <vt:lpwstr>http://www.likumi.lv/doc.php?id=34094</vt:lpwstr>
      </vt:variant>
      <vt:variant>
        <vt:lpwstr>p13</vt:lpwstr>
      </vt:variant>
      <vt:variant>
        <vt:i4>4915218</vt:i4>
      </vt:variant>
      <vt:variant>
        <vt:i4>744</vt:i4>
      </vt:variant>
      <vt:variant>
        <vt:i4>0</vt:i4>
      </vt:variant>
      <vt:variant>
        <vt:i4>5</vt:i4>
      </vt:variant>
      <vt:variant>
        <vt:lpwstr>http://www.likumi.lv/doc.php?id=61002</vt:lpwstr>
      </vt:variant>
      <vt:variant>
        <vt:lpwstr/>
      </vt:variant>
      <vt:variant>
        <vt:i4>1114141</vt:i4>
      </vt:variant>
      <vt:variant>
        <vt:i4>522</vt:i4>
      </vt:variant>
      <vt:variant>
        <vt:i4>0</vt:i4>
      </vt:variant>
      <vt:variant>
        <vt:i4>5</vt:i4>
      </vt:variant>
      <vt:variant>
        <vt:lpwstr>http://ec.europa.eu/enterprise/policies/innovation/facts-figures-analysis/innovation-scoreboard/</vt:lpwstr>
      </vt:variant>
      <vt:variant>
        <vt:lpwstr/>
      </vt:variant>
      <vt:variant>
        <vt:i4>1114141</vt:i4>
      </vt:variant>
      <vt:variant>
        <vt:i4>519</vt:i4>
      </vt:variant>
      <vt:variant>
        <vt:i4>0</vt:i4>
      </vt:variant>
      <vt:variant>
        <vt:i4>5</vt:i4>
      </vt:variant>
      <vt:variant>
        <vt:lpwstr>http://ec.europa.eu/enterprise/policies/innovation/facts-figures-analysis/innovation-scoreboard/</vt:lpwstr>
      </vt:variant>
      <vt:variant>
        <vt:lpwstr/>
      </vt:variant>
      <vt:variant>
        <vt:i4>4915218</vt:i4>
      </vt:variant>
      <vt:variant>
        <vt:i4>516</vt:i4>
      </vt:variant>
      <vt:variant>
        <vt:i4>0</vt:i4>
      </vt:variant>
      <vt:variant>
        <vt:i4>5</vt:i4>
      </vt:variant>
      <vt:variant>
        <vt:lpwstr>http://www.likumi.lv/doc.php?id=61002</vt:lpwstr>
      </vt:variant>
      <vt:variant>
        <vt:lpwstr/>
      </vt:variant>
      <vt:variant>
        <vt:i4>5701726</vt:i4>
      </vt:variant>
      <vt:variant>
        <vt:i4>513</vt:i4>
      </vt:variant>
      <vt:variant>
        <vt:i4>0</vt:i4>
      </vt:variant>
      <vt:variant>
        <vt:i4>5</vt:i4>
      </vt:variant>
      <vt:variant>
        <vt:lpwstr>http://www.ibfd.org/</vt:lpwstr>
      </vt:variant>
      <vt:variant>
        <vt:lpwstr/>
      </vt:variant>
      <vt:variant>
        <vt:i4>196734</vt:i4>
      </vt:variant>
      <vt:variant>
        <vt:i4>126</vt:i4>
      </vt:variant>
      <vt:variant>
        <vt:i4>0</vt:i4>
      </vt:variant>
      <vt:variant>
        <vt:i4>5</vt:i4>
      </vt:variant>
      <vt:variant>
        <vt:lpwstr>http://www.oseo.fr/votre_projet/se_developper/aides_et_financements/financements_bancaires</vt:lpwstr>
      </vt:variant>
      <vt:variant>
        <vt:lpwstr/>
      </vt:variant>
      <vt:variant>
        <vt:i4>7864376</vt:i4>
      </vt:variant>
      <vt:variant>
        <vt:i4>123</vt:i4>
      </vt:variant>
      <vt:variant>
        <vt:i4>0</vt:i4>
      </vt:variant>
      <vt:variant>
        <vt:i4>5</vt:i4>
      </vt:variant>
      <vt:variant>
        <vt:lpwstr>http://www.oseo.fr/votre_projet/se_developper/aides_et_financements/aides</vt:lpwstr>
      </vt:variant>
      <vt:variant>
        <vt:lpwstr/>
      </vt:variant>
      <vt:variant>
        <vt:i4>2883689</vt:i4>
      </vt:variant>
      <vt:variant>
        <vt:i4>120</vt:i4>
      </vt:variant>
      <vt:variant>
        <vt:i4>0</vt:i4>
      </vt:variant>
      <vt:variant>
        <vt:i4>5</vt:i4>
      </vt:variant>
      <vt:variant>
        <vt:lpwstr>http://www.answersforbusiness.nl/subsidies/innovation/research-development</vt:lpwstr>
      </vt:variant>
      <vt:variant>
        <vt:lpwstr/>
      </vt:variant>
      <vt:variant>
        <vt:i4>3670072</vt:i4>
      </vt:variant>
      <vt:variant>
        <vt:i4>117</vt:i4>
      </vt:variant>
      <vt:variant>
        <vt:i4>0</vt:i4>
      </vt:variant>
      <vt:variant>
        <vt:i4>5</vt:i4>
      </vt:variant>
      <vt:variant>
        <vt:lpwstr>http://www.sisp.se/?language=en</vt:lpwstr>
      </vt:variant>
      <vt:variant>
        <vt:lpwstr/>
      </vt:variant>
      <vt:variant>
        <vt:i4>983055</vt:i4>
      </vt:variant>
      <vt:variant>
        <vt:i4>114</vt:i4>
      </vt:variant>
      <vt:variant>
        <vt:i4>0</vt:i4>
      </vt:variant>
      <vt:variant>
        <vt:i4>5</vt:i4>
      </vt:variant>
      <vt:variant>
        <vt:lpwstr>http://www.vinnova.se/en/</vt:lpwstr>
      </vt:variant>
      <vt:variant>
        <vt:lpwstr/>
      </vt:variant>
      <vt:variant>
        <vt:i4>2097237</vt:i4>
      </vt:variant>
      <vt:variant>
        <vt:i4>111</vt:i4>
      </vt:variant>
      <vt:variant>
        <vt:i4>0</vt:i4>
      </vt:variant>
      <vt:variant>
        <vt:i4>5</vt:i4>
      </vt:variant>
      <vt:variant>
        <vt:lpwstr>http://www.investinspain.org/icex/cda/controller/interes/0,5464,5322992_6261692_6278959_0,00.html</vt:lpwstr>
      </vt:variant>
      <vt:variant>
        <vt:lpwstr/>
      </vt:variant>
      <vt:variant>
        <vt:i4>262219</vt:i4>
      </vt:variant>
      <vt:variant>
        <vt:i4>108</vt:i4>
      </vt:variant>
      <vt:variant>
        <vt:i4>0</vt:i4>
      </vt:variant>
      <vt:variant>
        <vt:i4>5</vt:i4>
      </vt:variant>
      <vt:variant>
        <vt:lpwstr>http://www.investingreece.gov.gr/default.asp?pid=180&amp;la=1</vt:lpwstr>
      </vt:variant>
      <vt:variant>
        <vt:lpwstr/>
      </vt:variant>
      <vt:variant>
        <vt:i4>5374021</vt:i4>
      </vt:variant>
      <vt:variant>
        <vt:i4>105</vt:i4>
      </vt:variant>
      <vt:variant>
        <vt:i4>0</vt:i4>
      </vt:variant>
      <vt:variant>
        <vt:i4>5</vt:i4>
      </vt:variant>
      <vt:variant>
        <vt:lpwstr>http://www.investingreece.gov.gr/</vt:lpwstr>
      </vt:variant>
      <vt:variant>
        <vt:lpwstr/>
      </vt:variant>
      <vt:variant>
        <vt:i4>262241</vt:i4>
      </vt:variant>
      <vt:variant>
        <vt:i4>102</vt:i4>
      </vt:variant>
      <vt:variant>
        <vt:i4>0</vt:i4>
      </vt:variant>
      <vt:variant>
        <vt:i4>5</vt:i4>
      </vt:variant>
      <vt:variant>
        <vt:lpwstr>http://books.google.lv/books?id=tcDggX8E9twC&amp;pg=PA256&amp;redir_esc=y</vt:lpwstr>
      </vt:variant>
      <vt:variant>
        <vt:lpwstr>v=onepage&amp;q&amp;f=false</vt:lpwstr>
      </vt:variant>
      <vt:variant>
        <vt:i4>4259950</vt:i4>
      </vt:variant>
      <vt:variant>
        <vt:i4>99</vt:i4>
      </vt:variant>
      <vt:variant>
        <vt:i4>0</vt:i4>
      </vt:variant>
      <vt:variant>
        <vt:i4>5</vt:i4>
      </vt:variant>
      <vt:variant>
        <vt:lpwstr>http://www.mkm.ee/public/Ettevotlustoetuste_loppraport.pdf</vt:lpwstr>
      </vt:variant>
      <vt:variant>
        <vt:lpwstr/>
      </vt:variant>
      <vt:variant>
        <vt:i4>7798821</vt:i4>
      </vt:variant>
      <vt:variant>
        <vt:i4>96</vt:i4>
      </vt:variant>
      <vt:variant>
        <vt:i4>0</vt:i4>
      </vt:variant>
      <vt:variant>
        <vt:i4>5</vt:i4>
      </vt:variant>
      <vt:variant>
        <vt:lpwstr>http://www.practica.lt/</vt:lpwstr>
      </vt:variant>
      <vt:variant>
        <vt:lpwstr/>
      </vt:variant>
      <vt:variant>
        <vt:i4>1900574</vt:i4>
      </vt:variant>
      <vt:variant>
        <vt:i4>93</vt:i4>
      </vt:variant>
      <vt:variant>
        <vt:i4>0</vt:i4>
      </vt:variant>
      <vt:variant>
        <vt:i4>5</vt:i4>
      </vt:variant>
      <vt:variant>
        <vt:lpwstr>http://www.verslilietuva.lt/</vt:lpwstr>
      </vt:variant>
      <vt:variant>
        <vt:lpwstr/>
      </vt:variant>
      <vt:variant>
        <vt:i4>6815796</vt:i4>
      </vt:variant>
      <vt:variant>
        <vt:i4>90</vt:i4>
      </vt:variant>
      <vt:variant>
        <vt:i4>0</vt:i4>
      </vt:variant>
      <vt:variant>
        <vt:i4>5</vt:i4>
      </vt:variant>
      <vt:variant>
        <vt:lpwstr>http://www.mita.lt/</vt:lpwstr>
      </vt:variant>
      <vt:variant>
        <vt:lpwstr/>
      </vt:variant>
      <vt:variant>
        <vt:i4>5177373</vt:i4>
      </vt:variant>
      <vt:variant>
        <vt:i4>87</vt:i4>
      </vt:variant>
      <vt:variant>
        <vt:i4>0</vt:i4>
      </vt:variant>
      <vt:variant>
        <vt:i4>5</vt:i4>
      </vt:variant>
      <vt:variant>
        <vt:lpwstr>http://www.waipa.org/members.htm</vt:lpwstr>
      </vt:variant>
      <vt:variant>
        <vt:lpwstr/>
      </vt:variant>
      <vt:variant>
        <vt:i4>7995432</vt:i4>
      </vt:variant>
      <vt:variant>
        <vt:i4>84</vt:i4>
      </vt:variant>
      <vt:variant>
        <vt:i4>0</vt:i4>
      </vt:variant>
      <vt:variant>
        <vt:i4>5</vt:i4>
      </vt:variant>
      <vt:variant>
        <vt:lpwstr>http://www.likumi.lv/doc.php?id=184991</vt:lpwstr>
      </vt:variant>
      <vt:variant>
        <vt:lpwstr/>
      </vt:variant>
      <vt:variant>
        <vt:i4>4653073</vt:i4>
      </vt:variant>
      <vt:variant>
        <vt:i4>81</vt:i4>
      </vt:variant>
      <vt:variant>
        <vt:i4>0</vt:i4>
      </vt:variant>
      <vt:variant>
        <vt:i4>5</vt:i4>
      </vt:variant>
      <vt:variant>
        <vt:lpwstr>http://www.likumi.lv/doc.php?id=58057</vt:lpwstr>
      </vt:variant>
      <vt:variant>
        <vt:lpwstr/>
      </vt:variant>
      <vt:variant>
        <vt:i4>8257574</vt:i4>
      </vt:variant>
      <vt:variant>
        <vt:i4>78</vt:i4>
      </vt:variant>
      <vt:variant>
        <vt:i4>0</vt:i4>
      </vt:variant>
      <vt:variant>
        <vt:i4>5</vt:i4>
      </vt:variant>
      <vt:variant>
        <vt:lpwstr>http://www.likumi.lv/doc.php?id=244949</vt:lpwstr>
      </vt:variant>
      <vt:variant>
        <vt:lpwstr/>
      </vt:variant>
      <vt:variant>
        <vt:i4>4522008</vt:i4>
      </vt:variant>
      <vt:variant>
        <vt:i4>75</vt:i4>
      </vt:variant>
      <vt:variant>
        <vt:i4>0</vt:i4>
      </vt:variant>
      <vt:variant>
        <vt:i4>5</vt:i4>
      </vt:variant>
      <vt:variant>
        <vt:lpwstr>http://www.likumi.lv/doc.php?id=87480</vt:lpwstr>
      </vt:variant>
      <vt:variant>
        <vt:lpwstr/>
      </vt:variant>
      <vt:variant>
        <vt:i4>8257568</vt:i4>
      </vt:variant>
      <vt:variant>
        <vt:i4>72</vt:i4>
      </vt:variant>
      <vt:variant>
        <vt:i4>0</vt:i4>
      </vt:variant>
      <vt:variant>
        <vt:i4>5</vt:i4>
      </vt:variant>
      <vt:variant>
        <vt:lpwstr>http://www.likumi.lv/doc.php?id=153465</vt:lpwstr>
      </vt:variant>
      <vt:variant>
        <vt:lpwstr/>
      </vt:variant>
      <vt:variant>
        <vt:i4>6750298</vt:i4>
      </vt:variant>
      <vt:variant>
        <vt:i4>69</vt:i4>
      </vt:variant>
      <vt:variant>
        <vt:i4>0</vt:i4>
      </vt:variant>
      <vt:variant>
        <vt:i4>5</vt:i4>
      </vt:variant>
      <vt:variant>
        <vt:lpwstr>http://www.hipo.lv/lv/attistibas_programmas/mvu_izaugsmes_aizdevums</vt:lpwstr>
      </vt:variant>
      <vt:variant>
        <vt:lpwstr/>
      </vt:variant>
      <vt:variant>
        <vt:i4>8192042</vt:i4>
      </vt:variant>
      <vt:variant>
        <vt:i4>66</vt:i4>
      </vt:variant>
      <vt:variant>
        <vt:i4>0</vt:i4>
      </vt:variant>
      <vt:variant>
        <vt:i4>5</vt:i4>
      </vt:variant>
      <vt:variant>
        <vt:lpwstr>http://www.likumi.lv/doc.php?id=234581</vt:lpwstr>
      </vt:variant>
      <vt:variant>
        <vt:lpwstr/>
      </vt:variant>
      <vt:variant>
        <vt:i4>7536682</vt:i4>
      </vt:variant>
      <vt:variant>
        <vt:i4>63</vt:i4>
      </vt:variant>
      <vt:variant>
        <vt:i4>0</vt:i4>
      </vt:variant>
      <vt:variant>
        <vt:i4>5</vt:i4>
      </vt:variant>
      <vt:variant>
        <vt:lpwstr>http://www.likumi.lv/doc.php?id=189263</vt:lpwstr>
      </vt:variant>
      <vt:variant>
        <vt:lpwstr/>
      </vt:variant>
      <vt:variant>
        <vt:i4>7602218</vt:i4>
      </vt:variant>
      <vt:variant>
        <vt:i4>60</vt:i4>
      </vt:variant>
      <vt:variant>
        <vt:i4>0</vt:i4>
      </vt:variant>
      <vt:variant>
        <vt:i4>5</vt:i4>
      </vt:variant>
      <vt:variant>
        <vt:lpwstr>http://www.likumi.lv/doc.php?id=189264</vt:lpwstr>
      </vt:variant>
      <vt:variant>
        <vt:lpwstr/>
      </vt:variant>
      <vt:variant>
        <vt:i4>8323112</vt:i4>
      </vt:variant>
      <vt:variant>
        <vt:i4>57</vt:i4>
      </vt:variant>
      <vt:variant>
        <vt:i4>0</vt:i4>
      </vt:variant>
      <vt:variant>
        <vt:i4>5</vt:i4>
      </vt:variant>
      <vt:variant>
        <vt:lpwstr>http://www.likumi.lv/doc.php?id=238462</vt:lpwstr>
      </vt:variant>
      <vt:variant>
        <vt:lpwstr/>
      </vt:variant>
      <vt:variant>
        <vt:i4>7864363</vt:i4>
      </vt:variant>
      <vt:variant>
        <vt:i4>54</vt:i4>
      </vt:variant>
      <vt:variant>
        <vt:i4>0</vt:i4>
      </vt:variant>
      <vt:variant>
        <vt:i4>5</vt:i4>
      </vt:variant>
      <vt:variant>
        <vt:lpwstr>http://www.likumi.lv/doc.php?id=238455</vt:lpwstr>
      </vt:variant>
      <vt:variant>
        <vt:lpwstr/>
      </vt:variant>
      <vt:variant>
        <vt:i4>7798826</vt:i4>
      </vt:variant>
      <vt:variant>
        <vt:i4>51</vt:i4>
      </vt:variant>
      <vt:variant>
        <vt:i4>0</vt:i4>
      </vt:variant>
      <vt:variant>
        <vt:i4>5</vt:i4>
      </vt:variant>
      <vt:variant>
        <vt:lpwstr>http://www.likumi.lv/doc.php?id=189065</vt:lpwstr>
      </vt:variant>
      <vt:variant>
        <vt:lpwstr/>
      </vt:variant>
      <vt:variant>
        <vt:i4>7733372</vt:i4>
      </vt:variant>
      <vt:variant>
        <vt:i4>48</vt:i4>
      </vt:variant>
      <vt:variant>
        <vt:i4>0</vt:i4>
      </vt:variant>
      <vt:variant>
        <vt:i4>5</vt:i4>
      </vt:variant>
      <vt:variant>
        <vt:lpwstr>http://likumi.lv/doc.php?id=183034</vt:lpwstr>
      </vt:variant>
      <vt:variant>
        <vt:lpwstr/>
      </vt:variant>
      <vt:variant>
        <vt:i4>7667754</vt:i4>
      </vt:variant>
      <vt:variant>
        <vt:i4>45</vt:i4>
      </vt:variant>
      <vt:variant>
        <vt:i4>0</vt:i4>
      </vt:variant>
      <vt:variant>
        <vt:i4>5</vt:i4>
      </vt:variant>
      <vt:variant>
        <vt:lpwstr>http://www.likumi.lv/doc.php?id=189067</vt:lpwstr>
      </vt:variant>
      <vt:variant>
        <vt:lpwstr/>
      </vt:variant>
      <vt:variant>
        <vt:i4>8323111</vt:i4>
      </vt:variant>
      <vt:variant>
        <vt:i4>42</vt:i4>
      </vt:variant>
      <vt:variant>
        <vt:i4>0</vt:i4>
      </vt:variant>
      <vt:variant>
        <vt:i4>5</vt:i4>
      </vt:variant>
      <vt:variant>
        <vt:lpwstr>http://www.likumi.lv/doc.php?id=238294</vt:lpwstr>
      </vt:variant>
      <vt:variant>
        <vt:lpwstr/>
      </vt:variant>
      <vt:variant>
        <vt:i4>7667746</vt:i4>
      </vt:variant>
      <vt:variant>
        <vt:i4>39</vt:i4>
      </vt:variant>
      <vt:variant>
        <vt:i4>0</vt:i4>
      </vt:variant>
      <vt:variant>
        <vt:i4>5</vt:i4>
      </vt:variant>
      <vt:variant>
        <vt:lpwstr>http://www.likumi.lv/doc.php?id=183245</vt:lpwstr>
      </vt:variant>
      <vt:variant>
        <vt:lpwstr/>
      </vt:variant>
      <vt:variant>
        <vt:i4>8060968</vt:i4>
      </vt:variant>
      <vt:variant>
        <vt:i4>36</vt:i4>
      </vt:variant>
      <vt:variant>
        <vt:i4>0</vt:i4>
      </vt:variant>
      <vt:variant>
        <vt:i4>5</vt:i4>
      </vt:variant>
      <vt:variant>
        <vt:lpwstr>http://www.likumi.lv/doc.php?id=219070</vt:lpwstr>
      </vt:variant>
      <vt:variant>
        <vt:lpwstr/>
      </vt:variant>
      <vt:variant>
        <vt:i4>7667746</vt:i4>
      </vt:variant>
      <vt:variant>
        <vt:i4>33</vt:i4>
      </vt:variant>
      <vt:variant>
        <vt:i4>0</vt:i4>
      </vt:variant>
      <vt:variant>
        <vt:i4>5</vt:i4>
      </vt:variant>
      <vt:variant>
        <vt:lpwstr>http://www.likumi.lv/doc.php?id=183245</vt:lpwstr>
      </vt:variant>
      <vt:variant>
        <vt:lpwstr/>
      </vt:variant>
      <vt:variant>
        <vt:i4>7929895</vt:i4>
      </vt:variant>
      <vt:variant>
        <vt:i4>30</vt:i4>
      </vt:variant>
      <vt:variant>
        <vt:i4>0</vt:i4>
      </vt:variant>
      <vt:variant>
        <vt:i4>5</vt:i4>
      </vt:variant>
      <vt:variant>
        <vt:lpwstr>http://www.likumi.lv/doc.php?id=172703</vt:lpwstr>
      </vt:variant>
      <vt:variant>
        <vt:lpwstr/>
      </vt:variant>
      <vt:variant>
        <vt:i4>7471144</vt:i4>
      </vt:variant>
      <vt:variant>
        <vt:i4>27</vt:i4>
      </vt:variant>
      <vt:variant>
        <vt:i4>0</vt:i4>
      </vt:variant>
      <vt:variant>
        <vt:i4>5</vt:i4>
      </vt:variant>
      <vt:variant>
        <vt:lpwstr>http://www.likumi.lv/doc.php?id=209078</vt:lpwstr>
      </vt:variant>
      <vt:variant>
        <vt:lpwstr/>
      </vt:variant>
      <vt:variant>
        <vt:i4>8060968</vt:i4>
      </vt:variant>
      <vt:variant>
        <vt:i4>24</vt:i4>
      </vt:variant>
      <vt:variant>
        <vt:i4>0</vt:i4>
      </vt:variant>
      <vt:variant>
        <vt:i4>5</vt:i4>
      </vt:variant>
      <vt:variant>
        <vt:lpwstr>http://www.likumi.lv/doc.php?id=228665</vt:lpwstr>
      </vt:variant>
      <vt:variant>
        <vt:lpwstr/>
      </vt:variant>
      <vt:variant>
        <vt:i4>7602223</vt:i4>
      </vt:variant>
      <vt:variant>
        <vt:i4>21</vt:i4>
      </vt:variant>
      <vt:variant>
        <vt:i4>0</vt:i4>
      </vt:variant>
      <vt:variant>
        <vt:i4>5</vt:i4>
      </vt:variant>
      <vt:variant>
        <vt:lpwstr>http://www.likumi.lv/doc.php?id=198720</vt:lpwstr>
      </vt:variant>
      <vt:variant>
        <vt:lpwstr/>
      </vt:variant>
      <vt:variant>
        <vt:i4>8323109</vt:i4>
      </vt:variant>
      <vt:variant>
        <vt:i4>18</vt:i4>
      </vt:variant>
      <vt:variant>
        <vt:i4>0</vt:i4>
      </vt:variant>
      <vt:variant>
        <vt:i4>5</vt:i4>
      </vt:variant>
      <vt:variant>
        <vt:lpwstr>http://www.likumi.lv/doc.php?id=254171</vt:lpwstr>
      </vt:variant>
      <vt:variant>
        <vt:lpwstr/>
      </vt:variant>
      <vt:variant>
        <vt:i4>1572938</vt:i4>
      </vt:variant>
      <vt:variant>
        <vt:i4>15</vt:i4>
      </vt:variant>
      <vt:variant>
        <vt:i4>0</vt:i4>
      </vt:variant>
      <vt:variant>
        <vt:i4>5</vt:i4>
      </vt:variant>
      <vt:variant>
        <vt:lpwstr>http://www.esfondi.lv/upload/04-kohezijas_politikas_nakotne/dp_aktivitates/2dp/FMProgr_240907.pdf</vt:lpwstr>
      </vt:variant>
      <vt:variant>
        <vt:lpwstr/>
      </vt:variant>
      <vt:variant>
        <vt:i4>8126496</vt:i4>
      </vt:variant>
      <vt:variant>
        <vt:i4>12</vt:i4>
      </vt:variant>
      <vt:variant>
        <vt:i4>0</vt:i4>
      </vt:variant>
      <vt:variant>
        <vt:i4>5</vt:i4>
      </vt:variant>
      <vt:variant>
        <vt:lpwstr>http://www.likumi.lv/doc.php?id=172475</vt:lpwstr>
      </vt:variant>
      <vt:variant>
        <vt:lpwstr/>
      </vt:variant>
      <vt:variant>
        <vt:i4>4718675</vt:i4>
      </vt:variant>
      <vt:variant>
        <vt:i4>9</vt:i4>
      </vt:variant>
      <vt:variant>
        <vt:i4>0</vt:i4>
      </vt:variant>
      <vt:variant>
        <vt:i4>5</vt:i4>
      </vt:variant>
      <vt:variant>
        <vt:lpwstr>http://www.likumi.lv/doc.php?id=246032</vt:lpwstr>
      </vt:variant>
      <vt:variant>
        <vt:lpwstr>p46</vt:lpwstr>
      </vt:variant>
      <vt:variant>
        <vt:i4>6225930</vt:i4>
      </vt:variant>
      <vt:variant>
        <vt:i4>6</vt:i4>
      </vt:variant>
      <vt:variant>
        <vt:i4>0</vt:i4>
      </vt:variant>
      <vt:variant>
        <vt:i4>5</vt:i4>
      </vt:variant>
      <vt:variant>
        <vt:lpwstr>http://www.oecd.org/sti/ind/44210785.pdf</vt:lpwstr>
      </vt:variant>
      <vt:variant>
        <vt:lpwstr/>
      </vt:variant>
      <vt:variant>
        <vt:i4>196675</vt:i4>
      </vt:variant>
      <vt:variant>
        <vt:i4>3</vt:i4>
      </vt:variant>
      <vt:variant>
        <vt:i4>0</vt:i4>
      </vt:variant>
      <vt:variant>
        <vt:i4>5</vt:i4>
      </vt:variant>
      <vt:variant>
        <vt:lpwstr>http://ec.europa.eu/research/era/instruments/instruments/state_aid_de.htm</vt:lpwstr>
      </vt:variant>
      <vt:variant>
        <vt:lpwstr/>
      </vt:variant>
      <vt:variant>
        <vt:i4>6225930</vt:i4>
      </vt:variant>
      <vt:variant>
        <vt:i4>0</vt:i4>
      </vt:variant>
      <vt:variant>
        <vt:i4>0</vt:i4>
      </vt:variant>
      <vt:variant>
        <vt:i4>5</vt:i4>
      </vt:variant>
      <vt:variant>
        <vt:lpwstr>http://www.oecd.org/sti/ind/44210785.pdf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dc:creator>
  <cp:lastModifiedBy>Tatjana Kalnmaca</cp:lastModifiedBy>
  <cp:revision>5</cp:revision>
  <cp:lastPrinted>2013-06-10T09:36:00Z</cp:lastPrinted>
  <dcterms:created xsi:type="dcterms:W3CDTF">2013-06-14T12:10:00Z</dcterms:created>
  <dcterms:modified xsi:type="dcterms:W3CDTF">2013-06-14T12:23:00Z</dcterms:modified>
</cp:coreProperties>
</file>