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13E8" w14:textId="77777777" w:rsidR="00751030" w:rsidRDefault="00751030" w:rsidP="00751030">
      <w:pPr>
        <w:jc w:val="right"/>
        <w:rPr>
          <w:b/>
          <w:bCs/>
          <w:color w:val="C00000"/>
          <w:sz w:val="24"/>
          <w:szCs w:val="24"/>
        </w:rPr>
      </w:pPr>
      <w:r w:rsidRPr="00751030">
        <w:rPr>
          <w:b/>
          <w:bCs/>
          <w:color w:val="C00000"/>
          <w:sz w:val="24"/>
          <w:szCs w:val="24"/>
        </w:rPr>
        <w:t xml:space="preserve">Projekts 26.01.2026. </w:t>
      </w:r>
    </w:p>
    <w:p w14:paraId="1B4DA25F" w14:textId="77777777" w:rsidR="006B0D3A" w:rsidRDefault="006B0D3A" w:rsidP="00751030">
      <w:pPr>
        <w:jc w:val="right"/>
        <w:rPr>
          <w:b/>
          <w:bCs/>
          <w:color w:val="C00000"/>
          <w:sz w:val="24"/>
          <w:szCs w:val="24"/>
        </w:rPr>
      </w:pPr>
    </w:p>
    <w:p w14:paraId="1431677F" w14:textId="2EDDAF1B" w:rsidR="006B0D3A" w:rsidRPr="00751030" w:rsidRDefault="006B0D3A" w:rsidP="00751030">
      <w:pPr>
        <w:jc w:val="right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LBAS piedāvājums, nav apspriests</w:t>
      </w:r>
    </w:p>
    <w:p w14:paraId="14BF6C79" w14:textId="77777777" w:rsidR="00751030" w:rsidRDefault="00751030" w:rsidP="00751030">
      <w:pPr>
        <w:jc w:val="right"/>
        <w:rPr>
          <w:color w:val="414142"/>
          <w:sz w:val="24"/>
          <w:szCs w:val="24"/>
        </w:rPr>
      </w:pPr>
    </w:p>
    <w:p w14:paraId="0EB1127C" w14:textId="77777777" w:rsidR="00751030" w:rsidRPr="000D71A0" w:rsidRDefault="00751030" w:rsidP="00751030">
      <w:pPr>
        <w:jc w:val="right"/>
        <w:rPr>
          <w:sz w:val="24"/>
          <w:szCs w:val="24"/>
        </w:rPr>
      </w:pPr>
      <w:r w:rsidRPr="000D71A0">
        <w:rPr>
          <w:color w:val="414142"/>
          <w:sz w:val="24"/>
          <w:szCs w:val="24"/>
        </w:rPr>
        <w:t>APSTIPRINĀTS</w:t>
      </w:r>
      <w:r w:rsidRPr="000D71A0">
        <w:rPr>
          <w:color w:val="414142"/>
          <w:sz w:val="24"/>
          <w:szCs w:val="24"/>
        </w:rPr>
        <w:br/>
      </w:r>
      <w:r w:rsidRPr="000D71A0">
        <w:rPr>
          <w:sz w:val="24"/>
          <w:szCs w:val="24"/>
        </w:rPr>
        <w:t xml:space="preserve">ar Nacionālās trīspusējās sadarbības padomes </w:t>
      </w:r>
    </w:p>
    <w:p w14:paraId="3A1EDF30" w14:textId="77777777" w:rsidR="00751030" w:rsidRPr="000D71A0" w:rsidRDefault="00751030" w:rsidP="00751030">
      <w:pPr>
        <w:jc w:val="right"/>
        <w:rPr>
          <w:sz w:val="24"/>
          <w:szCs w:val="24"/>
        </w:rPr>
      </w:pPr>
      <w:r w:rsidRPr="000D71A0">
        <w:rPr>
          <w:sz w:val="24"/>
          <w:szCs w:val="24"/>
        </w:rPr>
        <w:softHyphen/>
      </w:r>
      <w:r w:rsidRPr="000D71A0">
        <w:rPr>
          <w:sz w:val="24"/>
          <w:szCs w:val="24"/>
        </w:rPr>
        <w:softHyphen/>
      </w:r>
      <w:r w:rsidRPr="000D71A0">
        <w:rPr>
          <w:sz w:val="24"/>
          <w:szCs w:val="24"/>
        </w:rPr>
        <w:softHyphen/>
        <w:t>202</w:t>
      </w:r>
      <w:r>
        <w:rPr>
          <w:sz w:val="24"/>
          <w:szCs w:val="24"/>
        </w:rPr>
        <w:t>6</w:t>
      </w:r>
      <w:r w:rsidRPr="000D71A0">
        <w:rPr>
          <w:sz w:val="24"/>
          <w:szCs w:val="24"/>
        </w:rPr>
        <w:t xml:space="preserve">. gada </w:t>
      </w:r>
      <w:r>
        <w:rPr>
          <w:sz w:val="24"/>
          <w:szCs w:val="24"/>
        </w:rPr>
        <w:t>28. janvāra</w:t>
      </w:r>
    </w:p>
    <w:p w14:paraId="4D64FA7F" w14:textId="1FE159F8" w:rsidR="00751030" w:rsidRPr="000D71A0" w:rsidRDefault="00751030" w:rsidP="00751030">
      <w:pPr>
        <w:jc w:val="right"/>
        <w:rPr>
          <w:sz w:val="24"/>
          <w:szCs w:val="24"/>
        </w:rPr>
      </w:pPr>
      <w:r w:rsidRPr="000D71A0">
        <w:rPr>
          <w:sz w:val="24"/>
          <w:szCs w:val="24"/>
        </w:rPr>
        <w:t xml:space="preserve">sēdes lēmuma protokola </w:t>
      </w:r>
      <w:proofErr w:type="spellStart"/>
      <w:r w:rsidRPr="00751030">
        <w:rPr>
          <w:color w:val="C00000"/>
          <w:sz w:val="24"/>
          <w:szCs w:val="24"/>
        </w:rPr>
        <w:t>Nr</w:t>
      </w:r>
      <w:proofErr w:type="spellEnd"/>
      <w:r w:rsidRPr="00751030">
        <w:rPr>
          <w:color w:val="C00000"/>
          <w:sz w:val="24"/>
          <w:szCs w:val="24"/>
        </w:rPr>
        <w:t xml:space="preserve">…………. </w:t>
      </w:r>
    </w:p>
    <w:p w14:paraId="35EAAD9C" w14:textId="77777777" w:rsidR="00751030" w:rsidRPr="000D71A0" w:rsidRDefault="00751030" w:rsidP="00751030">
      <w:pPr>
        <w:rPr>
          <w:sz w:val="24"/>
          <w:szCs w:val="24"/>
        </w:rPr>
      </w:pPr>
    </w:p>
    <w:p w14:paraId="7E5431B7" w14:textId="350C6034" w:rsidR="00751030" w:rsidRPr="00751030" w:rsidRDefault="00751030" w:rsidP="00751030">
      <w:pPr>
        <w:jc w:val="center"/>
        <w:rPr>
          <w:b/>
          <w:bCs/>
          <w:sz w:val="24"/>
          <w:szCs w:val="24"/>
        </w:rPr>
      </w:pPr>
      <w:r w:rsidRPr="00751030">
        <w:rPr>
          <w:b/>
          <w:bCs/>
          <w:color w:val="000000" w:themeColor="text1"/>
          <w:sz w:val="24"/>
          <w:szCs w:val="24"/>
        </w:rPr>
        <w:t>Par piemaksu apmēra atjaunošanu tehniskajiem darbiniekiem</w:t>
      </w:r>
    </w:p>
    <w:p w14:paraId="6022E086" w14:textId="77777777" w:rsidR="00751030" w:rsidRDefault="00751030" w:rsidP="00751030">
      <w:pPr>
        <w:jc w:val="center"/>
        <w:rPr>
          <w:b/>
          <w:sz w:val="24"/>
          <w:szCs w:val="24"/>
        </w:rPr>
      </w:pPr>
    </w:p>
    <w:p w14:paraId="487F6738" w14:textId="77777777" w:rsidR="00751030" w:rsidRDefault="00751030" w:rsidP="00751030">
      <w:pPr>
        <w:ind w:firstLine="720"/>
        <w:jc w:val="both"/>
        <w:rPr>
          <w:sz w:val="24"/>
          <w:szCs w:val="24"/>
        </w:rPr>
      </w:pPr>
    </w:p>
    <w:p w14:paraId="728D55E1" w14:textId="5C37D0D7" w:rsidR="00E31088" w:rsidRDefault="00751030" w:rsidP="00E31088">
      <w:pPr>
        <w:ind w:firstLine="720"/>
        <w:jc w:val="both"/>
        <w:rPr>
          <w:sz w:val="24"/>
          <w:szCs w:val="24"/>
        </w:rPr>
      </w:pPr>
      <w:r w:rsidRPr="000D71A0">
        <w:rPr>
          <w:sz w:val="24"/>
          <w:szCs w:val="24"/>
        </w:rPr>
        <w:t>Pamatojoties uz Nacionālās trīspusējās sadarbības padomes</w:t>
      </w:r>
      <w:r>
        <w:rPr>
          <w:sz w:val="24"/>
          <w:szCs w:val="24"/>
        </w:rPr>
        <w:t xml:space="preserve"> lēmumu, uzdot Ministru kabinetam līdz </w:t>
      </w:r>
      <w:r w:rsidR="00166A34">
        <w:rPr>
          <w:sz w:val="24"/>
          <w:szCs w:val="24"/>
        </w:rPr>
        <w:t xml:space="preserve">18.02.2026. pieņemt grozījumus </w:t>
      </w:r>
      <w:r w:rsidR="00166A34" w:rsidRPr="00166A34">
        <w:rPr>
          <w:sz w:val="24"/>
          <w:szCs w:val="24"/>
        </w:rPr>
        <w:t>Ministru kabineta noteikum</w:t>
      </w:r>
      <w:r w:rsidR="00166A34">
        <w:rPr>
          <w:sz w:val="24"/>
          <w:szCs w:val="24"/>
        </w:rPr>
        <w:t>os</w:t>
      </w:r>
      <w:r w:rsidR="00166A34" w:rsidRPr="00166A34">
        <w:rPr>
          <w:sz w:val="24"/>
          <w:szCs w:val="24"/>
        </w:rPr>
        <w:t xml:space="preserve"> Nr. 13</w:t>
      </w:r>
      <w:r w:rsidR="00166A34">
        <w:rPr>
          <w:sz w:val="24"/>
          <w:szCs w:val="24"/>
        </w:rPr>
        <w:t xml:space="preserve"> “</w:t>
      </w:r>
      <w:r w:rsidR="00166A34" w:rsidRPr="00166A34">
        <w:rPr>
          <w:sz w:val="24"/>
          <w:szCs w:val="24"/>
        </w:rPr>
        <w:t>Noteikumi par piemaksu noteikšanas kārtību un to apmēru valsts un pašvaldību institūcijās 2026. gadā</w:t>
      </w:r>
      <w:r w:rsidR="00166A34">
        <w:rPr>
          <w:sz w:val="24"/>
          <w:szCs w:val="24"/>
        </w:rPr>
        <w:t xml:space="preserve">”, kas paredz </w:t>
      </w:r>
      <w:r w:rsidR="00166A34" w:rsidRPr="00166A34">
        <w:rPr>
          <w:sz w:val="24"/>
          <w:szCs w:val="24"/>
        </w:rPr>
        <w:t>Ministru kabineta noteikum</w:t>
      </w:r>
      <w:r w:rsidR="00E31088">
        <w:rPr>
          <w:sz w:val="24"/>
          <w:szCs w:val="24"/>
        </w:rPr>
        <w:t>os</w:t>
      </w:r>
      <w:r w:rsidR="00166A34" w:rsidRPr="00166A34">
        <w:rPr>
          <w:sz w:val="24"/>
          <w:szCs w:val="24"/>
        </w:rPr>
        <w:t xml:space="preserve"> Nr. 262</w:t>
      </w:r>
      <w:r w:rsidR="00166A34">
        <w:rPr>
          <w:sz w:val="24"/>
          <w:szCs w:val="24"/>
        </w:rPr>
        <w:t xml:space="preserve"> “</w:t>
      </w:r>
      <w:r w:rsidR="00166A34" w:rsidRPr="00166A34">
        <w:rPr>
          <w:sz w:val="24"/>
          <w:szCs w:val="24"/>
        </w:rPr>
        <w:t>Valsts un pašvaldību institūciju amatu katalogs, amatu klasifikācijas un amatu apraksta izstrādāšanas kārtība</w:t>
      </w:r>
      <w:r w:rsidR="00166A34">
        <w:rPr>
          <w:sz w:val="24"/>
          <w:szCs w:val="24"/>
        </w:rPr>
        <w:t xml:space="preserve">” </w:t>
      </w:r>
      <w:r w:rsidR="00E31088">
        <w:rPr>
          <w:sz w:val="24"/>
          <w:szCs w:val="24"/>
        </w:rPr>
        <w:t xml:space="preserve">1.- 4. mēnešalgas grupas darbiniekiem </w:t>
      </w:r>
      <w:r w:rsidR="00166A34">
        <w:rPr>
          <w:sz w:val="24"/>
          <w:szCs w:val="24"/>
        </w:rPr>
        <w:t xml:space="preserve">piemaksu </w:t>
      </w:r>
      <w:r w:rsidR="00E31088">
        <w:rPr>
          <w:sz w:val="24"/>
          <w:szCs w:val="24"/>
        </w:rPr>
        <w:t xml:space="preserve">ne vairāk par 30 % </w:t>
      </w:r>
      <w:r w:rsidR="00E31088" w:rsidRPr="00E31088">
        <w:rPr>
          <w:sz w:val="24"/>
          <w:szCs w:val="24"/>
        </w:rPr>
        <w:t>no tai noteiktās mēnešalgas</w:t>
      </w:r>
      <w:r w:rsidR="00E31088">
        <w:rPr>
          <w:sz w:val="24"/>
          <w:szCs w:val="24"/>
        </w:rPr>
        <w:t xml:space="preserve"> </w:t>
      </w:r>
      <w:r w:rsidR="00166A34">
        <w:rPr>
          <w:sz w:val="24"/>
          <w:szCs w:val="24"/>
        </w:rPr>
        <w:t xml:space="preserve">par </w:t>
      </w:r>
      <w:r w:rsidR="00E31088" w:rsidRPr="00E31088">
        <w:rPr>
          <w:sz w:val="24"/>
          <w:szCs w:val="24"/>
        </w:rPr>
        <w:t>prombūtnē esošu darbinieku aizvieto</w:t>
      </w:r>
      <w:r w:rsidR="00E31088">
        <w:rPr>
          <w:sz w:val="24"/>
          <w:szCs w:val="24"/>
        </w:rPr>
        <w:t>šanu</w:t>
      </w:r>
      <w:r w:rsidR="00E31088" w:rsidRPr="00E31088">
        <w:rPr>
          <w:sz w:val="24"/>
          <w:szCs w:val="24"/>
        </w:rPr>
        <w:t xml:space="preserve"> vai pild</w:t>
      </w:r>
      <w:r w:rsidR="00E31088">
        <w:rPr>
          <w:sz w:val="24"/>
          <w:szCs w:val="24"/>
        </w:rPr>
        <w:t>ot</w:t>
      </w:r>
      <w:r w:rsidR="00E31088" w:rsidRPr="00E31088">
        <w:rPr>
          <w:sz w:val="24"/>
          <w:szCs w:val="24"/>
        </w:rPr>
        <w:t xml:space="preserve"> citus pienākumus</w:t>
      </w:r>
    </w:p>
    <w:p w14:paraId="6E42F409" w14:textId="77777777" w:rsidR="00751030" w:rsidRDefault="00751030" w:rsidP="00751030">
      <w:pPr>
        <w:ind w:firstLine="720"/>
        <w:jc w:val="both"/>
        <w:rPr>
          <w:sz w:val="24"/>
          <w:szCs w:val="24"/>
        </w:rPr>
      </w:pPr>
    </w:p>
    <w:p w14:paraId="7BDE431D" w14:textId="77777777" w:rsidR="00751030" w:rsidRPr="000D71A0" w:rsidRDefault="00751030" w:rsidP="00751030">
      <w:pPr>
        <w:keepNext/>
        <w:ind w:left="2880" w:hanging="2880"/>
        <w:jc w:val="both"/>
        <w:outlineLvl w:val="2"/>
        <w:rPr>
          <w:color w:val="000000"/>
          <w:sz w:val="24"/>
          <w:szCs w:val="24"/>
          <w:lang w:eastAsia="en-US"/>
        </w:rPr>
      </w:pPr>
      <w:r w:rsidRPr="000D71A0">
        <w:rPr>
          <w:color w:val="000000"/>
          <w:sz w:val="24"/>
          <w:szCs w:val="24"/>
          <w:lang w:eastAsia="en-US"/>
        </w:rPr>
        <w:tab/>
        <w:t xml:space="preserve"> </w:t>
      </w:r>
    </w:p>
    <w:p w14:paraId="7910AE78" w14:textId="77777777" w:rsidR="00751030" w:rsidRDefault="00751030" w:rsidP="0075103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10022210" w14:textId="77777777" w:rsidR="00751030" w:rsidRPr="00720D61" w:rsidRDefault="00751030" w:rsidP="00751030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751030" w:rsidRPr="00720D61" w14:paraId="44DC47A3" w14:textId="77777777" w:rsidTr="00DF7347">
        <w:trPr>
          <w:jc w:val="center"/>
        </w:trPr>
        <w:tc>
          <w:tcPr>
            <w:tcW w:w="3004" w:type="dxa"/>
            <w:hideMark/>
          </w:tcPr>
          <w:p w14:paraId="3CE18C04" w14:textId="77777777" w:rsidR="00751030" w:rsidRPr="00720D61" w:rsidRDefault="00751030" w:rsidP="00DF7347">
            <w:pPr>
              <w:jc w:val="center"/>
              <w:rPr>
                <w:rFonts w:eastAsia="Calibri"/>
                <w:sz w:val="24"/>
                <w:szCs w:val="24"/>
              </w:rPr>
            </w:pPr>
            <w:r w:rsidRPr="00720D61">
              <w:rPr>
                <w:rFonts w:eastAsia="Calibri"/>
                <w:sz w:val="24"/>
                <w:szCs w:val="24"/>
              </w:rPr>
              <w:t>E. Siliņa</w:t>
            </w:r>
          </w:p>
        </w:tc>
        <w:tc>
          <w:tcPr>
            <w:tcW w:w="3006" w:type="dxa"/>
          </w:tcPr>
          <w:p w14:paraId="33C544E1" w14:textId="77777777" w:rsidR="00751030" w:rsidRPr="00720D61" w:rsidRDefault="00751030" w:rsidP="00DF7347">
            <w:pPr>
              <w:jc w:val="center"/>
              <w:rPr>
                <w:sz w:val="24"/>
                <w:szCs w:val="24"/>
              </w:rPr>
            </w:pPr>
            <w:r w:rsidRPr="00720D61">
              <w:rPr>
                <w:sz w:val="24"/>
                <w:szCs w:val="24"/>
              </w:rPr>
              <w:t>A. Bite</w:t>
            </w:r>
          </w:p>
          <w:p w14:paraId="31F033E5" w14:textId="77777777" w:rsidR="00751030" w:rsidRPr="00720D61" w:rsidRDefault="00751030" w:rsidP="00DF7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6703AEF5" w14:textId="77777777" w:rsidR="00751030" w:rsidRPr="00720D61" w:rsidRDefault="00751030" w:rsidP="00DF7347">
            <w:pPr>
              <w:jc w:val="center"/>
              <w:rPr>
                <w:sz w:val="24"/>
                <w:szCs w:val="24"/>
              </w:rPr>
            </w:pPr>
            <w:r w:rsidRPr="00720D61">
              <w:rPr>
                <w:sz w:val="24"/>
                <w:szCs w:val="24"/>
              </w:rPr>
              <w:t>E. Baldzēns</w:t>
            </w:r>
          </w:p>
          <w:p w14:paraId="135BD3E2" w14:textId="77777777" w:rsidR="00751030" w:rsidRPr="00720D61" w:rsidRDefault="00751030" w:rsidP="00DF734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51030" w:rsidRPr="001E0246" w14:paraId="62C54317" w14:textId="77777777" w:rsidTr="00DF7347">
        <w:trPr>
          <w:jc w:val="center"/>
        </w:trPr>
        <w:tc>
          <w:tcPr>
            <w:tcW w:w="3004" w:type="dxa"/>
          </w:tcPr>
          <w:p w14:paraId="51B51D71" w14:textId="77777777" w:rsidR="00751030" w:rsidRPr="001E0246" w:rsidRDefault="00751030" w:rsidP="00DF7347">
            <w:pPr>
              <w:jc w:val="center"/>
              <w:rPr>
                <w:rFonts w:eastAsia="Calibri"/>
                <w:sz w:val="22"/>
                <w:szCs w:val="22"/>
              </w:rPr>
            </w:pPr>
            <w:r w:rsidRPr="001E0246">
              <w:rPr>
                <w:rFonts w:eastAsia="Calibri"/>
                <w:sz w:val="22"/>
                <w:szCs w:val="22"/>
              </w:rPr>
              <w:t>(paraksts*)</w:t>
            </w:r>
          </w:p>
          <w:p w14:paraId="2C37611A" w14:textId="77777777" w:rsidR="00751030" w:rsidRPr="001E0246" w:rsidRDefault="00751030" w:rsidP="00DF7347">
            <w:pPr>
              <w:jc w:val="center"/>
              <w:rPr>
                <w:sz w:val="22"/>
                <w:szCs w:val="22"/>
              </w:rPr>
            </w:pPr>
            <w:r w:rsidRPr="001E0246">
              <w:rPr>
                <w:sz w:val="22"/>
                <w:szCs w:val="22"/>
              </w:rPr>
              <w:t>_________________</w:t>
            </w:r>
          </w:p>
        </w:tc>
        <w:tc>
          <w:tcPr>
            <w:tcW w:w="3006" w:type="dxa"/>
          </w:tcPr>
          <w:p w14:paraId="6394EF3F" w14:textId="77777777" w:rsidR="00751030" w:rsidRPr="001E0246" w:rsidRDefault="00751030" w:rsidP="00DF7347">
            <w:pPr>
              <w:jc w:val="center"/>
              <w:rPr>
                <w:sz w:val="22"/>
                <w:szCs w:val="22"/>
              </w:rPr>
            </w:pPr>
            <w:r w:rsidRPr="001E0246">
              <w:rPr>
                <w:rFonts w:eastAsia="Calibri"/>
                <w:sz w:val="22"/>
                <w:szCs w:val="22"/>
              </w:rPr>
              <w:t>(paraksts*)</w:t>
            </w:r>
          </w:p>
          <w:p w14:paraId="63AB24B1" w14:textId="77777777" w:rsidR="00751030" w:rsidRPr="001E0246" w:rsidRDefault="00751030" w:rsidP="00DF7347">
            <w:pPr>
              <w:jc w:val="center"/>
              <w:rPr>
                <w:sz w:val="22"/>
                <w:szCs w:val="22"/>
              </w:rPr>
            </w:pPr>
            <w:r w:rsidRPr="001E0246">
              <w:rPr>
                <w:sz w:val="22"/>
                <w:szCs w:val="22"/>
              </w:rPr>
              <w:t>_________________</w:t>
            </w:r>
          </w:p>
        </w:tc>
        <w:tc>
          <w:tcPr>
            <w:tcW w:w="3006" w:type="dxa"/>
          </w:tcPr>
          <w:p w14:paraId="37AB8E37" w14:textId="77777777" w:rsidR="00751030" w:rsidRPr="001E0246" w:rsidRDefault="00751030" w:rsidP="00DF7347">
            <w:pPr>
              <w:jc w:val="center"/>
              <w:rPr>
                <w:sz w:val="22"/>
                <w:szCs w:val="22"/>
              </w:rPr>
            </w:pPr>
            <w:r w:rsidRPr="001E0246">
              <w:rPr>
                <w:rFonts w:eastAsia="Calibri"/>
                <w:sz w:val="22"/>
                <w:szCs w:val="22"/>
              </w:rPr>
              <w:t>(paraksts*)</w:t>
            </w:r>
          </w:p>
          <w:p w14:paraId="4B7BADBF" w14:textId="77777777" w:rsidR="00751030" w:rsidRPr="001E0246" w:rsidRDefault="00751030" w:rsidP="00DF7347">
            <w:pPr>
              <w:jc w:val="center"/>
              <w:rPr>
                <w:sz w:val="22"/>
                <w:szCs w:val="22"/>
              </w:rPr>
            </w:pPr>
            <w:r w:rsidRPr="001E0246">
              <w:rPr>
                <w:sz w:val="22"/>
                <w:szCs w:val="22"/>
              </w:rPr>
              <w:t>_________________</w:t>
            </w:r>
          </w:p>
        </w:tc>
      </w:tr>
      <w:tr w:rsidR="00751030" w:rsidRPr="00720D61" w14:paraId="75A990B5" w14:textId="77777777" w:rsidTr="00DF7347">
        <w:trPr>
          <w:jc w:val="center"/>
        </w:trPr>
        <w:tc>
          <w:tcPr>
            <w:tcW w:w="3004" w:type="dxa"/>
          </w:tcPr>
          <w:p w14:paraId="44ABA6DE" w14:textId="77777777" w:rsidR="00751030" w:rsidRPr="00720D61" w:rsidRDefault="00751030" w:rsidP="00DF7347">
            <w:pPr>
              <w:jc w:val="center"/>
              <w:rPr>
                <w:sz w:val="24"/>
                <w:szCs w:val="24"/>
              </w:rPr>
            </w:pPr>
            <w:r w:rsidRPr="00720D61">
              <w:rPr>
                <w:sz w:val="24"/>
                <w:szCs w:val="24"/>
              </w:rPr>
              <w:t>Ministru prezidente,</w:t>
            </w:r>
          </w:p>
          <w:p w14:paraId="082D6081" w14:textId="77777777" w:rsidR="00751030" w:rsidRPr="00720D61" w:rsidRDefault="00751030" w:rsidP="00DF7347">
            <w:pPr>
              <w:jc w:val="center"/>
              <w:rPr>
                <w:sz w:val="24"/>
                <w:szCs w:val="24"/>
              </w:rPr>
            </w:pPr>
            <w:r w:rsidRPr="00720D61">
              <w:rPr>
                <w:sz w:val="24"/>
                <w:szCs w:val="24"/>
              </w:rPr>
              <w:t>NTSP Ministru kabineta puses vadītāja</w:t>
            </w:r>
          </w:p>
          <w:p w14:paraId="4FDBDDC6" w14:textId="77777777" w:rsidR="00751030" w:rsidRPr="00720D61" w:rsidRDefault="00751030" w:rsidP="00DF7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6" w:type="dxa"/>
            <w:hideMark/>
          </w:tcPr>
          <w:p w14:paraId="40D7D583" w14:textId="77777777" w:rsidR="00751030" w:rsidRPr="00720D61" w:rsidRDefault="00751030" w:rsidP="00DF7347">
            <w:pPr>
              <w:jc w:val="center"/>
              <w:rPr>
                <w:sz w:val="24"/>
                <w:szCs w:val="24"/>
              </w:rPr>
            </w:pPr>
            <w:r w:rsidRPr="00720D61">
              <w:rPr>
                <w:sz w:val="24"/>
                <w:szCs w:val="24"/>
              </w:rPr>
              <w:t>Biedrības "Latvijas Darba devēju konfederācija" prezidents, NTSP darba devēju puses vadītājs</w:t>
            </w:r>
          </w:p>
        </w:tc>
        <w:tc>
          <w:tcPr>
            <w:tcW w:w="3006" w:type="dxa"/>
          </w:tcPr>
          <w:p w14:paraId="3326E19A" w14:textId="77777777" w:rsidR="00751030" w:rsidRPr="00720D61" w:rsidRDefault="00751030" w:rsidP="00DF7347">
            <w:pPr>
              <w:jc w:val="center"/>
              <w:rPr>
                <w:sz w:val="24"/>
                <w:szCs w:val="24"/>
              </w:rPr>
            </w:pPr>
            <w:r w:rsidRPr="00720D61">
              <w:rPr>
                <w:color w:val="000000"/>
                <w:sz w:val="24"/>
                <w:szCs w:val="24"/>
              </w:rPr>
              <w:t xml:space="preserve">Arodbiedrību apvienības </w:t>
            </w:r>
            <w:r w:rsidRPr="00720D61">
              <w:rPr>
                <w:sz w:val="24"/>
                <w:szCs w:val="24"/>
              </w:rPr>
              <w:t>"Latvijas Brīvo arodbiedrību savienība" priekšsēdētājs, NTSP arodbiedrību puses vadītājs</w:t>
            </w:r>
          </w:p>
        </w:tc>
      </w:tr>
    </w:tbl>
    <w:p w14:paraId="37236371" w14:textId="77777777" w:rsidR="009A614F" w:rsidRDefault="009A614F"/>
    <w:sectPr w:rsidR="009A6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30"/>
    <w:rsid w:val="00166A34"/>
    <w:rsid w:val="004F071D"/>
    <w:rsid w:val="006B0D3A"/>
    <w:rsid w:val="00751030"/>
    <w:rsid w:val="009A4FB8"/>
    <w:rsid w:val="009A614F"/>
    <w:rsid w:val="00AC1F30"/>
    <w:rsid w:val="00E3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AA68"/>
  <w15:chartTrackingRefBased/>
  <w15:docId w15:val="{EA3AC055-A735-4B38-BA44-33FA03E6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0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0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03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03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03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03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03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03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03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0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0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0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0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0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0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0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0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51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03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51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03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751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0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7510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0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030"/>
    <w:rPr>
      <w:b/>
      <w:bCs/>
      <w:smallCaps/>
      <w:color w:val="2F5496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751030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51030"/>
    <w:rPr>
      <w:rFonts w:ascii="Calibri" w:eastAsia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4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Virsraksti</vt:lpstr>
      </vt:variant>
      <vt:variant>
        <vt:i4>1</vt:i4>
      </vt:variant>
    </vt:vector>
  </HeadingPairs>
  <TitlesOfParts>
    <vt:vector size="3" baseType="lpstr">
      <vt:lpstr/>
      <vt:lpstr/>
      <vt:lpstr>        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Vanaga</dc:creator>
  <cp:keywords/>
  <dc:description/>
  <cp:lastModifiedBy>Zane Legzdina - Joja</cp:lastModifiedBy>
  <cp:revision>2</cp:revision>
  <cp:lastPrinted>2026-01-28T07:35:00Z</cp:lastPrinted>
  <dcterms:created xsi:type="dcterms:W3CDTF">2026-01-28T08:14:00Z</dcterms:created>
  <dcterms:modified xsi:type="dcterms:W3CDTF">2026-01-28T08:14:00Z</dcterms:modified>
</cp:coreProperties>
</file>