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3C1C" w14:textId="77777777" w:rsidR="00114426" w:rsidRPr="00114426" w:rsidRDefault="00114426" w:rsidP="00114426">
      <w:pPr>
        <w:shd w:val="clear" w:color="auto" w:fill="B9B9FF"/>
        <w:tabs>
          <w:tab w:val="left" w:pos="-567"/>
          <w:tab w:val="left" w:pos="567"/>
        </w:tabs>
        <w:suppressAutoHyphens/>
        <w:spacing w:after="120" w:line="240" w:lineRule="auto"/>
        <w:jc w:val="both"/>
        <w:outlineLvl w:val="1"/>
        <w:rPr>
          <w:rFonts w:ascii="Times New Roman" w:eastAsia="Yu Mincho" w:hAnsi="Times New Roman" w:cs="Arial"/>
          <w:b/>
          <w:bCs/>
          <w:kern w:val="0"/>
          <w:lang w:val="lv-LV" w:eastAsia="en-GB"/>
          <w14:ligatures w14:val="none"/>
        </w:rPr>
      </w:pPr>
      <w:bookmarkStart w:id="0" w:name="_Toc199170837"/>
      <w:r w:rsidRPr="00114426">
        <w:rPr>
          <w:rFonts w:ascii="Times New Roman" w:eastAsia="Yu Mincho" w:hAnsi="Times New Roman" w:cs="Arial"/>
          <w:b/>
          <w:bCs/>
          <w:kern w:val="0"/>
          <w:lang w:val="lv-LV" w:eastAsia="en-GB"/>
          <w14:ligatures w14:val="none"/>
        </w:rPr>
        <w:t>PIELIKUMS NR. 12 Ražotājiem piemērojamie maksimālie naudas sodi par pārkāpumiem plastmasu saturošu izstrādājumu ražošanas un izplatīšanas jomā</w:t>
      </w:r>
      <w:bookmarkEnd w:id="0"/>
    </w:p>
    <w:p w14:paraId="1707F7A2" w14:textId="77777777" w:rsidR="00114426" w:rsidRPr="00114426" w:rsidRDefault="00114426" w:rsidP="00114426">
      <w:pPr>
        <w:keepNext/>
        <w:suppressAutoHyphens/>
        <w:spacing w:before="120" w:after="120" w:line="240" w:lineRule="auto"/>
        <w:jc w:val="center"/>
        <w:rPr>
          <w:rFonts w:ascii="Times New Roman" w:eastAsia="Yu Mincho" w:hAnsi="Times New Roman" w:cs="Times New Roman"/>
          <w:kern w:val="0"/>
          <w:sz w:val="20"/>
          <w:szCs w:val="20"/>
          <w:lang w:val="lv-LV"/>
          <w14:ligatures w14:val="none"/>
        </w:rPr>
      </w:pPr>
      <w:r w:rsidRPr="00114426">
        <w:rPr>
          <w:rFonts w:ascii="Times New Roman" w:eastAsia="Yu Mincho" w:hAnsi="Times New Roman" w:cs="Times New Roman"/>
          <w:kern w:val="0"/>
          <w:sz w:val="20"/>
          <w:szCs w:val="20"/>
          <w:lang w:val="lv-LV"/>
          <w14:ligatures w14:val="none"/>
        </w:rPr>
        <w:t xml:space="preserve">Ražotājiem piemērojamie maksimālie naudas sodi par pārkāpumiem plastmasu saturošu izstrādājumu ražošanas un izplatīšanas jomā, </w:t>
      </w:r>
      <w:r w:rsidRPr="00114426">
        <w:rPr>
          <w:rFonts w:ascii="Times New Roman" w:eastAsia="Yu Mincho" w:hAnsi="Times New Roman" w:cs="Times New Roman"/>
          <w:i/>
          <w:iCs/>
          <w:kern w:val="0"/>
          <w:sz w:val="20"/>
          <w:szCs w:val="20"/>
          <w:lang w:val="lv-LV"/>
          <w14:ligatures w14:val="none"/>
        </w:rPr>
        <w:t>(naudas soda vienības).</w:t>
      </w:r>
      <w:r w:rsidRPr="00114426">
        <w:rPr>
          <w:rFonts w:ascii="Times New Roman" w:eastAsia="Yu Mincho" w:hAnsi="Times New Roman" w:cs="Times New Roman"/>
          <w:kern w:val="0"/>
          <w:sz w:val="20"/>
          <w:szCs w:val="20"/>
          <w:lang w:val="lv-LV"/>
          <w14:ligatures w14:val="none"/>
        </w:rPr>
        <w:t xml:space="preserve"> </w:t>
      </w:r>
    </w:p>
    <w:p w14:paraId="27B3C643" w14:textId="77777777" w:rsidR="00114426" w:rsidRPr="00114426" w:rsidRDefault="00114426" w:rsidP="00114426">
      <w:pPr>
        <w:suppressAutoHyphens/>
        <w:spacing w:before="120" w:after="120" w:line="276" w:lineRule="auto"/>
        <w:jc w:val="center"/>
        <w:rPr>
          <w:rFonts w:ascii="Times New Roman" w:eastAsia="Yu Mincho" w:hAnsi="Times New Roman" w:cs="Arial"/>
          <w:kern w:val="0"/>
          <w:szCs w:val="20"/>
          <w:lang w:val="lv-LV"/>
          <w14:ligatures w14:val="none"/>
        </w:rPr>
      </w:pPr>
      <w:r w:rsidRPr="00114426">
        <w:rPr>
          <w:rFonts w:ascii="Times New Roman" w:eastAsia="Yu Mincho" w:hAnsi="Times New Roman" w:cs="Arial"/>
          <w:noProof/>
          <w:kern w:val="0"/>
          <w:szCs w:val="20"/>
          <w:lang w:val="lv-LV"/>
          <w14:ligatures w14:val="none"/>
        </w:rPr>
        <w:drawing>
          <wp:inline distT="0" distB="0" distL="0" distR="0" wp14:anchorId="76A26B1D" wp14:editId="4FF43411">
            <wp:extent cx="6454140" cy="4884420"/>
            <wp:effectExtent l="0" t="0" r="0" b="0"/>
            <wp:docPr id="54" name="Object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C9CBF6" w14:textId="77777777" w:rsidR="00114426" w:rsidRPr="00114426" w:rsidRDefault="00114426" w:rsidP="00114426">
      <w:pPr>
        <w:suppressAutoHyphens/>
        <w:spacing w:before="120" w:line="276" w:lineRule="auto"/>
        <w:jc w:val="center"/>
        <w:rPr>
          <w:rFonts w:ascii="Times New Roman" w:eastAsia="Yu Mincho" w:hAnsi="Times New Roman" w:cs="Arial"/>
          <w:kern w:val="0"/>
          <w:sz w:val="16"/>
          <w:szCs w:val="20"/>
          <w:lang w:val="lv-LV"/>
          <w14:ligatures w14:val="none"/>
        </w:rPr>
      </w:pPr>
      <w:r w:rsidRPr="00114426">
        <w:rPr>
          <w:rFonts w:ascii="Times New Roman" w:eastAsia="Yu Mincho" w:hAnsi="Times New Roman" w:cs="Arial"/>
          <w:kern w:val="0"/>
          <w:sz w:val="16"/>
          <w:szCs w:val="20"/>
          <w:lang w:val="lv-LV"/>
          <w14:ligatures w14:val="none"/>
        </w:rPr>
        <w:t xml:space="preserve">Avots: autoru izstrādāts, balstoties uz Plastmasu saturošu izstrādājumu patēriņa samazināšanas likuma 17. pantu.  </w:t>
      </w:r>
    </w:p>
    <w:p w14:paraId="3EE9E64E" w14:textId="77777777" w:rsidR="001C58A3" w:rsidRPr="00114426" w:rsidRDefault="001C58A3">
      <w:pPr>
        <w:rPr>
          <w:lang w:val="lv-LV"/>
        </w:rPr>
      </w:pPr>
    </w:p>
    <w:sectPr w:rsidR="001C58A3" w:rsidRPr="001144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A4C7" w14:textId="77777777" w:rsidR="008302BC" w:rsidRDefault="008302BC" w:rsidP="000729B7">
      <w:pPr>
        <w:spacing w:after="0" w:line="240" w:lineRule="auto"/>
      </w:pPr>
      <w:r>
        <w:separator/>
      </w:r>
    </w:p>
  </w:endnote>
  <w:endnote w:type="continuationSeparator" w:id="0">
    <w:p w14:paraId="1D27E4A7" w14:textId="77777777" w:rsidR="008302BC" w:rsidRDefault="008302BC" w:rsidP="0007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877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F5705" w14:textId="061A2823" w:rsidR="000729B7" w:rsidRDefault="00072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D74505" w14:textId="77777777" w:rsidR="000729B7" w:rsidRDefault="00072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F168" w14:textId="77777777" w:rsidR="008302BC" w:rsidRDefault="008302BC" w:rsidP="000729B7">
      <w:pPr>
        <w:spacing w:after="0" w:line="240" w:lineRule="auto"/>
      </w:pPr>
      <w:r>
        <w:separator/>
      </w:r>
    </w:p>
  </w:footnote>
  <w:footnote w:type="continuationSeparator" w:id="0">
    <w:p w14:paraId="2A199940" w14:textId="77777777" w:rsidR="008302BC" w:rsidRDefault="008302BC" w:rsidP="00072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57"/>
    <w:rsid w:val="00001459"/>
    <w:rsid w:val="00030EC6"/>
    <w:rsid w:val="000350B1"/>
    <w:rsid w:val="00046817"/>
    <w:rsid w:val="00046F5D"/>
    <w:rsid w:val="00050D17"/>
    <w:rsid w:val="00064546"/>
    <w:rsid w:val="000715B4"/>
    <w:rsid w:val="000729B7"/>
    <w:rsid w:val="00073C04"/>
    <w:rsid w:val="000925FE"/>
    <w:rsid w:val="000A4C12"/>
    <w:rsid w:val="000C50BB"/>
    <w:rsid w:val="000E5BA9"/>
    <w:rsid w:val="000F351D"/>
    <w:rsid w:val="00114426"/>
    <w:rsid w:val="00150084"/>
    <w:rsid w:val="0015515D"/>
    <w:rsid w:val="001C58A3"/>
    <w:rsid w:val="001D0CBE"/>
    <w:rsid w:val="001D2AD8"/>
    <w:rsid w:val="001F6CD7"/>
    <w:rsid w:val="00214920"/>
    <w:rsid w:val="00234BE1"/>
    <w:rsid w:val="002408C2"/>
    <w:rsid w:val="002551D1"/>
    <w:rsid w:val="002876DF"/>
    <w:rsid w:val="002A565A"/>
    <w:rsid w:val="002B2609"/>
    <w:rsid w:val="002B4887"/>
    <w:rsid w:val="002E588C"/>
    <w:rsid w:val="002F5F57"/>
    <w:rsid w:val="0030308C"/>
    <w:rsid w:val="00331642"/>
    <w:rsid w:val="003370BD"/>
    <w:rsid w:val="00346A47"/>
    <w:rsid w:val="003B0257"/>
    <w:rsid w:val="003D0B33"/>
    <w:rsid w:val="003E3F1D"/>
    <w:rsid w:val="00404837"/>
    <w:rsid w:val="004169A4"/>
    <w:rsid w:val="00445A29"/>
    <w:rsid w:val="004501BB"/>
    <w:rsid w:val="00461CDE"/>
    <w:rsid w:val="00486467"/>
    <w:rsid w:val="00493AEE"/>
    <w:rsid w:val="004B2B26"/>
    <w:rsid w:val="004B2BAD"/>
    <w:rsid w:val="004D4D70"/>
    <w:rsid w:val="004D55FF"/>
    <w:rsid w:val="004E7408"/>
    <w:rsid w:val="00501B3D"/>
    <w:rsid w:val="00530D9E"/>
    <w:rsid w:val="00542EFD"/>
    <w:rsid w:val="005A53A6"/>
    <w:rsid w:val="005B37F2"/>
    <w:rsid w:val="005E1FA7"/>
    <w:rsid w:val="005E4003"/>
    <w:rsid w:val="005E4CBC"/>
    <w:rsid w:val="005F5B46"/>
    <w:rsid w:val="005F6F2E"/>
    <w:rsid w:val="00675A1F"/>
    <w:rsid w:val="006857DA"/>
    <w:rsid w:val="006F2706"/>
    <w:rsid w:val="00716197"/>
    <w:rsid w:val="00733739"/>
    <w:rsid w:val="007A616D"/>
    <w:rsid w:val="007C221E"/>
    <w:rsid w:val="00801751"/>
    <w:rsid w:val="008302BC"/>
    <w:rsid w:val="00884BD9"/>
    <w:rsid w:val="008B6B72"/>
    <w:rsid w:val="008C3427"/>
    <w:rsid w:val="008E148F"/>
    <w:rsid w:val="008E52CE"/>
    <w:rsid w:val="008F1D49"/>
    <w:rsid w:val="00971B21"/>
    <w:rsid w:val="009A3654"/>
    <w:rsid w:val="009A6B62"/>
    <w:rsid w:val="009D7BFD"/>
    <w:rsid w:val="009E040E"/>
    <w:rsid w:val="009F1AB0"/>
    <w:rsid w:val="009F45F7"/>
    <w:rsid w:val="00A51648"/>
    <w:rsid w:val="00A74F32"/>
    <w:rsid w:val="00A912D5"/>
    <w:rsid w:val="00AA0356"/>
    <w:rsid w:val="00AA7A89"/>
    <w:rsid w:val="00AB6A6A"/>
    <w:rsid w:val="00AE584A"/>
    <w:rsid w:val="00AF2755"/>
    <w:rsid w:val="00B1669B"/>
    <w:rsid w:val="00B228C9"/>
    <w:rsid w:val="00B46D8F"/>
    <w:rsid w:val="00B637F3"/>
    <w:rsid w:val="00BF77F4"/>
    <w:rsid w:val="00C613E8"/>
    <w:rsid w:val="00C76516"/>
    <w:rsid w:val="00C96FBC"/>
    <w:rsid w:val="00CF3DFE"/>
    <w:rsid w:val="00D26858"/>
    <w:rsid w:val="00D7069E"/>
    <w:rsid w:val="00DA70D8"/>
    <w:rsid w:val="00DD537E"/>
    <w:rsid w:val="00DF76B4"/>
    <w:rsid w:val="00E07E96"/>
    <w:rsid w:val="00E11BE5"/>
    <w:rsid w:val="00E61AF4"/>
    <w:rsid w:val="00E826F1"/>
    <w:rsid w:val="00ED2FD6"/>
    <w:rsid w:val="00EE7A31"/>
    <w:rsid w:val="00F17DEA"/>
    <w:rsid w:val="00F34853"/>
    <w:rsid w:val="00F44C6B"/>
    <w:rsid w:val="00F577FC"/>
    <w:rsid w:val="00F60851"/>
    <w:rsid w:val="00F802E9"/>
    <w:rsid w:val="00F90C19"/>
    <w:rsid w:val="00FC6945"/>
    <w:rsid w:val="00FE605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7A39"/>
  <w15:chartTrackingRefBased/>
  <w15:docId w15:val="{130DA9DC-01F4-49D4-A4F8-C4D4853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9B7"/>
  </w:style>
  <w:style w:type="paragraph" w:styleId="Footer">
    <w:name w:val="footer"/>
    <w:basedOn w:val="Normal"/>
    <w:link w:val="FooterChar"/>
    <w:uiPriority w:val="99"/>
    <w:unhideWhenUsed/>
    <w:rsid w:val="0007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Fizsikām personām</c:v>
                </c:pt>
              </c:strCache>
            </c:strRef>
          </c:tx>
          <c:spPr>
            <a:solidFill>
              <a:srgbClr val="0000A0"/>
            </a:solidFill>
            <a:ln w="0">
              <a:noFill/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8. Aizliegto izstrādājumu laišana tirgū</c:v>
                </c:pt>
                <c:pt idx="1">
                  <c:v>7. Par neatbilstošu marķējumu </c:v>
                </c:pt>
                <c:pt idx="2">
                  <c:v>6. Par marķējuma neizvietošanu </c:v>
                </c:pt>
                <c:pt idx="3">
                  <c:v>5. Par plastmasas korķīšu vai vāciņu neatdalāmību </c:v>
                </c:pt>
                <c:pt idx="4">
                  <c:v>4. Prasību neievērošanu par pārstrādātas plastmasas saturu to dzērienu iepakojumā</c:v>
                </c:pt>
                <c:pt idx="5">
                  <c:v>3. Bezmaksas izsniegšana patērētājam, ja uz izstrādājumiem attiecas prasības par izsniegšanu par maksu</c:v>
                </c:pt>
                <c:pt idx="6">
                  <c:v>2. Patērētāja neinformēšana par alternatīvām</c:v>
                </c:pt>
                <c:pt idx="7">
                  <c:v>1. Alternatīvu nepiedāvāšana vai nepārdošana patērētājam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140</c:v>
                </c:pt>
                <c:pt idx="1">
                  <c:v>70</c:v>
                </c:pt>
                <c:pt idx="2">
                  <c:v>70</c:v>
                </c:pt>
                <c:pt idx="3">
                  <c:v>580</c:v>
                </c:pt>
                <c:pt idx="4">
                  <c:v>1040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0C-4A19-8091-834074843B38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Juridiskām personām</c:v>
                </c:pt>
              </c:strCache>
            </c:strRef>
          </c:tx>
          <c:spPr>
            <a:solidFill>
              <a:srgbClr val="0064FF"/>
            </a:solidFill>
            <a:ln w="0">
              <a:noFill/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8. Aizliegto izstrādājumu laišana tirgū</c:v>
                </c:pt>
                <c:pt idx="1">
                  <c:v>7. Par neatbilstošu marķējumu </c:v>
                </c:pt>
                <c:pt idx="2">
                  <c:v>6. Par marķējuma neizvietošanu </c:v>
                </c:pt>
                <c:pt idx="3">
                  <c:v>5. Par plastmasas korķīšu vai vāciņu neatdalāmību </c:v>
                </c:pt>
                <c:pt idx="4">
                  <c:v>4. Prasību neievērošanu par pārstrādātas plastmasas saturu to dzērienu iepakojumā</c:v>
                </c:pt>
                <c:pt idx="5">
                  <c:v>3. Bezmaksas izsniegšana patērētājam, ja uz izstrādājumiem attiecas prasības par izsniegšanu par maksu</c:v>
                </c:pt>
                <c:pt idx="6">
                  <c:v>2. Patērētāja neinformēšana par alternatīvām</c:v>
                </c:pt>
                <c:pt idx="7">
                  <c:v>1. Alternatīvu nepiedāvāšana vai nepārdošana patērētājam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8"/>
                <c:pt idx="0">
                  <c:v>1400</c:v>
                </c:pt>
                <c:pt idx="1">
                  <c:v>140</c:v>
                </c:pt>
                <c:pt idx="2">
                  <c:v>140</c:v>
                </c:pt>
                <c:pt idx="3">
                  <c:v>580</c:v>
                </c:pt>
                <c:pt idx="4">
                  <c:v>1040</c:v>
                </c:pt>
                <c:pt idx="5">
                  <c:v>70</c:v>
                </c:pt>
                <c:pt idx="6">
                  <c:v>70</c:v>
                </c:pt>
                <c:pt idx="7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0C-4A19-8091-834074843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211489"/>
        <c:axId val="39166354"/>
      </c:barChart>
      <c:catAx>
        <c:axId val="9211489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en-US"/>
          </a:p>
        </c:txPr>
        <c:crossAx val="39166354"/>
        <c:crosses val="autoZero"/>
        <c:auto val="1"/>
        <c:lblAlgn val="ctr"/>
        <c:lblOffset val="100"/>
        <c:noMultiLvlLbl val="0"/>
      </c:catAx>
      <c:valAx>
        <c:axId val="39166354"/>
        <c:scaling>
          <c:orientation val="minMax"/>
        </c:scaling>
        <c:delete val="1"/>
        <c:axPos val="b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crossAx val="9211489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Times New Roman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Custom 1">
    <a:dk1>
      <a:srgbClr val="000000"/>
    </a:dk1>
    <a:lt1>
      <a:srgbClr val="FFFFFF"/>
    </a:lt1>
    <a:dk2>
      <a:srgbClr val="0000A0"/>
    </a:dk2>
    <a:lt2>
      <a:srgbClr val="E7E6E6"/>
    </a:lt2>
    <a:accent1>
      <a:srgbClr val="0000A0"/>
    </a:accent1>
    <a:accent2>
      <a:srgbClr val="19084D"/>
    </a:accent2>
    <a:accent3>
      <a:srgbClr val="0064FF"/>
    </a:accent3>
    <a:accent4>
      <a:srgbClr val="8FFFA8"/>
    </a:accent4>
    <a:accent5>
      <a:srgbClr val="6F1999"/>
    </a:accent5>
    <a:accent6>
      <a:srgbClr val="F3276D"/>
    </a:accent6>
    <a:hlink>
      <a:srgbClr val="377BBF"/>
    </a:hlink>
    <a:folHlink>
      <a:srgbClr val="0080FF"/>
    </a:folHlink>
  </a:clrScheme>
  <a:fontScheme name="Office">
    <a:majorFont>
      <a:latin typeface="Calibri Light"/>
      <a:ea typeface=""/>
      <a:cs typeface=""/>
    </a:majorFont>
    <a:minorFont>
      <a:latin typeface="Calibri"/>
      <a:ea typeface=""/>
      <a:cs typeface=""/>
    </a:minorFont>
  </a:fontScheme>
  <a:fmtScheme>
    <a:fillStyleLst>
      <a:solidFill>
        <a:schemeClr val="phClr"/>
      </a:solidFill>
      <a:gradFill>
        <a:gsLst>
          <a:gs pos="0">
            <a:schemeClr val="phClr">
              <a:lumMod val="110000"/>
              <a:tint val="67000"/>
            </a:schemeClr>
          </a:gs>
          <a:gs pos="50000">
            <a:schemeClr val="phClr">
              <a:lumMod val="105000"/>
              <a:tint val="73000"/>
            </a:schemeClr>
          </a:gs>
          <a:gs pos="100000">
            <a:schemeClr val="phClr">
              <a:lumMod val="105000"/>
              <a:tint val="81000"/>
            </a:schemeClr>
          </a:gs>
        </a:gsLst>
        <a:lin ang="5400000" scaled="0"/>
        <a:tileRect/>
      </a:gradFill>
      <a:gradFill>
        <a:gsLst>
          <a:gs pos="0">
            <a:schemeClr val="phClr">
              <a:lumMod val="102000"/>
              <a:tint val="94000"/>
            </a:schemeClr>
          </a:gs>
          <a:gs pos="50000">
            <a:schemeClr val="phClr">
              <a:lumMod val="100000"/>
              <a:shade val="100000"/>
            </a:schemeClr>
          </a:gs>
          <a:gs pos="100000">
            <a:schemeClr val="phClr">
              <a:lumMod val="99000"/>
              <a:shade val="78000"/>
            </a:schemeClr>
          </a:gs>
        </a:gsLst>
        <a:lin ang="5400000" scaled="0"/>
        <a:tileRect/>
      </a:gradFill>
    </a:fillStyleLst>
    <a:lnStyleLst>
      <a:ln w="6350" cap="flat" cmpd="sng" algn="ctr">
        <a:prstDash val="solid"/>
        <a:miter lim="800000"/>
      </a:ln>
      <a:ln w="12700" cap="flat" cmpd="sng" algn="ctr">
        <a:prstDash val="solid"/>
        <a:miter lim="800000"/>
      </a:ln>
      <a:ln w="19050" cap="flat" cmpd="sng" algn="ctr"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/>
      </a:effectStyle>
    </a:effectStyleLst>
    <a:bgFillStyleLst>
      <a:solidFill>
        <a:schemeClr val="phClr"/>
      </a:solidFill>
      <a:solidFill>
        <a:schemeClr val="phClr">
          <a:tint val="95000"/>
        </a:schemeClr>
      </a:solidFill>
      <a:gradFill>
        <a:gsLst>
          <a:gs pos="0">
            <a:schemeClr val="phClr">
              <a:tint val="93000"/>
              <a:shade val="98000"/>
              <a:lumMod val="102000"/>
            </a:schemeClr>
          </a:gs>
          <a:gs pos="50000">
            <a:schemeClr val="phClr">
              <a:tint val="98000"/>
              <a:shade val="90000"/>
              <a:lumMod val="103000"/>
            </a:schemeClr>
          </a:gs>
          <a:gs pos="100000">
            <a:schemeClr val="phClr">
              <a:shade val="63000"/>
            </a:schemeClr>
          </a:gs>
        </a:gsLst>
        <a:lin ang="5400000" scaled="0"/>
        <a:tileRect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Bisofa</dc:creator>
  <cp:keywords/>
  <dc:description/>
  <cp:lastModifiedBy>Indra Ciukša</cp:lastModifiedBy>
  <cp:revision>2</cp:revision>
  <dcterms:created xsi:type="dcterms:W3CDTF">2025-06-27T09:14:00Z</dcterms:created>
  <dcterms:modified xsi:type="dcterms:W3CDTF">2025-06-27T09:14:00Z</dcterms:modified>
</cp:coreProperties>
</file>