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E3" w:rsidRPr="00D12C82" w:rsidRDefault="003A76E3" w:rsidP="003A76E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C82">
        <w:rPr>
          <w:rFonts w:ascii="Times New Roman" w:hAnsi="Times New Roman" w:cs="Times New Roman"/>
          <w:b/>
          <w:sz w:val="28"/>
          <w:szCs w:val="28"/>
        </w:rPr>
        <w:t xml:space="preserve">Ziņojums par </w:t>
      </w:r>
      <w:r w:rsidR="001126CA" w:rsidRPr="00D12C82">
        <w:rPr>
          <w:rFonts w:ascii="Times New Roman" w:hAnsi="Times New Roman" w:cs="Times New Roman"/>
          <w:b/>
          <w:sz w:val="28"/>
          <w:szCs w:val="28"/>
        </w:rPr>
        <w:t>pašvaldību civilās aizsardzības komisiju apmācību</w:t>
      </w:r>
    </w:p>
    <w:p w:rsidR="003A76E3" w:rsidRDefault="003A76E3" w:rsidP="004F7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C82" w:rsidRPr="00D12C82" w:rsidRDefault="00D12C82" w:rsidP="00D12C82">
      <w:pPr>
        <w:pStyle w:val="Sarakstarindko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C82">
        <w:rPr>
          <w:rFonts w:ascii="Times New Roman" w:hAnsi="Times New Roman" w:cs="Times New Roman"/>
          <w:b/>
          <w:sz w:val="28"/>
          <w:szCs w:val="28"/>
        </w:rPr>
        <w:t>Patreizējā situācija</w:t>
      </w:r>
    </w:p>
    <w:p w:rsidR="00164E86" w:rsidRDefault="001126CA" w:rsidP="00164E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Valsts ugunsdzēsības un glābšanas dienests pēc 2013.gada plūdiem, kā arī pamatojoties uz </w:t>
      </w:r>
      <w:r w:rsidR="00164E86" w:rsidRPr="00164E86">
        <w:rPr>
          <w:rFonts w:ascii="Times New Roman" w:hAnsi="Times New Roman" w:cs="Times New Roman"/>
          <w:sz w:val="28"/>
          <w:szCs w:val="28"/>
        </w:rPr>
        <w:t xml:space="preserve">pamatojoties </w:t>
      </w:r>
      <w:r w:rsidR="00164E86">
        <w:rPr>
          <w:rFonts w:ascii="Times New Roman" w:hAnsi="Times New Roman" w:cs="Times New Roman"/>
          <w:sz w:val="28"/>
          <w:szCs w:val="28"/>
        </w:rPr>
        <w:t xml:space="preserve">uz Civilās aizsardzības likuma </w:t>
      </w:r>
      <w:r w:rsidR="00164E86" w:rsidRPr="00164E86">
        <w:rPr>
          <w:rFonts w:ascii="Times New Roman" w:hAnsi="Times New Roman" w:cs="Times New Roman"/>
          <w:sz w:val="28"/>
          <w:szCs w:val="28"/>
        </w:rPr>
        <w:t xml:space="preserve">7.panta pirmās daļas 14.punktu </w:t>
      </w:r>
      <w:r w:rsidR="00164E86">
        <w:rPr>
          <w:rFonts w:ascii="Times New Roman" w:hAnsi="Times New Roman" w:cs="Times New Roman"/>
          <w:sz w:val="28"/>
          <w:szCs w:val="28"/>
        </w:rPr>
        <w:t xml:space="preserve">un </w:t>
      </w:r>
      <w:r>
        <w:rPr>
          <w:rFonts w:ascii="Times New Roman" w:hAnsi="Times New Roman" w:cs="Times New Roman"/>
          <w:sz w:val="28"/>
          <w:szCs w:val="28"/>
        </w:rPr>
        <w:t xml:space="preserve">Krīzes vadības padomes 2013.gada 20.maija sēdes </w:t>
      </w:r>
      <w:r w:rsidR="00164E86">
        <w:rPr>
          <w:rFonts w:ascii="Times New Roman" w:hAnsi="Times New Roman" w:cs="Times New Roman"/>
          <w:sz w:val="28"/>
          <w:szCs w:val="28"/>
        </w:rPr>
        <w:t>protokolā</w:t>
      </w:r>
      <w:r>
        <w:rPr>
          <w:rFonts w:ascii="Times New Roman" w:hAnsi="Times New Roman" w:cs="Times New Roman"/>
          <w:sz w:val="28"/>
          <w:szCs w:val="28"/>
        </w:rPr>
        <w:t xml:space="preserve"> Nr.25 (5.§</w:t>
      </w:r>
      <w:r w:rsidR="00164E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2.1. un 2.3.</w:t>
      </w:r>
      <w:r w:rsidR="00164E86">
        <w:rPr>
          <w:rFonts w:ascii="Times New Roman" w:hAnsi="Times New Roman" w:cs="Times New Roman"/>
          <w:sz w:val="28"/>
          <w:szCs w:val="28"/>
        </w:rPr>
        <w:t>apakšpunktā</w:t>
      </w:r>
      <w:r>
        <w:rPr>
          <w:rFonts w:ascii="Times New Roman" w:hAnsi="Times New Roman" w:cs="Times New Roman"/>
          <w:sz w:val="28"/>
          <w:szCs w:val="28"/>
        </w:rPr>
        <w:t xml:space="preserve"> noteikto izstrādāja</w:t>
      </w:r>
      <w:r w:rsidR="00164E86">
        <w:rPr>
          <w:rFonts w:ascii="Times New Roman" w:hAnsi="Times New Roman" w:cs="Times New Roman"/>
          <w:sz w:val="28"/>
          <w:szCs w:val="28"/>
        </w:rPr>
        <w:t xml:space="preserve"> 7 stundu pašvaldību civilās aizsardzības komisiju apmācības programmu. Apmācības programmu 2013.gada 7.maijā apstiprināja Valsts ugunsdzēsības un glābšanas dienesta priekšnieks. </w:t>
      </w:r>
    </w:p>
    <w:p w:rsidR="00164E86" w:rsidRDefault="00164E86" w:rsidP="00164E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Minētajā apmācības programmā tika iekļautas šādas tēmas:</w:t>
      </w:r>
    </w:p>
    <w:p w:rsidR="00164E86" w:rsidRDefault="00164E86" w:rsidP="00164E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6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Reatabula"/>
        <w:tblW w:w="0" w:type="auto"/>
        <w:tblLook w:val="01E0" w:firstRow="1" w:lastRow="1" w:firstColumn="1" w:lastColumn="1" w:noHBand="0" w:noVBand="0"/>
      </w:tblPr>
      <w:tblGrid>
        <w:gridCol w:w="620"/>
        <w:gridCol w:w="1690"/>
        <w:gridCol w:w="3918"/>
        <w:gridCol w:w="909"/>
        <w:gridCol w:w="1230"/>
        <w:gridCol w:w="779"/>
      </w:tblGrid>
      <w:tr w:rsidR="00164E86" w:rsidRPr="00164E86" w:rsidTr="00877E8B"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Nr.</w:t>
            </w:r>
          </w:p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p.k.</w:t>
            </w:r>
          </w:p>
        </w:tc>
        <w:tc>
          <w:tcPr>
            <w:tcW w:w="1690" w:type="dxa"/>
            <w:vMerge w:val="restart"/>
            <w:tcBorders>
              <w:top w:val="single" w:sz="12" w:space="0" w:color="auto"/>
            </w:tcBorders>
            <w:vAlign w:val="center"/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Tēmas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proofErr w:type="spellStart"/>
            <w:r w:rsidRPr="00164E86">
              <w:rPr>
                <w:sz w:val="24"/>
                <w:szCs w:val="24"/>
              </w:rPr>
              <w:t>Apakštēmas</w:t>
            </w:r>
            <w:proofErr w:type="spellEnd"/>
          </w:p>
        </w:tc>
        <w:tc>
          <w:tcPr>
            <w:tcW w:w="2918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Stundu skaits</w:t>
            </w:r>
          </w:p>
        </w:tc>
      </w:tr>
      <w:tr w:rsidR="00164E86" w:rsidRPr="00164E86" w:rsidTr="00877E8B"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bottom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</w:p>
        </w:tc>
        <w:tc>
          <w:tcPr>
            <w:tcW w:w="3918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left w:val="single" w:sz="6" w:space="0" w:color="auto"/>
              <w:bottom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Teorija</w:t>
            </w:r>
          </w:p>
        </w:tc>
        <w:tc>
          <w:tcPr>
            <w:tcW w:w="1230" w:type="dxa"/>
            <w:tcBorders>
              <w:bottom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Praktiskie darbi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Kopā</w:t>
            </w:r>
          </w:p>
        </w:tc>
      </w:tr>
      <w:tr w:rsidR="00164E86" w:rsidRPr="00164E86" w:rsidTr="00877E8B">
        <w:tc>
          <w:tcPr>
            <w:tcW w:w="620" w:type="dxa"/>
            <w:tcBorders>
              <w:top w:val="single" w:sz="12" w:space="0" w:color="auto"/>
              <w:lef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1.</w:t>
            </w:r>
          </w:p>
        </w:tc>
        <w:tc>
          <w:tcPr>
            <w:tcW w:w="1690" w:type="dxa"/>
            <w:tcBorders>
              <w:top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Civilās aizsardzības sistēma valstī, ES un NATO</w:t>
            </w:r>
          </w:p>
        </w:tc>
        <w:tc>
          <w:tcPr>
            <w:tcW w:w="3918" w:type="dxa"/>
            <w:tcBorders>
              <w:top w:val="single" w:sz="12" w:space="0" w:color="auto"/>
            </w:tcBorders>
          </w:tcPr>
          <w:p w:rsidR="00164E86" w:rsidRPr="00164E86" w:rsidRDefault="00164E86" w:rsidP="00164E86">
            <w:pPr>
              <w:pStyle w:val="Pamatteksts"/>
              <w:numPr>
                <w:ilvl w:val="0"/>
                <w:numId w:val="2"/>
              </w:numPr>
              <w:ind w:right="-57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civilās aizsardzības sistēmas loma nacionālās drošības sistēmā</w:t>
            </w:r>
          </w:p>
          <w:p w:rsidR="00164E86" w:rsidRPr="00164E86" w:rsidRDefault="00164E86" w:rsidP="00164E86">
            <w:pPr>
              <w:pStyle w:val="Pamatteksts"/>
              <w:numPr>
                <w:ilvl w:val="0"/>
                <w:numId w:val="2"/>
              </w:numPr>
              <w:ind w:right="-57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civilās aizsardzības loma ES un NATO</w:t>
            </w:r>
          </w:p>
          <w:p w:rsidR="00164E86" w:rsidRPr="00164E86" w:rsidRDefault="00164E86" w:rsidP="00164E86">
            <w:pPr>
              <w:pStyle w:val="Pamatteksts"/>
              <w:numPr>
                <w:ilvl w:val="0"/>
                <w:numId w:val="2"/>
              </w:numPr>
              <w:ind w:right="-57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 xml:space="preserve">civilās aizsardzības sistēmas organizācija, struktūra, galvenie uzdevumi, vadība </w:t>
            </w:r>
          </w:p>
          <w:p w:rsidR="00164E86" w:rsidRPr="00164E86" w:rsidRDefault="00164E86" w:rsidP="00164E86">
            <w:pPr>
              <w:pStyle w:val="Pamatteksts"/>
              <w:numPr>
                <w:ilvl w:val="0"/>
                <w:numId w:val="2"/>
              </w:numPr>
              <w:ind w:right="-57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pašvaldību uzdevumi un tiesības</w:t>
            </w:r>
          </w:p>
          <w:p w:rsidR="00164E86" w:rsidRPr="00164E86" w:rsidRDefault="00164E86" w:rsidP="00164E86">
            <w:pPr>
              <w:pStyle w:val="Pamatteksts"/>
              <w:numPr>
                <w:ilvl w:val="0"/>
                <w:numId w:val="2"/>
              </w:numPr>
              <w:ind w:right="-57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valsts iestāžu uzdevumi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</w:tr>
      <w:tr w:rsidR="00164E86" w:rsidRPr="00164E86" w:rsidTr="00877E8B">
        <w:tc>
          <w:tcPr>
            <w:tcW w:w="620" w:type="dxa"/>
            <w:tcBorders>
              <w:lef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2.</w:t>
            </w:r>
          </w:p>
        </w:tc>
        <w:tc>
          <w:tcPr>
            <w:tcW w:w="1690" w:type="dxa"/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Pašvaldības civilās aizsardzības komisija</w:t>
            </w:r>
          </w:p>
        </w:tc>
        <w:tc>
          <w:tcPr>
            <w:tcW w:w="3918" w:type="dxa"/>
          </w:tcPr>
          <w:p w:rsidR="00164E86" w:rsidRPr="00164E86" w:rsidRDefault="00164E86" w:rsidP="00164E86">
            <w:pPr>
              <w:numPr>
                <w:ilvl w:val="0"/>
                <w:numId w:val="2"/>
              </w:num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4E86">
              <w:rPr>
                <w:rFonts w:ascii="Times New Roman" w:hAnsi="Times New Roman" w:cs="Times New Roman"/>
                <w:sz w:val="24"/>
                <w:szCs w:val="24"/>
              </w:rPr>
              <w:t>pašvaldības civilās aizsardzības komisijas tiesiskais statuss</w:t>
            </w:r>
          </w:p>
          <w:p w:rsidR="00164E86" w:rsidRPr="00164E86" w:rsidRDefault="00164E86" w:rsidP="00164E86">
            <w:pPr>
              <w:numPr>
                <w:ilvl w:val="0"/>
                <w:numId w:val="2"/>
              </w:num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4E86">
              <w:rPr>
                <w:rFonts w:ascii="Times New Roman" w:hAnsi="Times New Roman" w:cs="Times New Roman"/>
                <w:sz w:val="24"/>
                <w:szCs w:val="24"/>
              </w:rPr>
              <w:t xml:space="preserve">pašvaldības civilās aizsardzības komisijas uzdevumi, tiesības, struktūra, organizācija </w:t>
            </w:r>
          </w:p>
        </w:tc>
        <w:tc>
          <w:tcPr>
            <w:tcW w:w="909" w:type="dxa"/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</w:tr>
      <w:tr w:rsidR="00164E86" w:rsidRPr="00164E86" w:rsidTr="00877E8B">
        <w:tc>
          <w:tcPr>
            <w:tcW w:w="620" w:type="dxa"/>
            <w:tcBorders>
              <w:lef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3.</w:t>
            </w:r>
          </w:p>
        </w:tc>
        <w:tc>
          <w:tcPr>
            <w:tcW w:w="1690" w:type="dxa"/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 xml:space="preserve">Ārkārtējās situācijas </w:t>
            </w:r>
          </w:p>
        </w:tc>
        <w:tc>
          <w:tcPr>
            <w:tcW w:w="3918" w:type="dxa"/>
          </w:tcPr>
          <w:p w:rsidR="00164E86" w:rsidRPr="00164E86" w:rsidRDefault="00164E86" w:rsidP="00164E86">
            <w:pPr>
              <w:numPr>
                <w:ilvl w:val="0"/>
                <w:numId w:val="2"/>
              </w:num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4E86">
              <w:rPr>
                <w:rFonts w:ascii="Times New Roman" w:hAnsi="Times New Roman" w:cs="Times New Roman"/>
                <w:sz w:val="24"/>
                <w:szCs w:val="24"/>
              </w:rPr>
              <w:t>termina „ārkārtējā situācija” skaidrojums</w:t>
            </w:r>
          </w:p>
          <w:p w:rsidR="00164E86" w:rsidRPr="00164E86" w:rsidRDefault="00164E86" w:rsidP="00164E86">
            <w:pPr>
              <w:numPr>
                <w:ilvl w:val="0"/>
                <w:numId w:val="2"/>
              </w:num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4E86">
              <w:rPr>
                <w:rFonts w:ascii="Times New Roman" w:hAnsi="Times New Roman" w:cs="Times New Roman"/>
                <w:sz w:val="24"/>
                <w:szCs w:val="24"/>
              </w:rPr>
              <w:t>ārkārtējās situācijas spēks laikā un tā tiesiskās sekas</w:t>
            </w:r>
          </w:p>
          <w:p w:rsidR="00164E86" w:rsidRPr="00164E86" w:rsidRDefault="00164E86" w:rsidP="00164E86">
            <w:pPr>
              <w:numPr>
                <w:ilvl w:val="0"/>
                <w:numId w:val="2"/>
              </w:num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4E86">
              <w:rPr>
                <w:rFonts w:ascii="Times New Roman" w:hAnsi="Times New Roman" w:cs="Times New Roman"/>
                <w:sz w:val="24"/>
                <w:szCs w:val="24"/>
              </w:rPr>
              <w:t>ārkārtējās situācijas izsludināšanas kārtība</w:t>
            </w:r>
          </w:p>
          <w:p w:rsidR="00164E86" w:rsidRPr="00164E86" w:rsidRDefault="00164E86" w:rsidP="00164E86">
            <w:pPr>
              <w:numPr>
                <w:ilvl w:val="0"/>
                <w:numId w:val="2"/>
              </w:num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4E86">
              <w:rPr>
                <w:rFonts w:ascii="Times New Roman" w:hAnsi="Times New Roman" w:cs="Times New Roman"/>
                <w:sz w:val="24"/>
                <w:szCs w:val="24"/>
              </w:rPr>
              <w:t>Ministru kabineta tiesības izsludinot ārkārtējo situāciju</w:t>
            </w:r>
          </w:p>
        </w:tc>
        <w:tc>
          <w:tcPr>
            <w:tcW w:w="909" w:type="dxa"/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</w:tr>
      <w:tr w:rsidR="00164E86" w:rsidRPr="00164E86" w:rsidTr="00877E8B">
        <w:tc>
          <w:tcPr>
            <w:tcW w:w="620" w:type="dxa"/>
            <w:tcBorders>
              <w:lef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4.</w:t>
            </w:r>
          </w:p>
        </w:tc>
        <w:tc>
          <w:tcPr>
            <w:tcW w:w="1690" w:type="dxa"/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Pašvaldības civilās aizsardzības plāns</w:t>
            </w:r>
          </w:p>
        </w:tc>
        <w:tc>
          <w:tcPr>
            <w:tcW w:w="3918" w:type="dxa"/>
          </w:tcPr>
          <w:p w:rsidR="00164E86" w:rsidRPr="00164E86" w:rsidRDefault="00164E86" w:rsidP="00164E86">
            <w:pPr>
              <w:numPr>
                <w:ilvl w:val="0"/>
                <w:numId w:val="2"/>
              </w:num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4E86">
              <w:rPr>
                <w:rFonts w:ascii="Times New Roman" w:hAnsi="Times New Roman" w:cs="Times New Roman"/>
                <w:sz w:val="24"/>
                <w:szCs w:val="24"/>
              </w:rPr>
              <w:t>pamatojums</w:t>
            </w:r>
          </w:p>
          <w:p w:rsidR="00164E86" w:rsidRPr="00164E86" w:rsidRDefault="00164E86" w:rsidP="00164E86">
            <w:pPr>
              <w:numPr>
                <w:ilvl w:val="0"/>
                <w:numId w:val="2"/>
              </w:num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4E86">
              <w:rPr>
                <w:rFonts w:ascii="Times New Roman" w:hAnsi="Times New Roman" w:cs="Times New Roman"/>
                <w:sz w:val="24"/>
                <w:szCs w:val="24"/>
              </w:rPr>
              <w:t>plāna struktūra</w:t>
            </w:r>
          </w:p>
          <w:p w:rsidR="00164E86" w:rsidRPr="00164E86" w:rsidRDefault="00164E86" w:rsidP="00164E86">
            <w:pPr>
              <w:numPr>
                <w:ilvl w:val="0"/>
                <w:numId w:val="2"/>
              </w:num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4E86">
              <w:rPr>
                <w:rFonts w:ascii="Times New Roman" w:hAnsi="Times New Roman" w:cs="Times New Roman"/>
                <w:sz w:val="24"/>
                <w:szCs w:val="24"/>
              </w:rPr>
              <w:t>plāna izvērtēšana, precizēšana</w:t>
            </w:r>
          </w:p>
        </w:tc>
        <w:tc>
          <w:tcPr>
            <w:tcW w:w="909" w:type="dxa"/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</w:tr>
      <w:tr w:rsidR="00164E86" w:rsidRPr="00164E86" w:rsidTr="00877E8B">
        <w:tc>
          <w:tcPr>
            <w:tcW w:w="620" w:type="dxa"/>
            <w:tcBorders>
              <w:lef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5.</w:t>
            </w:r>
          </w:p>
        </w:tc>
        <w:tc>
          <w:tcPr>
            <w:tcW w:w="1690" w:type="dxa"/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Katastrofu pārvaldīšana</w:t>
            </w:r>
          </w:p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:rsidR="00164E86" w:rsidRPr="00164E86" w:rsidRDefault="00164E86" w:rsidP="00164E86">
            <w:pPr>
              <w:numPr>
                <w:ilvl w:val="0"/>
                <w:numId w:val="2"/>
              </w:num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4E86">
              <w:rPr>
                <w:rFonts w:ascii="Times New Roman" w:hAnsi="Times New Roman" w:cs="Times New Roman"/>
                <w:sz w:val="24"/>
                <w:szCs w:val="24"/>
              </w:rPr>
              <w:t>termina „katastrofu pārvaldīšana” skaidrojums</w:t>
            </w:r>
          </w:p>
          <w:p w:rsidR="00164E86" w:rsidRPr="00164E86" w:rsidRDefault="00164E86" w:rsidP="00164E86">
            <w:pPr>
              <w:numPr>
                <w:ilvl w:val="0"/>
                <w:numId w:val="2"/>
              </w:num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4E86">
              <w:rPr>
                <w:rFonts w:ascii="Times New Roman" w:hAnsi="Times New Roman" w:cs="Times New Roman"/>
                <w:sz w:val="24"/>
                <w:szCs w:val="24"/>
              </w:rPr>
              <w:t>valstī iespējamās katastrofas to sekas</w:t>
            </w:r>
          </w:p>
          <w:p w:rsidR="00164E86" w:rsidRPr="00164E86" w:rsidRDefault="00164E86" w:rsidP="00164E86">
            <w:pPr>
              <w:numPr>
                <w:ilvl w:val="0"/>
                <w:numId w:val="2"/>
              </w:num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4E86">
              <w:rPr>
                <w:rFonts w:ascii="Times New Roman" w:hAnsi="Times New Roman" w:cs="Times New Roman"/>
                <w:sz w:val="24"/>
                <w:szCs w:val="24"/>
              </w:rPr>
              <w:t>iedzīvotāju nodrošināšana ar pārtiku valsts apdraudējuma gadījumā</w:t>
            </w:r>
          </w:p>
        </w:tc>
        <w:tc>
          <w:tcPr>
            <w:tcW w:w="909" w:type="dxa"/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</w:tr>
      <w:tr w:rsidR="00164E86" w:rsidRPr="00164E86" w:rsidTr="00877E8B">
        <w:tc>
          <w:tcPr>
            <w:tcW w:w="620" w:type="dxa"/>
            <w:tcBorders>
              <w:lef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690" w:type="dxa"/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 xml:space="preserve">Civilās aizsardzības mācības </w:t>
            </w:r>
          </w:p>
        </w:tc>
        <w:tc>
          <w:tcPr>
            <w:tcW w:w="3918" w:type="dxa"/>
          </w:tcPr>
          <w:p w:rsidR="00164E86" w:rsidRPr="00164E86" w:rsidRDefault="00164E86" w:rsidP="00164E86">
            <w:pPr>
              <w:pStyle w:val="Pamatteksts"/>
              <w:numPr>
                <w:ilvl w:val="0"/>
                <w:numId w:val="2"/>
              </w:numPr>
              <w:ind w:right="-57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mācību veidi</w:t>
            </w:r>
          </w:p>
          <w:p w:rsidR="00164E86" w:rsidRPr="00164E86" w:rsidRDefault="00164E86" w:rsidP="00164E86">
            <w:pPr>
              <w:pStyle w:val="Pamatteksts"/>
              <w:numPr>
                <w:ilvl w:val="0"/>
                <w:numId w:val="2"/>
              </w:numPr>
              <w:ind w:right="-57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mācību organizēšanas kārtība</w:t>
            </w:r>
          </w:p>
        </w:tc>
        <w:tc>
          <w:tcPr>
            <w:tcW w:w="909" w:type="dxa"/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</w:tr>
      <w:tr w:rsidR="00164E86" w:rsidRPr="00164E86" w:rsidTr="00877E8B">
        <w:tc>
          <w:tcPr>
            <w:tcW w:w="620" w:type="dxa"/>
            <w:tcBorders>
              <w:left w:val="single" w:sz="12" w:space="0" w:color="auto"/>
              <w:bottom w:val="single" w:sz="4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7.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164E86" w:rsidRPr="00164E86" w:rsidRDefault="00164E86" w:rsidP="00877E8B">
            <w:pPr>
              <w:pStyle w:val="Pamatteksts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Pašvaldību civilās aizsardzības komisijas rīcība katastrofu gadījumā, ņemot vērā scenārijā noteikto</w:t>
            </w:r>
          </w:p>
        </w:tc>
        <w:tc>
          <w:tcPr>
            <w:tcW w:w="3918" w:type="dxa"/>
            <w:tcBorders>
              <w:bottom w:val="single" w:sz="4" w:space="0" w:color="auto"/>
            </w:tcBorders>
          </w:tcPr>
          <w:p w:rsidR="00164E86" w:rsidRPr="00164E86" w:rsidRDefault="00164E86" w:rsidP="00164E86">
            <w:pPr>
              <w:pStyle w:val="Pamatteksts"/>
              <w:numPr>
                <w:ilvl w:val="0"/>
                <w:numId w:val="2"/>
              </w:numPr>
              <w:ind w:right="-57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plūdi</w:t>
            </w:r>
          </w:p>
          <w:p w:rsidR="00164E86" w:rsidRPr="00164E86" w:rsidRDefault="00164E86" w:rsidP="00164E86">
            <w:pPr>
              <w:pStyle w:val="Pamatteksts"/>
              <w:numPr>
                <w:ilvl w:val="0"/>
                <w:numId w:val="2"/>
              </w:numPr>
              <w:ind w:right="-57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elektrotīklu bojājumi</w:t>
            </w:r>
          </w:p>
          <w:p w:rsidR="00164E86" w:rsidRPr="00164E86" w:rsidRDefault="00164E86" w:rsidP="00164E86">
            <w:pPr>
              <w:pStyle w:val="Pamatteksts"/>
              <w:numPr>
                <w:ilvl w:val="0"/>
                <w:numId w:val="2"/>
              </w:numPr>
              <w:ind w:right="-57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bīstamo ķīmisko vielu noplūde</w:t>
            </w:r>
          </w:p>
          <w:p w:rsidR="00164E86" w:rsidRPr="00164E86" w:rsidRDefault="00164E86" w:rsidP="00164E86">
            <w:pPr>
              <w:pStyle w:val="Pamatteksts"/>
              <w:numPr>
                <w:ilvl w:val="0"/>
                <w:numId w:val="2"/>
              </w:numPr>
              <w:ind w:right="-57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epizootija</w:t>
            </w:r>
          </w:p>
          <w:p w:rsidR="00164E86" w:rsidRPr="00164E86" w:rsidRDefault="00164E86" w:rsidP="00164E86">
            <w:pPr>
              <w:pStyle w:val="Pamatteksts"/>
              <w:numPr>
                <w:ilvl w:val="0"/>
                <w:numId w:val="2"/>
              </w:numPr>
              <w:ind w:right="-57"/>
              <w:jc w:val="lef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 xml:space="preserve">vētra 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righ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1</w:t>
            </w:r>
          </w:p>
        </w:tc>
      </w:tr>
      <w:tr w:rsidR="00164E86" w:rsidRPr="00164E86" w:rsidTr="00877E8B">
        <w:tc>
          <w:tcPr>
            <w:tcW w:w="8367" w:type="dxa"/>
            <w:gridSpan w:val="5"/>
            <w:tcBorders>
              <w:left w:val="single" w:sz="4" w:space="0" w:color="auto"/>
            </w:tcBorders>
          </w:tcPr>
          <w:p w:rsidR="00164E86" w:rsidRPr="00164E86" w:rsidRDefault="00164E86" w:rsidP="00877E8B">
            <w:pPr>
              <w:pStyle w:val="Pamatteksts"/>
              <w:jc w:val="right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Kopā:</w:t>
            </w:r>
          </w:p>
        </w:tc>
        <w:tc>
          <w:tcPr>
            <w:tcW w:w="779" w:type="dxa"/>
            <w:tcBorders>
              <w:right w:val="single" w:sz="12" w:space="0" w:color="auto"/>
            </w:tcBorders>
          </w:tcPr>
          <w:p w:rsidR="00164E86" w:rsidRPr="00164E86" w:rsidRDefault="00164E86" w:rsidP="00877E8B">
            <w:pPr>
              <w:pStyle w:val="Pamatteksts"/>
              <w:jc w:val="center"/>
              <w:rPr>
                <w:sz w:val="24"/>
                <w:szCs w:val="24"/>
              </w:rPr>
            </w:pPr>
            <w:r w:rsidRPr="00164E86">
              <w:rPr>
                <w:sz w:val="24"/>
                <w:szCs w:val="24"/>
              </w:rPr>
              <w:t>7</w:t>
            </w:r>
          </w:p>
        </w:tc>
      </w:tr>
    </w:tbl>
    <w:p w:rsidR="00CC51F3" w:rsidRDefault="00CC51F3" w:rsidP="00164E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E86" w:rsidRPr="00164E86" w:rsidRDefault="00164E86" w:rsidP="00164E8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E86">
        <w:rPr>
          <w:rFonts w:ascii="Times New Roman" w:hAnsi="Times New Roman" w:cs="Times New Roman"/>
          <w:bCs/>
          <w:sz w:val="28"/>
          <w:szCs w:val="28"/>
        </w:rPr>
        <w:t xml:space="preserve">Apmācības </w:t>
      </w:r>
      <w:r>
        <w:rPr>
          <w:rFonts w:ascii="Times New Roman" w:hAnsi="Times New Roman" w:cs="Times New Roman"/>
          <w:bCs/>
          <w:sz w:val="28"/>
          <w:szCs w:val="28"/>
        </w:rPr>
        <w:t>programma paredz, ka tās</w:t>
      </w:r>
      <w:r w:rsidRPr="00164E86">
        <w:rPr>
          <w:rFonts w:ascii="Times New Roman" w:hAnsi="Times New Roman" w:cs="Times New Roman"/>
          <w:bCs/>
          <w:sz w:val="28"/>
          <w:szCs w:val="28"/>
        </w:rPr>
        <w:t xml:space="preserve"> īstenošanu ne retāk, kā reizi četros gados nodrošina </w:t>
      </w:r>
      <w:r w:rsidRPr="00164E86">
        <w:rPr>
          <w:rFonts w:ascii="Times New Roman" w:hAnsi="Times New Roman" w:cs="Times New Roman"/>
          <w:sz w:val="28"/>
          <w:szCs w:val="28"/>
        </w:rPr>
        <w:t xml:space="preserve">Valsts ugunsdzēsības un glābšanas dienesta priekšnieka attiecīgās pašvaldības civilās aizsardzības komisijā norīkotā Valsts ugunsdzēsības un glābšanas dienesta amatpersona, republikas pilsētās </w:t>
      </w:r>
      <w:r>
        <w:rPr>
          <w:rFonts w:ascii="Times New Roman" w:hAnsi="Times New Roman" w:cs="Times New Roman"/>
          <w:sz w:val="28"/>
          <w:szCs w:val="28"/>
        </w:rPr>
        <w:t xml:space="preserve">Valsts ugunsdzēsības un glābšanas dienesta </w:t>
      </w:r>
      <w:r w:rsidRPr="00164E86">
        <w:rPr>
          <w:rFonts w:ascii="Times New Roman" w:hAnsi="Times New Roman" w:cs="Times New Roman"/>
          <w:sz w:val="28"/>
          <w:szCs w:val="28"/>
        </w:rPr>
        <w:t>Civilās aizsardzības pārvaldes amatpersonas.</w:t>
      </w:r>
    </w:p>
    <w:p w:rsidR="00164E86" w:rsidRPr="00164E86" w:rsidRDefault="00164E86" w:rsidP="00164E8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E86">
        <w:rPr>
          <w:rFonts w:ascii="Times New Roman" w:hAnsi="Times New Roman" w:cs="Times New Roman"/>
          <w:bCs/>
          <w:sz w:val="28"/>
          <w:szCs w:val="28"/>
        </w:rPr>
        <w:t xml:space="preserve">Praktiskā darba īstenošanai </w:t>
      </w:r>
      <w:r>
        <w:rPr>
          <w:rFonts w:ascii="Times New Roman" w:hAnsi="Times New Roman" w:cs="Times New Roman"/>
          <w:bCs/>
          <w:sz w:val="28"/>
          <w:szCs w:val="28"/>
        </w:rPr>
        <w:t>katrai pašvaldības civilās aizsardzības komisijai tika izstrādāti</w:t>
      </w:r>
      <w:r w:rsidRPr="00164E86">
        <w:rPr>
          <w:rFonts w:ascii="Times New Roman" w:hAnsi="Times New Roman" w:cs="Times New Roman"/>
          <w:bCs/>
          <w:sz w:val="28"/>
          <w:szCs w:val="28"/>
        </w:rPr>
        <w:t xml:space="preserve"> pieci scenāriji (</w:t>
      </w:r>
      <w:r>
        <w:rPr>
          <w:rFonts w:ascii="Times New Roman" w:hAnsi="Times New Roman" w:cs="Times New Roman"/>
          <w:bCs/>
          <w:sz w:val="28"/>
          <w:szCs w:val="28"/>
        </w:rPr>
        <w:t>plūdi, elektrotīklu bojājumi, epizootija, vētra, bīstamo ķīmisko vielu noplūde</w:t>
      </w:r>
      <w:r w:rsidRPr="00164E86">
        <w:rPr>
          <w:rFonts w:ascii="Times New Roman" w:hAnsi="Times New Roman" w:cs="Times New Roman"/>
          <w:bCs/>
          <w:sz w:val="28"/>
          <w:szCs w:val="28"/>
        </w:rPr>
        <w:t>).</w:t>
      </w:r>
      <w:r>
        <w:rPr>
          <w:rFonts w:ascii="Times New Roman" w:hAnsi="Times New Roman" w:cs="Times New Roman"/>
          <w:bCs/>
          <w:sz w:val="28"/>
          <w:szCs w:val="28"/>
        </w:rPr>
        <w:t xml:space="preserve"> Scenāriju izvēlē tika</w:t>
      </w:r>
      <w:r w:rsidR="00D12C82">
        <w:rPr>
          <w:rFonts w:ascii="Times New Roman" w:hAnsi="Times New Roman" w:cs="Times New Roman"/>
          <w:bCs/>
          <w:sz w:val="28"/>
          <w:szCs w:val="28"/>
        </w:rPr>
        <w:t xml:space="preserve"> ņem</w:t>
      </w:r>
      <w:r w:rsidRPr="00164E86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r w:rsidRPr="00164E86">
        <w:rPr>
          <w:rFonts w:ascii="Times New Roman" w:hAnsi="Times New Roman" w:cs="Times New Roman"/>
          <w:bCs/>
          <w:sz w:val="28"/>
          <w:szCs w:val="28"/>
        </w:rPr>
        <w:t xml:space="preserve"> vērā attiecīgajā pašvaldībā iespējamāk</w:t>
      </w:r>
      <w:r w:rsidR="00D12C82">
        <w:rPr>
          <w:rFonts w:ascii="Times New Roman" w:hAnsi="Times New Roman" w:cs="Times New Roman"/>
          <w:bCs/>
          <w:sz w:val="28"/>
          <w:szCs w:val="28"/>
        </w:rPr>
        <w:t>ais</w:t>
      </w:r>
      <w:r w:rsidRPr="00164E86">
        <w:rPr>
          <w:rFonts w:ascii="Times New Roman" w:hAnsi="Times New Roman" w:cs="Times New Roman"/>
          <w:bCs/>
          <w:sz w:val="28"/>
          <w:szCs w:val="28"/>
        </w:rPr>
        <w:t xml:space="preserve"> apdraudējum</w:t>
      </w:r>
      <w:r w:rsidR="00D12C82">
        <w:rPr>
          <w:rFonts w:ascii="Times New Roman" w:hAnsi="Times New Roman" w:cs="Times New Roman"/>
          <w:bCs/>
          <w:sz w:val="28"/>
          <w:szCs w:val="28"/>
        </w:rPr>
        <w:t>s</w:t>
      </w:r>
      <w:r w:rsidRPr="00164E86">
        <w:rPr>
          <w:rFonts w:ascii="Times New Roman" w:hAnsi="Times New Roman" w:cs="Times New Roman"/>
          <w:bCs/>
          <w:sz w:val="28"/>
          <w:szCs w:val="28"/>
        </w:rPr>
        <w:t xml:space="preserve"> vai arī pašvaldības civilās aizsardzības komisijas locekļiem balsojot</w:t>
      </w:r>
      <w:r w:rsidR="00D12C82">
        <w:rPr>
          <w:rFonts w:ascii="Times New Roman" w:hAnsi="Times New Roman" w:cs="Times New Roman"/>
          <w:bCs/>
          <w:sz w:val="28"/>
          <w:szCs w:val="28"/>
        </w:rPr>
        <w:t xml:space="preserve"> tika izvēlēts kuru scenāriju izspēlēt praktiski</w:t>
      </w:r>
      <w:r w:rsidRPr="00164E86">
        <w:rPr>
          <w:rFonts w:ascii="Times New Roman" w:hAnsi="Times New Roman" w:cs="Times New Roman"/>
          <w:bCs/>
          <w:sz w:val="28"/>
          <w:szCs w:val="28"/>
        </w:rPr>
        <w:t xml:space="preserve">. Pašvaldības civilās aizsardzības komisijai 30 minūšu laikā </w:t>
      </w:r>
      <w:r w:rsidR="00D12C82">
        <w:rPr>
          <w:rFonts w:ascii="Times New Roman" w:hAnsi="Times New Roman" w:cs="Times New Roman"/>
          <w:bCs/>
          <w:sz w:val="28"/>
          <w:szCs w:val="28"/>
        </w:rPr>
        <w:t>bija</w:t>
      </w:r>
      <w:r w:rsidRPr="00164E86">
        <w:rPr>
          <w:rFonts w:ascii="Times New Roman" w:hAnsi="Times New Roman" w:cs="Times New Roman"/>
          <w:bCs/>
          <w:sz w:val="28"/>
          <w:szCs w:val="28"/>
        </w:rPr>
        <w:t xml:space="preserve"> jāvienojas par:</w:t>
      </w:r>
    </w:p>
    <w:p w:rsidR="00164E86" w:rsidRPr="00164E86" w:rsidRDefault="00164E86" w:rsidP="00D12C82">
      <w:pPr>
        <w:numPr>
          <w:ilvl w:val="0"/>
          <w:numId w:val="3"/>
        </w:numPr>
        <w:tabs>
          <w:tab w:val="clear" w:pos="1173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E86">
        <w:rPr>
          <w:rFonts w:ascii="Times New Roman" w:hAnsi="Times New Roman" w:cs="Times New Roman"/>
          <w:bCs/>
          <w:sz w:val="28"/>
          <w:szCs w:val="28"/>
        </w:rPr>
        <w:t>vadošo institūciju attiecīgajā katastrofā;</w:t>
      </w:r>
    </w:p>
    <w:p w:rsidR="00164E86" w:rsidRPr="00164E86" w:rsidRDefault="00164E86" w:rsidP="00D12C82">
      <w:pPr>
        <w:numPr>
          <w:ilvl w:val="0"/>
          <w:numId w:val="3"/>
        </w:numPr>
        <w:tabs>
          <w:tab w:val="clear" w:pos="1173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E86">
        <w:rPr>
          <w:rFonts w:ascii="Times New Roman" w:hAnsi="Times New Roman" w:cs="Times New Roman"/>
          <w:bCs/>
          <w:sz w:val="28"/>
          <w:szCs w:val="28"/>
        </w:rPr>
        <w:t>lēmumiem kas jāpieņem, lai nodrošinātu koordinētu katastrofas</w:t>
      </w:r>
      <w:r w:rsidRPr="00164E86">
        <w:rPr>
          <w:rFonts w:ascii="Times New Roman" w:hAnsi="Times New Roman" w:cs="Times New Roman"/>
          <w:sz w:val="28"/>
          <w:szCs w:val="28"/>
        </w:rPr>
        <w:t xml:space="preserve"> ierobežošanu vai tās postošo apstākļu un izraisīto seku likvidēšanu</w:t>
      </w:r>
      <w:r w:rsidRPr="00164E86">
        <w:rPr>
          <w:rFonts w:ascii="Times New Roman" w:hAnsi="Times New Roman" w:cs="Times New Roman"/>
          <w:bCs/>
          <w:sz w:val="28"/>
          <w:szCs w:val="28"/>
        </w:rPr>
        <w:t>;</w:t>
      </w:r>
    </w:p>
    <w:p w:rsidR="00164E86" w:rsidRPr="00164E86" w:rsidRDefault="00164E86" w:rsidP="00D12C82">
      <w:pPr>
        <w:numPr>
          <w:ilvl w:val="0"/>
          <w:numId w:val="3"/>
        </w:numPr>
        <w:tabs>
          <w:tab w:val="clear" w:pos="1173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E86">
        <w:rPr>
          <w:rFonts w:ascii="Times New Roman" w:hAnsi="Times New Roman" w:cs="Times New Roman"/>
          <w:bCs/>
          <w:sz w:val="28"/>
          <w:szCs w:val="28"/>
        </w:rPr>
        <w:t>pasākumiem, kas jāīsteno, lai nodrošinātu katastrofas</w:t>
      </w:r>
      <w:r w:rsidRPr="00164E86">
        <w:rPr>
          <w:rFonts w:ascii="Times New Roman" w:hAnsi="Times New Roman" w:cs="Times New Roman"/>
          <w:sz w:val="28"/>
          <w:szCs w:val="28"/>
        </w:rPr>
        <w:t xml:space="preserve"> ierobežošanu vai tās postošo apstākļu un izraisīto seku likvidēšanu, prioritārā secībā;</w:t>
      </w:r>
    </w:p>
    <w:p w:rsidR="00164E86" w:rsidRPr="00D12C82" w:rsidRDefault="00164E86" w:rsidP="00D12C82">
      <w:pPr>
        <w:numPr>
          <w:ilvl w:val="0"/>
          <w:numId w:val="3"/>
        </w:numPr>
        <w:tabs>
          <w:tab w:val="clear" w:pos="1173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E86">
        <w:rPr>
          <w:rFonts w:ascii="Times New Roman" w:hAnsi="Times New Roman" w:cs="Times New Roman"/>
          <w:bCs/>
          <w:sz w:val="28"/>
          <w:szCs w:val="28"/>
        </w:rPr>
        <w:t xml:space="preserve">resursiem, kas nepieciešami katastrofas </w:t>
      </w:r>
      <w:r w:rsidRPr="00164E86">
        <w:rPr>
          <w:rFonts w:ascii="Times New Roman" w:hAnsi="Times New Roman" w:cs="Times New Roman"/>
          <w:sz w:val="28"/>
          <w:szCs w:val="28"/>
        </w:rPr>
        <w:t>ierobežošanai vai tās postošo apstākļu un izraisīto seku likvidēšanai.</w:t>
      </w:r>
    </w:p>
    <w:p w:rsidR="00D12C82" w:rsidRDefault="00D12C82" w:rsidP="00D12C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C82" w:rsidRPr="00D12C82" w:rsidRDefault="00D12C82" w:rsidP="00D12C82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C82">
        <w:rPr>
          <w:rFonts w:ascii="Times New Roman" w:hAnsi="Times New Roman" w:cs="Times New Roman"/>
          <w:b/>
          <w:bCs/>
          <w:sz w:val="28"/>
          <w:szCs w:val="28"/>
        </w:rPr>
        <w:t>Rezultāti</w:t>
      </w:r>
    </w:p>
    <w:p w:rsidR="00D12C82" w:rsidRDefault="00D12C82" w:rsidP="00D12C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Kopumā 2014.gada laikā tika apmācītas 71 pašvaldību civilās aizsardzības komisija, kurās bija iekļauti dažādu institūciju pārstāvji:</w:t>
      </w:r>
    </w:p>
    <w:p w:rsidR="00AE452A" w:rsidRPr="00164E86" w:rsidRDefault="00D12C82" w:rsidP="00D12C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Reatabula1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dienests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45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Pašvaldība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270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NBS/Zemessardze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26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Pašvaldības policija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33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Valsts policija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36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Valsts meža dienests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20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Neatliekamās medicīniskās palīdzības dienests</w:t>
            </w:r>
            <w:bookmarkStart w:id="0" w:name="_GoBack"/>
            <w:bookmarkEnd w:id="0"/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10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Latvenergo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23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Latvijas gāze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8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Komersanti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81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Slimnīcas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15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Skolas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17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Latvijas autoceļu uzturētājs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7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Latvijas valsts meži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1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Valsts vides dienests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14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Pārtikas un veterinārais dienests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12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Latvijas dzelzceļš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3</w:t>
            </w:r>
          </w:p>
        </w:tc>
      </w:tr>
      <w:tr w:rsidR="00AE452A" w:rsidRPr="00AE452A" w:rsidTr="00AE452A"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Veselības inspekcija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4</w:t>
            </w:r>
          </w:p>
        </w:tc>
      </w:tr>
      <w:tr w:rsidR="00AE452A" w:rsidRPr="00AE452A" w:rsidTr="00AE452A">
        <w:trPr>
          <w:trHeight w:val="70"/>
        </w:trPr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Latvijas valsts ceļi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3</w:t>
            </w:r>
          </w:p>
        </w:tc>
      </w:tr>
      <w:tr w:rsidR="00AE452A" w:rsidRPr="00AE452A" w:rsidTr="00AE452A">
        <w:trPr>
          <w:trHeight w:val="70"/>
        </w:trPr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Valsts robežsardze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4</w:t>
            </w:r>
          </w:p>
        </w:tc>
      </w:tr>
      <w:tr w:rsidR="00AE452A" w:rsidRPr="00AE452A" w:rsidTr="00AE452A">
        <w:trPr>
          <w:trHeight w:val="70"/>
        </w:trPr>
        <w:tc>
          <w:tcPr>
            <w:tcW w:w="4957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sz w:val="24"/>
                <w:szCs w:val="24"/>
              </w:rPr>
              <w:t>Slimību profilakses un kontroles centrs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</w:rPr>
            </w:pPr>
            <w:r w:rsidRPr="00AE452A">
              <w:rPr>
                <w:rFonts w:ascii="Times New Roman" w:hAnsi="Times New Roman" w:cs="Times New Roman"/>
              </w:rPr>
              <w:t>1</w:t>
            </w:r>
          </w:p>
        </w:tc>
      </w:tr>
      <w:tr w:rsidR="00AE452A" w:rsidRPr="00AE452A" w:rsidTr="00AE452A">
        <w:trPr>
          <w:trHeight w:val="70"/>
        </w:trPr>
        <w:tc>
          <w:tcPr>
            <w:tcW w:w="4957" w:type="dxa"/>
          </w:tcPr>
          <w:p w:rsidR="00AE452A" w:rsidRPr="00AE452A" w:rsidRDefault="00AE452A" w:rsidP="00AE45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2A">
              <w:rPr>
                <w:rFonts w:ascii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4394" w:type="dxa"/>
          </w:tcPr>
          <w:p w:rsidR="00AE452A" w:rsidRPr="00AE452A" w:rsidRDefault="00AE452A" w:rsidP="00AE452A">
            <w:pPr>
              <w:rPr>
                <w:rFonts w:ascii="Times New Roman" w:hAnsi="Times New Roman" w:cs="Times New Roman"/>
                <w:b/>
              </w:rPr>
            </w:pPr>
            <w:r w:rsidRPr="00AE452A">
              <w:rPr>
                <w:rFonts w:ascii="Times New Roman" w:hAnsi="Times New Roman" w:cs="Times New Roman"/>
                <w:b/>
              </w:rPr>
              <w:t>633</w:t>
            </w:r>
          </w:p>
        </w:tc>
      </w:tr>
    </w:tbl>
    <w:p w:rsidR="00D12C82" w:rsidRPr="00164E86" w:rsidRDefault="00D12C82" w:rsidP="00D12C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76E3" w:rsidRDefault="003A76E3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6E3" w:rsidRDefault="003A76E3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6E3" w:rsidRDefault="003A76E3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6E3" w:rsidRDefault="003A76E3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52A" w:rsidRDefault="00AE452A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6E3" w:rsidRPr="003A76E3" w:rsidRDefault="001126CA" w:rsidP="003A76E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M.Baltmanis</w:t>
      </w:r>
      <w:proofErr w:type="spellEnd"/>
      <w:r w:rsidR="003A76E3" w:rsidRPr="003A76E3">
        <w:rPr>
          <w:rFonts w:ascii="Times New Roman" w:hAnsi="Times New Roman" w:cs="Times New Roman"/>
          <w:sz w:val="20"/>
          <w:szCs w:val="20"/>
        </w:rPr>
        <w:t xml:space="preserve">, </w:t>
      </w:r>
      <w:r w:rsidR="003A76E3">
        <w:rPr>
          <w:rFonts w:ascii="Times New Roman" w:hAnsi="Times New Roman" w:cs="Times New Roman"/>
          <w:sz w:val="20"/>
          <w:szCs w:val="20"/>
        </w:rPr>
        <w:t>670</w:t>
      </w:r>
      <w:r w:rsidR="003A76E3" w:rsidRPr="003A76E3">
        <w:rPr>
          <w:rFonts w:ascii="Times New Roman" w:hAnsi="Times New Roman" w:cs="Times New Roman"/>
          <w:sz w:val="20"/>
          <w:szCs w:val="20"/>
        </w:rPr>
        <w:t>75</w:t>
      </w:r>
      <w:r>
        <w:rPr>
          <w:rFonts w:ascii="Times New Roman" w:hAnsi="Times New Roman" w:cs="Times New Roman"/>
          <w:sz w:val="20"/>
          <w:szCs w:val="20"/>
        </w:rPr>
        <w:t>818</w:t>
      </w:r>
    </w:p>
    <w:p w:rsidR="003A76E3" w:rsidRPr="003A76E3" w:rsidRDefault="00AE452A" w:rsidP="003A76E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1126CA" w:rsidRPr="008E6D5B">
          <w:rPr>
            <w:rStyle w:val="Hipersaite"/>
            <w:rFonts w:ascii="Times New Roman" w:hAnsi="Times New Roman" w:cs="Times New Roman"/>
            <w:sz w:val="20"/>
            <w:szCs w:val="20"/>
          </w:rPr>
          <w:t>martins.baltmanis@vugd.gov,lv</w:t>
        </w:r>
      </w:hyperlink>
      <w:r w:rsidR="003A76E3" w:rsidRPr="003A76E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A76E3" w:rsidRPr="003A76E3" w:rsidSect="00BF6F37">
      <w:pgSz w:w="11906" w:h="16838" w:code="9"/>
      <w:pgMar w:top="1191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6363"/>
    <w:multiLevelType w:val="hybridMultilevel"/>
    <w:tmpl w:val="FCE0E92A"/>
    <w:lvl w:ilvl="0" w:tplc="9E6E4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0B27BD"/>
    <w:multiLevelType w:val="hybridMultilevel"/>
    <w:tmpl w:val="05D079BE"/>
    <w:lvl w:ilvl="0" w:tplc="EA50B91C">
      <w:start w:val="7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2">
    <w:nsid w:val="3C1812E6"/>
    <w:multiLevelType w:val="hybridMultilevel"/>
    <w:tmpl w:val="BEEAC844"/>
    <w:lvl w:ilvl="0" w:tplc="29A88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1D4F8D"/>
    <w:multiLevelType w:val="hybridMultilevel"/>
    <w:tmpl w:val="2B863A00"/>
    <w:lvl w:ilvl="0" w:tplc="13481172">
      <w:start w:val="1"/>
      <w:numFmt w:val="decimal"/>
      <w:lvlText w:val="%1."/>
      <w:lvlJc w:val="center"/>
      <w:pPr>
        <w:tabs>
          <w:tab w:val="num" w:pos="1173"/>
        </w:tabs>
        <w:ind w:left="1173" w:hanging="1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37"/>
    <w:rsid w:val="00032FA6"/>
    <w:rsid w:val="0006057A"/>
    <w:rsid w:val="00077B69"/>
    <w:rsid w:val="000E60E1"/>
    <w:rsid w:val="000F2ADA"/>
    <w:rsid w:val="000F33EC"/>
    <w:rsid w:val="000F56A1"/>
    <w:rsid w:val="001004B2"/>
    <w:rsid w:val="001126CA"/>
    <w:rsid w:val="00125574"/>
    <w:rsid w:val="00164E86"/>
    <w:rsid w:val="001B6129"/>
    <w:rsid w:val="00207969"/>
    <w:rsid w:val="00213ACD"/>
    <w:rsid w:val="002B11CA"/>
    <w:rsid w:val="00307D0B"/>
    <w:rsid w:val="00321083"/>
    <w:rsid w:val="00354DAA"/>
    <w:rsid w:val="003574E6"/>
    <w:rsid w:val="003A76E3"/>
    <w:rsid w:val="003B11C5"/>
    <w:rsid w:val="003D26DC"/>
    <w:rsid w:val="004068BD"/>
    <w:rsid w:val="00480C1B"/>
    <w:rsid w:val="00496A09"/>
    <w:rsid w:val="004F7CCD"/>
    <w:rsid w:val="00553A9C"/>
    <w:rsid w:val="00564B83"/>
    <w:rsid w:val="005A795C"/>
    <w:rsid w:val="00606164"/>
    <w:rsid w:val="00607467"/>
    <w:rsid w:val="006219ED"/>
    <w:rsid w:val="006957FD"/>
    <w:rsid w:val="0073713C"/>
    <w:rsid w:val="00794C01"/>
    <w:rsid w:val="007A31DC"/>
    <w:rsid w:val="007B2F89"/>
    <w:rsid w:val="007F0DCC"/>
    <w:rsid w:val="007F53A4"/>
    <w:rsid w:val="007F7A7B"/>
    <w:rsid w:val="008345F7"/>
    <w:rsid w:val="00876A6C"/>
    <w:rsid w:val="008D2BA4"/>
    <w:rsid w:val="008D7046"/>
    <w:rsid w:val="008E4802"/>
    <w:rsid w:val="008F5243"/>
    <w:rsid w:val="009072DB"/>
    <w:rsid w:val="009C6FD2"/>
    <w:rsid w:val="00A02A01"/>
    <w:rsid w:val="00A35562"/>
    <w:rsid w:val="00A7596F"/>
    <w:rsid w:val="00A93660"/>
    <w:rsid w:val="00AE452A"/>
    <w:rsid w:val="00B2436C"/>
    <w:rsid w:val="00B32154"/>
    <w:rsid w:val="00B50154"/>
    <w:rsid w:val="00B82E9A"/>
    <w:rsid w:val="00BA0FC5"/>
    <w:rsid w:val="00BF6F37"/>
    <w:rsid w:val="00C26494"/>
    <w:rsid w:val="00C26DE2"/>
    <w:rsid w:val="00C34EC9"/>
    <w:rsid w:val="00CC51F3"/>
    <w:rsid w:val="00D12C82"/>
    <w:rsid w:val="00D31F01"/>
    <w:rsid w:val="00DB5EAA"/>
    <w:rsid w:val="00DD1F2B"/>
    <w:rsid w:val="00DD5ECA"/>
    <w:rsid w:val="00DE5923"/>
    <w:rsid w:val="00DF3B3C"/>
    <w:rsid w:val="00E35E29"/>
    <w:rsid w:val="00E718C0"/>
    <w:rsid w:val="00E95F80"/>
    <w:rsid w:val="00EC5400"/>
    <w:rsid w:val="00F854ED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063E98-9622-439B-99A8-1CB9C770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2436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C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51F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rsid w:val="0062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e">
    <w:name w:val="Hyperlink"/>
    <w:basedOn w:val="Noklusjumarindkopasfonts"/>
    <w:uiPriority w:val="99"/>
    <w:unhideWhenUsed/>
    <w:rsid w:val="003A76E3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rsid w:val="00164E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164E86"/>
    <w:rPr>
      <w:rFonts w:ascii="Times New Roman" w:eastAsia="Times New Roman" w:hAnsi="Times New Roman" w:cs="Times New Roman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39"/>
    <w:rsid w:val="00AE4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3045">
                  <w:marLeft w:val="60"/>
                  <w:marRight w:val="6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9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7971">
                  <w:marLeft w:val="60"/>
                  <w:marRight w:val="6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7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3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9894">
                  <w:marLeft w:val="60"/>
                  <w:marRight w:val="6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4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ins.baltmanis@vugd.gov,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0485D-B003-44EF-9A23-CF3349B7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Purene</dc:creator>
  <cp:keywords/>
  <dc:description/>
  <cp:lastModifiedBy>Mārtiņš Baltmanis</cp:lastModifiedBy>
  <cp:revision>4</cp:revision>
  <cp:lastPrinted>2015-11-13T12:31:00Z</cp:lastPrinted>
  <dcterms:created xsi:type="dcterms:W3CDTF">2015-12-01T10:17:00Z</dcterms:created>
  <dcterms:modified xsi:type="dcterms:W3CDTF">2015-12-02T11:48:00Z</dcterms:modified>
</cp:coreProperties>
</file>