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5D8D2" w14:textId="4F38C0AD" w:rsidR="008D220B" w:rsidRDefault="008D220B" w:rsidP="008D220B">
      <w:pPr>
        <w:shd w:val="clear" w:color="auto" w:fill="FFFFFF"/>
        <w:spacing w:after="120" w:line="240" w:lineRule="auto"/>
        <w:jc w:val="right"/>
        <w:textAlignment w:val="baseline"/>
        <w:rPr>
          <w:rFonts w:eastAsia="Times New Roman" w:cstheme="minorHAnsi"/>
          <w:b/>
          <w:bCs/>
          <w:sz w:val="24"/>
          <w:szCs w:val="24"/>
        </w:rPr>
      </w:pPr>
      <w:r>
        <w:rPr>
          <w:rFonts w:eastAsia="Times New Roman" w:cstheme="minorHAnsi"/>
          <w:b/>
          <w:bCs/>
          <w:sz w:val="24"/>
          <w:szCs w:val="24"/>
        </w:rPr>
        <w:t>Pielikums</w:t>
      </w:r>
    </w:p>
    <w:p w14:paraId="48B7F0F2" w14:textId="18891A62" w:rsidR="00C74304" w:rsidRDefault="00C74304" w:rsidP="00FD588B">
      <w:pPr>
        <w:shd w:val="clear" w:color="auto" w:fill="FFFFFF"/>
        <w:spacing w:after="120" w:line="240" w:lineRule="auto"/>
        <w:textAlignment w:val="baseline"/>
        <w:rPr>
          <w:rFonts w:eastAsia="Times New Roman" w:cstheme="minorHAnsi"/>
          <w:b/>
          <w:bCs/>
          <w:sz w:val="24"/>
          <w:szCs w:val="24"/>
        </w:rPr>
      </w:pPr>
      <w:r>
        <w:rPr>
          <w:rFonts w:eastAsia="Times New Roman" w:cstheme="minorHAnsi"/>
          <w:b/>
          <w:bCs/>
          <w:sz w:val="24"/>
          <w:szCs w:val="24"/>
        </w:rPr>
        <w:t>II daļas 6.jautājums “Dažādi”</w:t>
      </w:r>
    </w:p>
    <w:p w14:paraId="472DD530" w14:textId="55841F77" w:rsidR="00A41E11" w:rsidRPr="00A41E11" w:rsidRDefault="00F934EC" w:rsidP="00FD588B">
      <w:pPr>
        <w:shd w:val="clear" w:color="auto" w:fill="FFFFFF"/>
        <w:spacing w:after="120" w:line="240" w:lineRule="auto"/>
        <w:textAlignment w:val="baseline"/>
        <w:rPr>
          <w:rFonts w:eastAsia="Times New Roman" w:cstheme="minorHAnsi"/>
          <w:b/>
          <w:bCs/>
          <w:sz w:val="24"/>
          <w:szCs w:val="24"/>
        </w:rPr>
      </w:pPr>
      <w:r w:rsidRPr="005A6886">
        <w:rPr>
          <w:rFonts w:eastAsia="Times New Roman" w:cstheme="minorHAnsi"/>
          <w:b/>
          <w:bCs/>
          <w:sz w:val="24"/>
          <w:szCs w:val="24"/>
        </w:rPr>
        <w:t>Profesionālās izglītības programmu finansēšana – normatīvais regulējums un pārmaiņu nepieciešamība</w:t>
      </w:r>
    </w:p>
    <w:p w14:paraId="4CC010BF" w14:textId="37C66F84" w:rsidR="00916C7D" w:rsidRPr="005A6886" w:rsidRDefault="00916C7D" w:rsidP="007C369D">
      <w:pPr>
        <w:spacing w:after="0"/>
        <w:jc w:val="both"/>
        <w:rPr>
          <w:rFonts w:cstheme="minorHAnsi"/>
        </w:rPr>
      </w:pPr>
      <w:r w:rsidRPr="005A6886">
        <w:rPr>
          <w:rFonts w:cstheme="minorHAnsi"/>
        </w:rPr>
        <w:t>Profesionālās izglītības programmu īstenošanas izmaksu finansēšanu nosaka Ministru kabineta 2007. gada 2. oktobra noteikumi Nr. 655 “Noteikumi par profesionālās izglītības programmu īstenošanas izmaksu minimumu uz vienu izglītojamo” (turpmāk – MK noteikumi Nr. 655), saskaņā ar kuriem izglītības iestādes dibinātājam ir jānodrošina ar profesionālās izglītības programmu īstenošanu saistītās izmaksas. Kopš MK noteikumu Nr. 655 stāšanās spēkā nav pārskatīts un aktualizēts noteiktais profesionālās izglītības programmu īstenošanas izmaksu minimums</w:t>
      </w:r>
      <w:r w:rsidR="001834AD" w:rsidRPr="005A6886">
        <w:rPr>
          <w:rFonts w:cstheme="minorHAnsi"/>
        </w:rPr>
        <w:t xml:space="preserve"> </w:t>
      </w:r>
      <w:r w:rsidR="001834AD" w:rsidRPr="005A6886">
        <w:rPr>
          <w:rFonts w:eastAsia="Times New Roman" w:cstheme="minorHAnsi"/>
          <w:color w:val="000000"/>
          <w:bdr w:val="none" w:sz="0" w:space="0" w:color="auto" w:frame="1"/>
        </w:rPr>
        <w:t>(bāzes finansējums/normatīvs), kas jau ilgstoši neatbilst izglītības programmu faktiskajām īstenošanas izmaksām</w:t>
      </w:r>
      <w:r w:rsidRPr="005A6886">
        <w:rPr>
          <w:rFonts w:cstheme="minorHAnsi"/>
        </w:rPr>
        <w:t>, vienlaikus</w:t>
      </w:r>
      <w:r w:rsidRPr="005A6886">
        <w:rPr>
          <w:rFonts w:cstheme="minorHAnsi"/>
          <w:sz w:val="20"/>
          <w:szCs w:val="20"/>
        </w:rPr>
        <w:t xml:space="preserve"> </w:t>
      </w:r>
      <w:r w:rsidRPr="005A6886">
        <w:rPr>
          <w:rFonts w:cstheme="minorHAnsi"/>
        </w:rPr>
        <w:t>profesionālas izglītības sistēmā pēdējos gados ir notikušas būtiskas pārmaiņas</w:t>
      </w:r>
      <w:r w:rsidR="001834AD" w:rsidRPr="005A6886">
        <w:rPr>
          <w:rFonts w:cstheme="minorHAnsi"/>
        </w:rPr>
        <w:t>:</w:t>
      </w:r>
    </w:p>
    <w:p w14:paraId="7F4F4DDE" w14:textId="77777777" w:rsidR="00916C7D" w:rsidRPr="005A6886" w:rsidRDefault="00916C7D" w:rsidP="007C369D">
      <w:pPr>
        <w:spacing w:after="0"/>
        <w:ind w:left="851" w:hanging="284"/>
        <w:jc w:val="both"/>
        <w:rPr>
          <w:rFonts w:cstheme="minorHAnsi"/>
        </w:rPr>
      </w:pPr>
      <w:r w:rsidRPr="005A6886">
        <w:rPr>
          <w:rFonts w:cstheme="minorHAnsi"/>
        </w:rPr>
        <w:t>-</w:t>
      </w:r>
      <w:r w:rsidRPr="005A6886">
        <w:rPr>
          <w:rFonts w:cstheme="minorHAnsi"/>
        </w:rPr>
        <w:tab/>
        <w:t xml:space="preserve">sakārtots profesionālās izglītības iestāžu tīkls; </w:t>
      </w:r>
    </w:p>
    <w:p w14:paraId="206B3FBA" w14:textId="77777777" w:rsidR="00916C7D" w:rsidRPr="005A6886" w:rsidRDefault="00916C7D" w:rsidP="007C369D">
      <w:pPr>
        <w:spacing w:after="0"/>
        <w:ind w:left="851" w:hanging="284"/>
        <w:jc w:val="both"/>
        <w:rPr>
          <w:rFonts w:cstheme="minorHAnsi"/>
        </w:rPr>
      </w:pPr>
      <w:r w:rsidRPr="005A6886">
        <w:rPr>
          <w:rFonts w:cstheme="minorHAnsi"/>
        </w:rPr>
        <w:t>-</w:t>
      </w:r>
      <w:r w:rsidRPr="005A6886">
        <w:rPr>
          <w:rFonts w:cstheme="minorHAnsi"/>
        </w:rPr>
        <w:tab/>
        <w:t xml:space="preserve">veiktas investīcijas infrastruktūras modernizācijai, materiālās un tehniskās bāzes uzlabošanai (ERAF); </w:t>
      </w:r>
    </w:p>
    <w:p w14:paraId="4D7882A2" w14:textId="77777777" w:rsidR="00916C7D" w:rsidRPr="005A6886" w:rsidRDefault="00916C7D" w:rsidP="007C369D">
      <w:pPr>
        <w:spacing w:after="0"/>
        <w:ind w:left="851" w:hanging="284"/>
        <w:jc w:val="both"/>
        <w:rPr>
          <w:rFonts w:cstheme="minorHAnsi"/>
        </w:rPr>
      </w:pPr>
      <w:r w:rsidRPr="005A6886">
        <w:rPr>
          <w:rFonts w:cstheme="minorHAnsi"/>
        </w:rPr>
        <w:t>-</w:t>
      </w:r>
      <w:r w:rsidRPr="005A6886">
        <w:rPr>
          <w:rFonts w:cstheme="minorHAnsi"/>
        </w:rPr>
        <w:tab/>
        <w:t xml:space="preserve">izveidotas jaunas sadarbības formas ar sociālajiem partneriem un privāto sektoru; </w:t>
      </w:r>
    </w:p>
    <w:p w14:paraId="2338664E" w14:textId="77777777" w:rsidR="00916C7D" w:rsidRPr="005A6886" w:rsidRDefault="00916C7D" w:rsidP="007C369D">
      <w:pPr>
        <w:spacing w:after="0"/>
        <w:ind w:left="851" w:hanging="284"/>
        <w:jc w:val="both"/>
        <w:rPr>
          <w:rFonts w:cstheme="minorHAnsi"/>
        </w:rPr>
      </w:pPr>
      <w:r w:rsidRPr="005A6886">
        <w:rPr>
          <w:rFonts w:cstheme="minorHAnsi"/>
        </w:rPr>
        <w:t>-</w:t>
      </w:r>
      <w:r w:rsidRPr="005A6886">
        <w:rPr>
          <w:rFonts w:cstheme="minorHAnsi"/>
        </w:rPr>
        <w:tab/>
        <w:t xml:space="preserve">izstrādāta NKS, profesiju standarti un profesionālās kvalifikācijas prasības (ESF); </w:t>
      </w:r>
    </w:p>
    <w:p w14:paraId="45B995ED" w14:textId="77777777" w:rsidR="00916C7D" w:rsidRPr="005A6886" w:rsidRDefault="00916C7D" w:rsidP="007C369D">
      <w:pPr>
        <w:spacing w:after="0"/>
        <w:ind w:left="851" w:hanging="284"/>
        <w:jc w:val="both"/>
        <w:rPr>
          <w:rFonts w:cstheme="minorHAnsi"/>
        </w:rPr>
      </w:pPr>
      <w:r w:rsidRPr="005A6886">
        <w:rPr>
          <w:rFonts w:cstheme="minorHAnsi"/>
        </w:rPr>
        <w:t>-</w:t>
      </w:r>
      <w:r w:rsidRPr="005A6886">
        <w:rPr>
          <w:rFonts w:cstheme="minorHAnsi"/>
        </w:rPr>
        <w:tab/>
        <w:t>uzsākta PKE satura izstrāde, modulāro IP izstrāde – ļauj iegūt valsts atzītu izglītības dokumentu par izglītības programmas zemāka līmeņa profesionālās kvalifikācijas vai profesionālās kvalifikācijas daļas apguvi;</w:t>
      </w:r>
    </w:p>
    <w:p w14:paraId="7BB98BE5" w14:textId="77777777" w:rsidR="00916C7D" w:rsidRPr="005A6886" w:rsidRDefault="00916C7D" w:rsidP="007C369D">
      <w:pPr>
        <w:spacing w:after="0"/>
        <w:ind w:left="851" w:hanging="284"/>
        <w:jc w:val="both"/>
        <w:rPr>
          <w:rFonts w:cstheme="minorHAnsi"/>
        </w:rPr>
      </w:pPr>
      <w:r w:rsidRPr="005A6886">
        <w:rPr>
          <w:rFonts w:cstheme="minorHAnsi"/>
        </w:rPr>
        <w:t>-</w:t>
      </w:r>
      <w:r w:rsidRPr="005A6886">
        <w:rPr>
          <w:rFonts w:cstheme="minorHAnsi"/>
        </w:rPr>
        <w:tab/>
        <w:t>izglītības turpināšana vēlākos mācību posmos - profesionālās kvalifikācijas iegūšana neierobežotā laikā;</w:t>
      </w:r>
    </w:p>
    <w:p w14:paraId="1838D87D" w14:textId="77777777" w:rsidR="00916C7D" w:rsidRPr="005A6886" w:rsidRDefault="00916C7D" w:rsidP="007C369D">
      <w:pPr>
        <w:spacing w:after="0"/>
        <w:ind w:left="851" w:hanging="284"/>
        <w:jc w:val="both"/>
        <w:rPr>
          <w:rFonts w:cstheme="minorHAnsi"/>
        </w:rPr>
      </w:pPr>
      <w:r w:rsidRPr="005A6886">
        <w:rPr>
          <w:rFonts w:cstheme="minorHAnsi"/>
        </w:rPr>
        <w:t>-</w:t>
      </w:r>
      <w:r w:rsidRPr="005A6886">
        <w:rPr>
          <w:rFonts w:cstheme="minorHAnsi"/>
        </w:rPr>
        <w:tab/>
        <w:t xml:space="preserve">nozaru pieprasījums pēc kvalificētiem speciālistiem; </w:t>
      </w:r>
    </w:p>
    <w:p w14:paraId="57D5F678" w14:textId="77777777" w:rsidR="00916C7D" w:rsidRPr="005A6886" w:rsidRDefault="00916C7D" w:rsidP="007C369D">
      <w:pPr>
        <w:spacing w:after="0"/>
        <w:ind w:left="851" w:hanging="284"/>
        <w:jc w:val="both"/>
        <w:rPr>
          <w:rFonts w:cstheme="minorHAnsi"/>
        </w:rPr>
      </w:pPr>
      <w:r w:rsidRPr="005A6886">
        <w:rPr>
          <w:rFonts w:cstheme="minorHAnsi"/>
        </w:rPr>
        <w:t>-</w:t>
      </w:r>
      <w:r w:rsidRPr="005A6886">
        <w:rPr>
          <w:rFonts w:cstheme="minorHAnsi"/>
        </w:rPr>
        <w:tab/>
        <w:t>kompetenču apguve vienas profesijas specializācijās un saistītajās profesijās;</w:t>
      </w:r>
    </w:p>
    <w:p w14:paraId="2EFC551C" w14:textId="4FF19085" w:rsidR="001834AD" w:rsidRPr="005A6886" w:rsidRDefault="00916C7D" w:rsidP="007C369D">
      <w:pPr>
        <w:spacing w:after="120"/>
        <w:ind w:left="851" w:hanging="284"/>
        <w:jc w:val="both"/>
        <w:rPr>
          <w:rFonts w:cstheme="minorHAnsi"/>
        </w:rPr>
      </w:pPr>
      <w:r w:rsidRPr="005A6886">
        <w:rPr>
          <w:rFonts w:cstheme="minorHAnsi"/>
        </w:rPr>
        <w:t>-</w:t>
      </w:r>
      <w:r w:rsidRPr="005A6886">
        <w:rPr>
          <w:rFonts w:cstheme="minorHAnsi"/>
        </w:rPr>
        <w:tab/>
        <w:t>grozījumi Profesionālās izglītības likumā (spēkā no 01.04.2022.) u.c</w:t>
      </w:r>
      <w:r w:rsidR="001834AD" w:rsidRPr="005A6886">
        <w:rPr>
          <w:rFonts w:cstheme="minorHAnsi"/>
        </w:rPr>
        <w:t>.</w:t>
      </w:r>
    </w:p>
    <w:p w14:paraId="6E2F50CF" w14:textId="273B7B7C" w:rsidR="001834AD" w:rsidRPr="005A6886" w:rsidRDefault="001834AD" w:rsidP="007C369D">
      <w:pPr>
        <w:shd w:val="clear" w:color="auto" w:fill="FFFFFF"/>
        <w:spacing w:after="0" w:line="240" w:lineRule="auto"/>
        <w:jc w:val="both"/>
        <w:textAlignment w:val="baseline"/>
        <w:rPr>
          <w:rFonts w:eastAsia="Times New Roman" w:cstheme="minorHAnsi"/>
          <w:color w:val="000000"/>
          <w:bdr w:val="none" w:sz="0" w:space="0" w:color="auto" w:frame="1"/>
        </w:rPr>
      </w:pPr>
      <w:r w:rsidRPr="005A6886">
        <w:rPr>
          <w:rFonts w:eastAsia="Times New Roman" w:cstheme="minorHAnsi"/>
          <w:color w:val="000000"/>
          <w:bdr w:val="none" w:sz="0" w:space="0" w:color="auto" w:frame="1"/>
        </w:rPr>
        <w:t xml:space="preserve">Profesionālās izglītības programmu īstenošanas izmaksas ietekmē </w:t>
      </w:r>
      <w:r w:rsidR="00F934EC" w:rsidRPr="005A6886">
        <w:rPr>
          <w:rFonts w:eastAsia="Times New Roman" w:cstheme="minorHAnsi"/>
          <w:color w:val="000000"/>
          <w:bdr w:val="none" w:sz="0" w:space="0" w:color="auto" w:frame="1"/>
        </w:rPr>
        <w:t xml:space="preserve">arī </w:t>
      </w:r>
      <w:r w:rsidRPr="005A6886">
        <w:rPr>
          <w:rFonts w:eastAsia="Times New Roman" w:cstheme="minorHAnsi"/>
          <w:color w:val="000000"/>
          <w:bdr w:val="none" w:sz="0" w:space="0" w:color="auto" w:frame="1"/>
        </w:rPr>
        <w:t xml:space="preserve">tautsaimniecības rādītāju izmaiņas: </w:t>
      </w:r>
    </w:p>
    <w:p w14:paraId="283C006C" w14:textId="77777777" w:rsidR="001834AD" w:rsidRPr="005A6886" w:rsidRDefault="001834AD" w:rsidP="007C369D">
      <w:pPr>
        <w:pStyle w:val="Sarakstarindkopa"/>
        <w:numPr>
          <w:ilvl w:val="0"/>
          <w:numId w:val="6"/>
        </w:numPr>
        <w:shd w:val="clear" w:color="auto" w:fill="FFFFFF"/>
        <w:spacing w:after="120" w:line="240" w:lineRule="auto"/>
        <w:ind w:left="851" w:hanging="284"/>
        <w:jc w:val="both"/>
        <w:textAlignment w:val="baseline"/>
        <w:rPr>
          <w:rFonts w:eastAsia="Times New Roman" w:cstheme="minorHAnsi"/>
          <w:color w:val="000000" w:themeColor="text1"/>
          <w:bdr w:val="none" w:sz="0" w:space="0" w:color="auto" w:frame="1"/>
        </w:rPr>
      </w:pPr>
      <w:r w:rsidRPr="005A6886">
        <w:rPr>
          <w:rFonts w:eastAsia="Times New Roman" w:cstheme="minorHAnsi"/>
          <w:color w:val="000000" w:themeColor="text1"/>
          <w:bdr w:val="none" w:sz="0" w:space="0" w:color="auto" w:frame="1"/>
        </w:rPr>
        <w:t xml:space="preserve">nekustamā īpašuma nodokļa likmes; </w:t>
      </w:r>
    </w:p>
    <w:p w14:paraId="20E90661" w14:textId="77777777" w:rsidR="001834AD" w:rsidRPr="005A6886" w:rsidRDefault="001834AD" w:rsidP="007C369D">
      <w:pPr>
        <w:pStyle w:val="Sarakstarindkopa"/>
        <w:numPr>
          <w:ilvl w:val="0"/>
          <w:numId w:val="6"/>
        </w:numPr>
        <w:shd w:val="clear" w:color="auto" w:fill="FFFFFF"/>
        <w:spacing w:after="120" w:line="240" w:lineRule="auto"/>
        <w:ind w:left="851" w:hanging="284"/>
        <w:jc w:val="both"/>
        <w:textAlignment w:val="baseline"/>
        <w:rPr>
          <w:rFonts w:eastAsia="Times New Roman" w:cstheme="minorHAnsi"/>
          <w:color w:val="000000" w:themeColor="text1"/>
          <w:bdr w:val="none" w:sz="0" w:space="0" w:color="auto" w:frame="1"/>
        </w:rPr>
      </w:pPr>
      <w:r w:rsidRPr="005A6886">
        <w:rPr>
          <w:rFonts w:eastAsia="Times New Roman" w:cstheme="minorHAnsi"/>
          <w:color w:val="000000" w:themeColor="text1"/>
          <w:bdr w:val="none" w:sz="0" w:space="0" w:color="auto" w:frame="1"/>
        </w:rPr>
        <w:t xml:space="preserve">energoresursu cenas, t.sk. elektroenerģijas, siltumenerģijas tarifi u.c.; </w:t>
      </w:r>
    </w:p>
    <w:p w14:paraId="26A6743B" w14:textId="77777777" w:rsidR="001834AD" w:rsidRPr="005A6886" w:rsidRDefault="001834AD" w:rsidP="007C369D">
      <w:pPr>
        <w:pStyle w:val="Sarakstarindkopa"/>
        <w:numPr>
          <w:ilvl w:val="0"/>
          <w:numId w:val="6"/>
        </w:numPr>
        <w:shd w:val="clear" w:color="auto" w:fill="FFFFFF"/>
        <w:spacing w:after="120" w:line="240" w:lineRule="auto"/>
        <w:ind w:left="851" w:hanging="284"/>
        <w:jc w:val="both"/>
        <w:textAlignment w:val="baseline"/>
        <w:rPr>
          <w:rFonts w:eastAsia="Times New Roman" w:cstheme="minorHAnsi"/>
          <w:color w:val="000000" w:themeColor="text1"/>
          <w:bdr w:val="none" w:sz="0" w:space="0" w:color="auto" w:frame="1"/>
        </w:rPr>
      </w:pPr>
      <w:r w:rsidRPr="005A6886">
        <w:rPr>
          <w:rFonts w:eastAsia="Times New Roman" w:cstheme="minorHAnsi"/>
          <w:color w:val="000000" w:themeColor="text1"/>
          <w:bdr w:val="none" w:sz="0" w:space="0" w:color="auto" w:frame="1"/>
        </w:rPr>
        <w:t>patēriņa cenu pārmaiņu (inflācijas) rādītājs;</w:t>
      </w:r>
    </w:p>
    <w:p w14:paraId="5AC5CFBA" w14:textId="77777777" w:rsidR="001834AD" w:rsidRPr="005A6886" w:rsidRDefault="001834AD" w:rsidP="007C369D">
      <w:pPr>
        <w:pStyle w:val="Sarakstarindkopa"/>
        <w:numPr>
          <w:ilvl w:val="0"/>
          <w:numId w:val="6"/>
        </w:numPr>
        <w:shd w:val="clear" w:color="auto" w:fill="FFFFFF"/>
        <w:spacing w:after="120" w:line="240" w:lineRule="auto"/>
        <w:ind w:left="851" w:hanging="284"/>
        <w:jc w:val="both"/>
        <w:textAlignment w:val="baseline"/>
        <w:rPr>
          <w:rFonts w:eastAsia="Times New Roman" w:cstheme="minorHAnsi"/>
          <w:color w:val="000000" w:themeColor="text1"/>
          <w:bdr w:val="none" w:sz="0" w:space="0" w:color="auto" w:frame="1"/>
        </w:rPr>
      </w:pPr>
      <w:r w:rsidRPr="005A6886">
        <w:rPr>
          <w:rFonts w:eastAsia="Times New Roman" w:cstheme="minorHAnsi"/>
          <w:color w:val="000000" w:themeColor="text1"/>
          <w:bdr w:val="none" w:sz="0" w:space="0" w:color="auto" w:frame="1"/>
        </w:rPr>
        <w:t xml:space="preserve">vidējais izmaiņu indekss (kumulatīvi); </w:t>
      </w:r>
    </w:p>
    <w:p w14:paraId="71BEF9AB" w14:textId="77777777" w:rsidR="001834AD" w:rsidRPr="005A6886" w:rsidRDefault="001834AD" w:rsidP="007C369D">
      <w:pPr>
        <w:pStyle w:val="Sarakstarindkopa"/>
        <w:numPr>
          <w:ilvl w:val="0"/>
          <w:numId w:val="6"/>
        </w:numPr>
        <w:shd w:val="clear" w:color="auto" w:fill="FFFFFF"/>
        <w:spacing w:after="120" w:line="240" w:lineRule="auto"/>
        <w:ind w:left="851" w:hanging="284"/>
        <w:jc w:val="both"/>
        <w:textAlignment w:val="baseline"/>
        <w:rPr>
          <w:rFonts w:eastAsia="Times New Roman" w:cstheme="minorHAnsi"/>
          <w:color w:val="000000" w:themeColor="text1"/>
          <w:bdr w:val="none" w:sz="0" w:space="0" w:color="auto" w:frame="1"/>
        </w:rPr>
      </w:pPr>
      <w:proofErr w:type="spellStart"/>
      <w:r w:rsidRPr="005A6886">
        <w:rPr>
          <w:rFonts w:eastAsia="Times New Roman" w:cstheme="minorHAnsi"/>
          <w:color w:val="000000" w:themeColor="text1"/>
          <w:bdr w:val="none" w:sz="0" w:space="0" w:color="auto" w:frame="1"/>
        </w:rPr>
        <w:t>jaunizveidotās</w:t>
      </w:r>
      <w:proofErr w:type="spellEnd"/>
      <w:r w:rsidRPr="005A6886">
        <w:rPr>
          <w:rFonts w:eastAsia="Times New Roman" w:cstheme="minorHAnsi"/>
          <w:color w:val="000000" w:themeColor="text1"/>
          <w:bdr w:val="none" w:sz="0" w:space="0" w:color="auto" w:frame="1"/>
        </w:rPr>
        <w:t xml:space="preserve"> infrastruktūras uzturēšanas izmaksas u.c.</w:t>
      </w:r>
    </w:p>
    <w:p w14:paraId="22D21385" w14:textId="2FFD0D07" w:rsidR="001834AD" w:rsidRPr="007C369D" w:rsidRDefault="001834AD" w:rsidP="007C369D">
      <w:pPr>
        <w:spacing w:after="120" w:line="240" w:lineRule="auto"/>
        <w:jc w:val="both"/>
        <w:rPr>
          <w:rFonts w:cstheme="minorHAnsi"/>
          <w:color w:val="000000" w:themeColor="text1"/>
        </w:rPr>
      </w:pPr>
      <w:r w:rsidRPr="007C369D">
        <w:rPr>
          <w:rFonts w:cstheme="minorHAnsi"/>
          <w:color w:val="000000" w:themeColor="text1"/>
        </w:rPr>
        <w:t xml:space="preserve">Tāpat arī IZM padotības profesionālās izglītības iestādēm un IZM </w:t>
      </w:r>
      <w:proofErr w:type="spellStart"/>
      <w:r w:rsidRPr="007C369D">
        <w:rPr>
          <w:rFonts w:cstheme="minorHAnsi"/>
          <w:color w:val="000000" w:themeColor="text1"/>
        </w:rPr>
        <w:t>līgumiestādēm</w:t>
      </w:r>
      <w:proofErr w:type="spellEnd"/>
      <w:r w:rsidRPr="007C369D">
        <w:rPr>
          <w:rFonts w:cstheme="minorHAnsi"/>
          <w:color w:val="000000" w:themeColor="text1"/>
        </w:rPr>
        <w:t xml:space="preserve"> 2021., 2022. un 2023. gada sākumā netika nodrošināts MK noteikumos Nr. 655 noteiktais izmaksu minimums (normatīvs) - normējamās izmaksas un dienesta viesnīcas izmaksas (2021.g. sākumā tika nodrošinātas 83,9% apmērā esošā budžeta finansējuma ietvaros – ap 2,7 milj. EUR iztrūkums; 2022.g. – 92%; 2023.g. – 95,0%).</w:t>
      </w:r>
    </w:p>
    <w:p w14:paraId="6F71799C" w14:textId="3F5CB011" w:rsidR="00F934EC" w:rsidRPr="005A6886" w:rsidRDefault="00F934EC" w:rsidP="005A6886">
      <w:pPr>
        <w:spacing w:after="120"/>
        <w:rPr>
          <w:rFonts w:cstheme="minorHAnsi"/>
          <w:b/>
          <w:bCs/>
          <w:sz w:val="24"/>
          <w:szCs w:val="24"/>
        </w:rPr>
      </w:pPr>
      <w:r w:rsidRPr="005A6886">
        <w:rPr>
          <w:rFonts w:cstheme="minorHAnsi"/>
          <w:b/>
          <w:bCs/>
          <w:sz w:val="24"/>
          <w:szCs w:val="24"/>
        </w:rPr>
        <w:t>Konceptuālais ziņojums “Par profesionālās izglītības programmu finansēšanu”</w:t>
      </w:r>
    </w:p>
    <w:p w14:paraId="5E6A1FC6" w14:textId="01DAD1B7" w:rsidR="00916C7D" w:rsidRPr="007C369D" w:rsidRDefault="00916C7D" w:rsidP="007C369D">
      <w:pPr>
        <w:jc w:val="both"/>
        <w:rPr>
          <w:rFonts w:cstheme="minorHAnsi"/>
        </w:rPr>
      </w:pPr>
      <w:r w:rsidRPr="007C369D">
        <w:rPr>
          <w:rFonts w:cstheme="minorHAnsi"/>
        </w:rPr>
        <w:t xml:space="preserve">Ministrijas izstrādātajā </w:t>
      </w:r>
      <w:r w:rsidR="00F934EC" w:rsidRPr="007C369D">
        <w:rPr>
          <w:rFonts w:cstheme="minorHAnsi"/>
        </w:rPr>
        <w:t xml:space="preserve">konceptuālajā ziņojumā “Par profesionālās izglītības programmu finansēšanu” </w:t>
      </w:r>
      <w:r w:rsidRPr="007C369D">
        <w:rPr>
          <w:rFonts w:cstheme="minorHAnsi"/>
        </w:rPr>
        <w:t>(turpmāk – Ziņojums), kas atbalstīts 2022. gada 15. februāra Ministru kabineta (turpmāk – MK) sēdē, sniegti priekšlikumi profesionālās izglītības programmu finansēšanas pilnveidei, lai nodrošinātu profesionālās izglītības programmu pilnvērtīgai īstenošanai nepieciešamo finansējumu, izvērtējot izglītības programmu izmaksu atbilstību faktiskajām izmaksām un aktualizējot tās. Tāpat arī Ziņojuma attiecīgā MK rīkojuma 2.</w:t>
      </w:r>
      <w:r w:rsidR="001834AD" w:rsidRPr="007C369D">
        <w:rPr>
          <w:rFonts w:cstheme="minorHAnsi"/>
        </w:rPr>
        <w:t> </w:t>
      </w:r>
      <w:r w:rsidRPr="007C369D">
        <w:rPr>
          <w:rFonts w:cstheme="minorHAnsi"/>
        </w:rPr>
        <w:t>punktā norādīts, ka sniegto priekšlikumu īstenošanai ir nepieciešams papildu finansējums un šis jautājums skatāms MK likumprojekta “Par valsts budžetu 2023. gadam” un likumprojekta “Par vidēja termiņa budžeta ietvaru 2023., 2024. un 2025. gadam” sagatavošanas procesā kopā ar visu ministriju iesniegtajiem prioritārajiem pasākumiem atbilstoši valsts budžeta finansiālajām iespējām.</w:t>
      </w:r>
    </w:p>
    <w:p w14:paraId="23412AD5" w14:textId="68657EE0" w:rsidR="00F934EC" w:rsidRPr="005A6886" w:rsidRDefault="00F934EC" w:rsidP="007C369D">
      <w:pPr>
        <w:spacing w:after="120"/>
        <w:jc w:val="both"/>
        <w:rPr>
          <w:rFonts w:cstheme="minorHAnsi"/>
          <w:b/>
          <w:bCs/>
          <w:sz w:val="24"/>
          <w:szCs w:val="24"/>
        </w:rPr>
      </w:pPr>
      <w:r w:rsidRPr="005A6886">
        <w:rPr>
          <w:rFonts w:cstheme="minorHAnsi"/>
          <w:b/>
          <w:bCs/>
          <w:sz w:val="24"/>
          <w:szCs w:val="24"/>
        </w:rPr>
        <w:t>Par prioritāro pasākumu pieteikumiem</w:t>
      </w:r>
      <w:r w:rsidR="007C369D">
        <w:rPr>
          <w:rFonts w:cstheme="minorHAnsi"/>
          <w:b/>
          <w:bCs/>
          <w:sz w:val="24"/>
          <w:szCs w:val="24"/>
        </w:rPr>
        <w:t xml:space="preserve"> (PPP)</w:t>
      </w:r>
      <w:r w:rsidRPr="005A6886">
        <w:rPr>
          <w:rFonts w:cstheme="minorHAnsi"/>
          <w:b/>
          <w:bCs/>
          <w:sz w:val="24"/>
          <w:szCs w:val="24"/>
        </w:rPr>
        <w:t xml:space="preserve"> – priekšlikumu īstenošanai</w:t>
      </w:r>
    </w:p>
    <w:p w14:paraId="043B23FF" w14:textId="77777777" w:rsidR="00F934EC" w:rsidRPr="007C369D" w:rsidRDefault="00916C7D" w:rsidP="007C369D">
      <w:pPr>
        <w:jc w:val="both"/>
        <w:rPr>
          <w:rFonts w:cstheme="minorHAnsi"/>
        </w:rPr>
      </w:pPr>
      <w:r w:rsidRPr="007C369D">
        <w:rPr>
          <w:rFonts w:cstheme="minorHAnsi"/>
        </w:rPr>
        <w:lastRenderedPageBreak/>
        <w:t>Ministrija informē, ka 202</w:t>
      </w:r>
      <w:r w:rsidR="001834AD" w:rsidRPr="007C369D">
        <w:rPr>
          <w:rFonts w:cstheme="minorHAnsi"/>
        </w:rPr>
        <w:t>3</w:t>
      </w:r>
      <w:r w:rsidRPr="007C369D">
        <w:rPr>
          <w:rFonts w:cstheme="minorHAnsi"/>
        </w:rPr>
        <w:t xml:space="preserve">. gada </w:t>
      </w:r>
      <w:r w:rsidR="001834AD" w:rsidRPr="007C369D">
        <w:rPr>
          <w:rFonts w:cstheme="minorHAnsi"/>
        </w:rPr>
        <w:t>30</w:t>
      </w:r>
      <w:r w:rsidRPr="007C369D">
        <w:rPr>
          <w:rFonts w:cstheme="minorHAnsi"/>
        </w:rPr>
        <w:t>. jū</w:t>
      </w:r>
      <w:r w:rsidR="001834AD" w:rsidRPr="007C369D">
        <w:rPr>
          <w:rFonts w:cstheme="minorHAnsi"/>
        </w:rPr>
        <w:t>n</w:t>
      </w:r>
      <w:r w:rsidRPr="007C369D">
        <w:rPr>
          <w:rFonts w:cstheme="minorHAnsi"/>
        </w:rPr>
        <w:t xml:space="preserve">ijā </w:t>
      </w:r>
      <w:r w:rsidR="00F934EC" w:rsidRPr="007C369D">
        <w:rPr>
          <w:rFonts w:cstheme="minorHAnsi"/>
        </w:rPr>
        <w:t xml:space="preserve">(tāpat kā 2021. un 2022. gadā) </w:t>
      </w:r>
      <w:r w:rsidRPr="007C369D">
        <w:rPr>
          <w:rFonts w:cstheme="minorHAnsi"/>
        </w:rPr>
        <w:t xml:space="preserve">Finanšu ministrijai tika iesniegti </w:t>
      </w:r>
      <w:r w:rsidR="001834AD" w:rsidRPr="007C369D">
        <w:rPr>
          <w:rFonts w:cstheme="minorHAnsi"/>
        </w:rPr>
        <w:t>(</w:t>
      </w:r>
      <w:proofErr w:type="spellStart"/>
      <w:r w:rsidR="001834AD" w:rsidRPr="007C369D">
        <w:rPr>
          <w:rFonts w:cstheme="minorHAnsi"/>
        </w:rPr>
        <w:t>reģ</w:t>
      </w:r>
      <w:proofErr w:type="spellEnd"/>
      <w:r w:rsidR="001834AD" w:rsidRPr="007C369D">
        <w:rPr>
          <w:rFonts w:cstheme="minorHAnsi"/>
        </w:rPr>
        <w:t xml:space="preserve">. Nr. 4-4.1e/23/1833) </w:t>
      </w:r>
      <w:r w:rsidRPr="007C369D">
        <w:rPr>
          <w:rFonts w:cstheme="minorHAnsi"/>
        </w:rPr>
        <w:t xml:space="preserve">vairāki prioritāro pasākumu pieteikumi, lai nodrošinātu profesionālās izglītības programmu pilnvērtīgai īstenošanai nepieciešamo finansējumu, to starpā: bāzes finansējuma palielināšanai profesionālās izglītības programmu īstenošanai (normējamās izmaksas un dienesta viesnīcas uzturēšanas izmaksas); mācību prakšu organizēšanas izmaksu un darba vidē balstītu (DVB) mācību īstenošanas izmaksu finansēšanai; valsts finansēto vietu skaita palielināšanai profesionālās izglītības programmās u.c. </w:t>
      </w:r>
    </w:p>
    <w:p w14:paraId="3DD5C3A9" w14:textId="01D03F02" w:rsidR="00916C7D" w:rsidRPr="007C369D" w:rsidRDefault="00916C7D" w:rsidP="007C369D">
      <w:pPr>
        <w:jc w:val="both"/>
        <w:rPr>
          <w:rFonts w:cstheme="minorHAnsi"/>
        </w:rPr>
      </w:pPr>
      <w:r w:rsidRPr="007C369D">
        <w:rPr>
          <w:rFonts w:cstheme="minorHAnsi"/>
        </w:rPr>
        <w:t xml:space="preserve">Saskaņā ar MK lēmumu neviens no iepriekšminētajiem pieteikumiem netika atbalstīts (MK 2023. gada </w:t>
      </w:r>
      <w:r w:rsidR="005A6886" w:rsidRPr="007C369D">
        <w:rPr>
          <w:rFonts w:cstheme="minorHAnsi"/>
        </w:rPr>
        <w:t>26</w:t>
      </w:r>
      <w:r w:rsidRPr="007C369D">
        <w:rPr>
          <w:rFonts w:cstheme="minorHAnsi"/>
        </w:rPr>
        <w:t xml:space="preserve">. </w:t>
      </w:r>
      <w:r w:rsidR="005A6886" w:rsidRPr="007C369D">
        <w:rPr>
          <w:rFonts w:cstheme="minorHAnsi"/>
        </w:rPr>
        <w:t>septembra</w:t>
      </w:r>
      <w:r w:rsidRPr="007C369D">
        <w:rPr>
          <w:rFonts w:cstheme="minorHAnsi"/>
        </w:rPr>
        <w:t xml:space="preserve"> sēdes protokols Nr.</w:t>
      </w:r>
      <w:r w:rsidR="005A6886" w:rsidRPr="007C369D">
        <w:rPr>
          <w:rFonts w:cstheme="minorHAnsi"/>
        </w:rPr>
        <w:t>47</w:t>
      </w:r>
      <w:r w:rsidRPr="007C369D">
        <w:rPr>
          <w:rFonts w:cstheme="minorHAnsi"/>
        </w:rPr>
        <w:t xml:space="preserve">., </w:t>
      </w:r>
      <w:r w:rsidR="005A6886" w:rsidRPr="007C369D">
        <w:rPr>
          <w:rFonts w:cstheme="minorHAnsi"/>
        </w:rPr>
        <w:t xml:space="preserve">43. </w:t>
      </w:r>
      <w:r w:rsidRPr="007C369D">
        <w:rPr>
          <w:rFonts w:cstheme="minorHAnsi"/>
        </w:rPr>
        <w:t>.§). Ministrija turpinās darbu pie izstrādāto priekšlikumu pilnveides, t.sk. aktualizējot to īstenošanai nepieciešamā finansējuma aprēķinus un sniegs pieteikumus prioritāro pasākumu īstenošanai arī 202</w:t>
      </w:r>
      <w:r w:rsidR="005A6886" w:rsidRPr="007C369D">
        <w:rPr>
          <w:rFonts w:cstheme="minorHAnsi"/>
        </w:rPr>
        <w:t>5</w:t>
      </w:r>
      <w:r w:rsidRPr="007C369D">
        <w:rPr>
          <w:rFonts w:cstheme="minorHAnsi"/>
        </w:rPr>
        <w:t xml:space="preserve">. gadam un </w:t>
      </w:r>
      <w:r w:rsidRPr="00894184">
        <w:rPr>
          <w:rFonts w:cstheme="minorHAnsi"/>
        </w:rPr>
        <w:t xml:space="preserve">turpmāk. </w:t>
      </w:r>
      <w:r w:rsidR="001F4AB0" w:rsidRPr="00894184">
        <w:rPr>
          <w:rFonts w:cstheme="minorHAnsi"/>
        </w:rPr>
        <w:t>U</w:t>
      </w:r>
      <w:r w:rsidRPr="00894184">
        <w:rPr>
          <w:rFonts w:cstheme="minorHAnsi"/>
        </w:rPr>
        <w:t xml:space="preserve">zdevums par profesionālās izglītības programmu finansēšanas pilnveidi </w:t>
      </w:r>
      <w:r w:rsidR="005A6886" w:rsidRPr="00894184">
        <w:rPr>
          <w:rFonts w:cstheme="minorHAnsi"/>
        </w:rPr>
        <w:t xml:space="preserve">tiks </w:t>
      </w:r>
      <w:r w:rsidRPr="00894184">
        <w:rPr>
          <w:rFonts w:cstheme="minorHAnsi"/>
        </w:rPr>
        <w:t>ietverts arī Valdības rīcības plāna projektā.</w:t>
      </w:r>
    </w:p>
    <w:p w14:paraId="74C4B5CD" w14:textId="77777777" w:rsidR="00F70FC0" w:rsidRPr="007C369D" w:rsidRDefault="00F70FC0" w:rsidP="007C369D">
      <w:pPr>
        <w:shd w:val="clear" w:color="auto" w:fill="FFFFFF"/>
        <w:spacing w:after="120" w:line="240" w:lineRule="auto"/>
        <w:jc w:val="both"/>
        <w:textAlignment w:val="baseline"/>
        <w:rPr>
          <w:rFonts w:eastAsia="Times New Roman" w:cstheme="minorHAnsi"/>
          <w:color w:val="000000"/>
          <w:bdr w:val="none" w:sz="0" w:space="0" w:color="auto" w:frame="1"/>
        </w:rPr>
      </w:pPr>
      <w:r w:rsidRPr="007C369D">
        <w:rPr>
          <w:rFonts w:eastAsia="Times New Roman" w:cstheme="minorHAnsi"/>
          <w:color w:val="000000"/>
          <w:bdr w:val="none" w:sz="0" w:space="0" w:color="auto" w:frame="1"/>
        </w:rPr>
        <w:t>Lai sasniegtu būtisku izglītojamo skaita īpatsvara pieaugumu profesionālās vidējās izglītības pakāpē un nozarēs, kurās atbilstoši Ekonomikas ministrijas darba tirgus prognozēm prognozēts būtisks speciālistu iztrūkums, nepieciešams kāpināt uzņemto izglītojamo skaitu, t.sk. paredzot iespēju arī pašvaldību un citu dibinātāju izglītības iestādēm pretendēt uz valsts budžeta finansējumu gadījumos, kad tās profesionālās izglītības programmas īsteno saskaņā ar noteiktiem kritērijiem.</w:t>
      </w:r>
    </w:p>
    <w:p w14:paraId="2B501A24" w14:textId="52E201C6" w:rsidR="00F70FC0" w:rsidRPr="005A6886" w:rsidRDefault="00F70FC0" w:rsidP="007C369D">
      <w:pPr>
        <w:shd w:val="clear" w:color="auto" w:fill="FFFFFF"/>
        <w:spacing w:after="120" w:line="240" w:lineRule="auto"/>
        <w:jc w:val="both"/>
        <w:textAlignment w:val="baseline"/>
        <w:rPr>
          <w:rFonts w:eastAsia="Times New Roman" w:cstheme="minorHAnsi"/>
          <w:b/>
          <w:bCs/>
          <w:color w:val="000000"/>
          <w:sz w:val="24"/>
          <w:szCs w:val="24"/>
          <w:bdr w:val="none" w:sz="0" w:space="0" w:color="auto" w:frame="1"/>
        </w:rPr>
      </w:pPr>
      <w:r w:rsidRPr="005A6886">
        <w:rPr>
          <w:rFonts w:eastAsia="Times New Roman" w:cstheme="minorHAnsi"/>
          <w:b/>
          <w:bCs/>
          <w:color w:val="000000"/>
          <w:sz w:val="24"/>
          <w:szCs w:val="24"/>
          <w:bdr w:val="none" w:sz="0" w:space="0" w:color="auto" w:frame="1"/>
        </w:rPr>
        <w:t xml:space="preserve">PPP: Valsts finansēto vietu skaita palielināšana profesionālās izglītības programmās </w:t>
      </w:r>
    </w:p>
    <w:p w14:paraId="3B8072DC" w14:textId="77777777" w:rsidR="00F70FC0" w:rsidRPr="007C369D" w:rsidRDefault="00F70FC0" w:rsidP="007C369D">
      <w:pPr>
        <w:shd w:val="clear" w:color="auto" w:fill="FFFFFF"/>
        <w:spacing w:after="0" w:line="240" w:lineRule="auto"/>
        <w:jc w:val="both"/>
        <w:textAlignment w:val="baseline"/>
        <w:rPr>
          <w:rFonts w:eastAsia="Times New Roman" w:cstheme="minorHAnsi"/>
          <w:color w:val="000000"/>
          <w:bdr w:val="none" w:sz="0" w:space="0" w:color="auto" w:frame="1"/>
        </w:rPr>
      </w:pPr>
      <w:r w:rsidRPr="007C369D">
        <w:rPr>
          <w:rFonts w:eastAsia="Times New Roman" w:cstheme="minorHAnsi"/>
          <w:color w:val="000000"/>
          <w:bdr w:val="none" w:sz="0" w:space="0" w:color="auto" w:frame="1"/>
        </w:rPr>
        <w:t>Prioritārā pasākuma pieteikums paredz:</w:t>
      </w:r>
    </w:p>
    <w:p w14:paraId="69F01914" w14:textId="651895AB" w:rsidR="00F70FC0" w:rsidRPr="007C369D" w:rsidRDefault="00F70FC0" w:rsidP="007C369D">
      <w:pPr>
        <w:pStyle w:val="Sarakstarindkopa"/>
        <w:numPr>
          <w:ilvl w:val="0"/>
          <w:numId w:val="7"/>
        </w:numPr>
        <w:shd w:val="clear" w:color="auto" w:fill="FFFFFF"/>
        <w:spacing w:after="0" w:line="240" w:lineRule="auto"/>
        <w:jc w:val="both"/>
        <w:textAlignment w:val="baseline"/>
        <w:rPr>
          <w:rFonts w:eastAsia="Times New Roman" w:cstheme="minorHAnsi"/>
          <w:color w:val="000000"/>
          <w:bdr w:val="none" w:sz="0" w:space="0" w:color="auto" w:frame="1"/>
        </w:rPr>
      </w:pPr>
      <w:r w:rsidRPr="007C369D">
        <w:rPr>
          <w:rFonts w:eastAsia="Times New Roman" w:cstheme="minorHAnsi"/>
          <w:color w:val="000000"/>
          <w:bdr w:val="none" w:sz="0" w:space="0" w:color="auto" w:frame="1"/>
        </w:rPr>
        <w:t>palielināt uzņemšanu katru gadu par 50 vietām IZM dibinātajās izglītības iestādēs;</w:t>
      </w:r>
    </w:p>
    <w:p w14:paraId="3AFF0568" w14:textId="64E1C250" w:rsidR="00F70FC0" w:rsidRPr="007C369D" w:rsidRDefault="00F70FC0" w:rsidP="007C369D">
      <w:pPr>
        <w:pStyle w:val="Sarakstarindkopa"/>
        <w:numPr>
          <w:ilvl w:val="0"/>
          <w:numId w:val="7"/>
        </w:numPr>
        <w:shd w:val="clear" w:color="auto" w:fill="FFFFFF"/>
        <w:spacing w:after="0" w:line="240" w:lineRule="auto"/>
        <w:jc w:val="both"/>
        <w:textAlignment w:val="baseline"/>
        <w:rPr>
          <w:rFonts w:eastAsia="Times New Roman" w:cstheme="minorHAnsi"/>
          <w:color w:val="000000"/>
          <w:bdr w:val="none" w:sz="0" w:space="0" w:color="auto" w:frame="1"/>
        </w:rPr>
      </w:pPr>
      <w:r w:rsidRPr="007C369D">
        <w:rPr>
          <w:rFonts w:eastAsia="Times New Roman" w:cstheme="minorHAnsi"/>
          <w:color w:val="000000"/>
          <w:bdr w:val="none" w:sz="0" w:space="0" w:color="auto" w:frame="1"/>
        </w:rPr>
        <w:t>uzsākt (no 1.kursa) pašvaldību un citu dibinātāju izglītības iestāžu īstenoto profesionālās izglītības programmu finansēšanu no valsts budžeta un nodrošināt pakāpenisku vietu skaita pieaugumu katru gadu par 75 vietām;</w:t>
      </w:r>
    </w:p>
    <w:p w14:paraId="7F396134" w14:textId="4535D6BE" w:rsidR="004569FA" w:rsidRPr="007C369D" w:rsidRDefault="00F70FC0" w:rsidP="007C369D">
      <w:pPr>
        <w:pStyle w:val="Sarakstarindkopa"/>
        <w:numPr>
          <w:ilvl w:val="0"/>
          <w:numId w:val="7"/>
        </w:numPr>
        <w:shd w:val="clear" w:color="auto" w:fill="FFFFFF"/>
        <w:spacing w:after="120" w:line="240" w:lineRule="auto"/>
        <w:ind w:left="714" w:hanging="357"/>
        <w:jc w:val="both"/>
        <w:textAlignment w:val="baseline"/>
        <w:rPr>
          <w:rFonts w:eastAsia="Times New Roman" w:cstheme="minorHAnsi"/>
          <w:color w:val="000000"/>
          <w:bdr w:val="none" w:sz="0" w:space="0" w:color="auto" w:frame="1"/>
        </w:rPr>
      </w:pPr>
      <w:r w:rsidRPr="007C369D">
        <w:rPr>
          <w:rFonts w:eastAsia="Times New Roman" w:cstheme="minorHAnsi"/>
          <w:color w:val="000000"/>
          <w:bdr w:val="none" w:sz="0" w:space="0" w:color="auto" w:frame="1"/>
        </w:rPr>
        <w:t>palielināt uzņemšanu katru gadu par 50 vietām IZM dibinātajās izglītības iestādēs - nodrošinot 50 personu uzņemšanu vēlākos mācību posmos.</w:t>
      </w:r>
    </w:p>
    <w:p w14:paraId="07C8183C" w14:textId="77777777" w:rsidR="00F70FC0" w:rsidRPr="007C369D" w:rsidRDefault="00F70FC0" w:rsidP="007C369D">
      <w:pPr>
        <w:shd w:val="clear" w:color="auto" w:fill="FFFFFF"/>
        <w:spacing w:after="0" w:line="240" w:lineRule="auto"/>
        <w:jc w:val="both"/>
        <w:textAlignment w:val="baseline"/>
        <w:rPr>
          <w:rFonts w:eastAsia="Times New Roman" w:cstheme="minorHAnsi"/>
          <w:color w:val="000000"/>
          <w:bdr w:val="none" w:sz="0" w:space="0" w:color="auto" w:frame="1"/>
        </w:rPr>
      </w:pPr>
      <w:r w:rsidRPr="007C369D">
        <w:rPr>
          <w:rFonts w:eastAsia="Times New Roman" w:cstheme="minorHAnsi"/>
          <w:color w:val="000000"/>
          <w:bdr w:val="none" w:sz="0" w:space="0" w:color="auto" w:frame="1"/>
        </w:rPr>
        <w:t xml:space="preserve">Vietu skaitu plānots palielināt atbilstoši noteiktiem kritērijiem: </w:t>
      </w:r>
    </w:p>
    <w:p w14:paraId="359B7CC3" w14:textId="7CFA55A1" w:rsidR="00F70FC0" w:rsidRPr="007C369D" w:rsidRDefault="00F70FC0" w:rsidP="007C369D">
      <w:pPr>
        <w:pStyle w:val="Sarakstarindkopa"/>
        <w:numPr>
          <w:ilvl w:val="0"/>
          <w:numId w:val="8"/>
        </w:numPr>
        <w:shd w:val="clear" w:color="auto" w:fill="FFFFFF"/>
        <w:spacing w:after="0" w:line="240" w:lineRule="auto"/>
        <w:jc w:val="both"/>
        <w:textAlignment w:val="baseline"/>
        <w:rPr>
          <w:rFonts w:eastAsia="Times New Roman" w:cstheme="minorHAnsi"/>
          <w:color w:val="000000"/>
          <w:bdr w:val="none" w:sz="0" w:space="0" w:color="auto" w:frame="1"/>
        </w:rPr>
      </w:pPr>
      <w:r w:rsidRPr="007C369D">
        <w:rPr>
          <w:rFonts w:eastAsia="Times New Roman" w:cstheme="minorHAnsi"/>
          <w:color w:val="000000"/>
          <w:bdr w:val="none" w:sz="0" w:space="0" w:color="auto" w:frame="1"/>
        </w:rPr>
        <w:t xml:space="preserve">atbilstība </w:t>
      </w:r>
      <w:r w:rsidRPr="007C369D">
        <w:rPr>
          <w:rFonts w:eastAsia="Times New Roman" w:cstheme="minorHAnsi"/>
          <w:color w:val="000000"/>
          <w:u w:val="single"/>
          <w:bdr w:val="none" w:sz="0" w:space="0" w:color="auto" w:frame="1"/>
        </w:rPr>
        <w:t>pieprasījuma kritērijam</w:t>
      </w:r>
      <w:r w:rsidRPr="007C369D">
        <w:rPr>
          <w:rFonts w:eastAsia="Times New Roman" w:cstheme="minorHAnsi"/>
          <w:color w:val="000000"/>
          <w:bdr w:val="none" w:sz="0" w:space="0" w:color="auto" w:frame="1"/>
        </w:rPr>
        <w:t xml:space="preserve"> vērtēta saskaņā ar EM darba tirgus prognozēm - kritērija izpildei, saskaņā ar EM prognozēm, izglītības programmai jābūt piederīgai izglītības programmu grupai, kurā tiek prognozēts speciālistu iztrūkums darba tirgū - vismaz 5% apmērā;</w:t>
      </w:r>
    </w:p>
    <w:p w14:paraId="0C82105A" w14:textId="56EB3276" w:rsidR="00F70FC0" w:rsidRPr="007C369D" w:rsidRDefault="00F70FC0" w:rsidP="007C369D">
      <w:pPr>
        <w:pStyle w:val="Sarakstarindkopa"/>
        <w:numPr>
          <w:ilvl w:val="0"/>
          <w:numId w:val="8"/>
        </w:numPr>
        <w:shd w:val="clear" w:color="auto" w:fill="FFFFFF"/>
        <w:spacing w:after="120" w:line="240" w:lineRule="auto"/>
        <w:ind w:left="714" w:hanging="357"/>
        <w:jc w:val="both"/>
        <w:textAlignment w:val="baseline"/>
        <w:rPr>
          <w:rFonts w:eastAsia="Times New Roman" w:cstheme="minorHAnsi"/>
          <w:color w:val="000000"/>
          <w:bdr w:val="none" w:sz="0" w:space="0" w:color="auto" w:frame="1"/>
        </w:rPr>
      </w:pPr>
      <w:r w:rsidRPr="007C369D">
        <w:rPr>
          <w:rFonts w:eastAsia="Times New Roman" w:cstheme="minorHAnsi"/>
          <w:color w:val="000000"/>
          <w:bdr w:val="none" w:sz="0" w:space="0" w:color="auto" w:frame="1"/>
        </w:rPr>
        <w:t xml:space="preserve">atbilstība </w:t>
      </w:r>
      <w:r w:rsidRPr="007C369D">
        <w:rPr>
          <w:rFonts w:eastAsia="Times New Roman" w:cstheme="minorHAnsi"/>
          <w:color w:val="000000"/>
          <w:u w:val="single"/>
          <w:bdr w:val="none" w:sz="0" w:space="0" w:color="auto" w:frame="1"/>
        </w:rPr>
        <w:t>nodarbinātības kritērijam</w:t>
      </w:r>
      <w:r w:rsidRPr="007C369D">
        <w:rPr>
          <w:rFonts w:eastAsia="Times New Roman" w:cstheme="minorHAnsi"/>
          <w:color w:val="000000"/>
          <w:bdr w:val="none" w:sz="0" w:space="0" w:color="auto" w:frame="1"/>
        </w:rPr>
        <w:t xml:space="preserve"> vērtēta saskaņā ar absolventu monitoringa datiem (CSP) - izglītības programmas, kurās ne mazāk kā 70% absolventu, saskaņā ar absolventu monitoringa datiem, gadu pēc izglītības iestādes absolvēšanas, ir nodarbināti.</w:t>
      </w:r>
    </w:p>
    <w:p w14:paraId="3CB4C934" w14:textId="3CD9FE50" w:rsidR="001221CB" w:rsidRPr="005A6886" w:rsidRDefault="001221CB" w:rsidP="007C369D">
      <w:pPr>
        <w:shd w:val="clear" w:color="auto" w:fill="FFFFFF"/>
        <w:spacing w:after="120" w:line="240" w:lineRule="auto"/>
        <w:jc w:val="both"/>
        <w:textAlignment w:val="baseline"/>
        <w:rPr>
          <w:rFonts w:eastAsia="Times New Roman" w:cstheme="minorHAnsi"/>
          <w:b/>
          <w:bCs/>
          <w:color w:val="000000"/>
          <w:sz w:val="24"/>
          <w:szCs w:val="24"/>
          <w:bdr w:val="none" w:sz="0" w:space="0" w:color="auto" w:frame="1"/>
        </w:rPr>
      </w:pPr>
      <w:r w:rsidRPr="005A6886">
        <w:rPr>
          <w:rFonts w:eastAsia="Times New Roman" w:cstheme="minorHAnsi"/>
          <w:b/>
          <w:bCs/>
          <w:color w:val="000000"/>
          <w:sz w:val="24"/>
          <w:szCs w:val="24"/>
          <w:bdr w:val="none" w:sz="0" w:space="0" w:color="auto" w:frame="1"/>
        </w:rPr>
        <w:t>PPP: Bāzes finansējuma palielināšana profesionālās izglītības programmu īstenošanai</w:t>
      </w:r>
    </w:p>
    <w:p w14:paraId="5E8D65BB" w14:textId="3A5D65EC" w:rsidR="001221CB" w:rsidRPr="007C369D" w:rsidRDefault="001221CB" w:rsidP="007C369D">
      <w:pPr>
        <w:shd w:val="clear" w:color="auto" w:fill="FFFFFF"/>
        <w:spacing w:after="120" w:line="240" w:lineRule="auto"/>
        <w:jc w:val="both"/>
        <w:textAlignment w:val="baseline"/>
        <w:rPr>
          <w:rFonts w:eastAsia="Times New Roman" w:cstheme="minorHAnsi"/>
          <w:color w:val="000000"/>
          <w:bdr w:val="none" w:sz="0" w:space="0" w:color="auto" w:frame="1"/>
        </w:rPr>
      </w:pPr>
      <w:r w:rsidRPr="007C369D">
        <w:rPr>
          <w:rFonts w:eastAsia="Times New Roman" w:cstheme="minorHAnsi"/>
          <w:color w:val="000000"/>
          <w:bdr w:val="none" w:sz="0" w:space="0" w:color="auto" w:frame="1"/>
        </w:rPr>
        <w:t>Priekšlikums paredz bāzes finansējuma paaugstināšanu (t.sk. normējamo izmaksu palielināšanu uz vienu izglītojamo gadā no 425,15 EUR uz 624,86 EUR un dienesta viesnīcu uzturēšanas izmaksu (nenormējamās izmaksas) palielināšanu uz vienu izglītojamo gadā no 282,23 uz 351,69 EUR).</w:t>
      </w:r>
    </w:p>
    <w:p w14:paraId="41D94D90" w14:textId="420C68EA" w:rsidR="001221CB" w:rsidRPr="005A6886" w:rsidRDefault="001221CB" w:rsidP="007C369D">
      <w:pPr>
        <w:shd w:val="clear" w:color="auto" w:fill="FFFFFF"/>
        <w:spacing w:after="120" w:line="240" w:lineRule="auto"/>
        <w:jc w:val="both"/>
        <w:textAlignment w:val="baseline"/>
        <w:rPr>
          <w:rFonts w:eastAsia="Times New Roman" w:cstheme="minorHAnsi"/>
          <w:b/>
          <w:bCs/>
          <w:color w:val="000000"/>
          <w:sz w:val="24"/>
          <w:szCs w:val="24"/>
          <w:bdr w:val="none" w:sz="0" w:space="0" w:color="auto" w:frame="1"/>
        </w:rPr>
      </w:pPr>
      <w:r w:rsidRPr="005A6886">
        <w:rPr>
          <w:rFonts w:eastAsia="Times New Roman" w:cstheme="minorHAnsi"/>
          <w:b/>
          <w:bCs/>
          <w:color w:val="000000"/>
          <w:sz w:val="24"/>
          <w:szCs w:val="24"/>
          <w:bdr w:val="none" w:sz="0" w:space="0" w:color="auto" w:frame="1"/>
        </w:rPr>
        <w:t>PPP: Mācību prakšu organizēšanas izmaksu un darba vidē balstītu mācību īstenošanas izmaksu finansēšana profesionālajā izglītībā</w:t>
      </w:r>
    </w:p>
    <w:p w14:paraId="60826FF1" w14:textId="070D527C" w:rsidR="007C369D" w:rsidRDefault="001221CB" w:rsidP="007C369D">
      <w:pPr>
        <w:shd w:val="clear" w:color="auto" w:fill="FFFFFF"/>
        <w:spacing w:after="120" w:line="240" w:lineRule="auto"/>
        <w:jc w:val="both"/>
        <w:textAlignment w:val="baseline"/>
        <w:rPr>
          <w:rFonts w:eastAsia="Times New Roman" w:cstheme="minorHAnsi"/>
          <w:color w:val="000000"/>
          <w:bdr w:val="none" w:sz="0" w:space="0" w:color="auto" w:frame="1"/>
        </w:rPr>
      </w:pPr>
      <w:r w:rsidRPr="007C369D">
        <w:rPr>
          <w:rFonts w:eastAsia="Times New Roman" w:cstheme="minorHAnsi"/>
          <w:color w:val="000000"/>
          <w:bdr w:val="none" w:sz="0" w:space="0" w:color="auto" w:frame="1"/>
        </w:rPr>
        <w:t xml:space="preserve">Saskaņā ar normatīvo regulējumu (MK noteikumi Nr. 655) - kvalifikācijas prakses organizēšanas izmaksas jānodrošina no valsts budžeta līdzekļiem, vienlaikus, nepietiekamā finansējuma dēļ, šo izmaksu finansēšana līdz šim nav tikusi nodrošināta. Profesionālās izglītības programmu izmaksas veido normējamās un nenormējamās izmaksas, t.sk. kvalifikācijas prakses organizēšanas izmaksas (viena praktikanta kvalifikācijas prakses organizēšanas izmaksas – 7,11 EUR dienā). Savukārt DVB mācību (ārpus izglītības iestādes) īstenošanas izmaksu finansēšanu no valsts budžeta normatīvais regulējums neparedz, vienlaikus jau no 2017.gada DVB mācības tiek īstenotas 8.5.1. specifiskā atbalsta mērķa “Palielināt kvalificētu profesionālās izglītības iestāžu audzēkņu skaitu pēc to dalības darba vidē balstītās mācībās vai mācību praksē uzņēmumā” projekta (turpmāk - 8.5.1.SAM projekts) ietvaros, t.sk. nodrošinot DVB mācību un mācību prakšu īstenošanai nepieciešamo finansējumu, vienlaikus tas tiek nodrošināts tikai projektā iesaistītajiem dalībniekiem. </w:t>
      </w:r>
      <w:r w:rsidRPr="007C369D">
        <w:rPr>
          <w:rFonts w:eastAsia="Times New Roman" w:cstheme="minorHAnsi"/>
          <w:color w:val="000000"/>
          <w:bdr w:val="none" w:sz="0" w:space="0" w:color="auto" w:frame="1"/>
        </w:rPr>
        <w:lastRenderedPageBreak/>
        <w:t>8.5.1.SAM projekts tiks īstenots līdz 31.12.2023. un ES fondu 2021.-2027.gada plānošanas periodā, salīdzinot ar iepriekšējo plānošanas periodu - pieejamais finansējums DVB mācību īstenošanai būs ievērojami mazāks.</w:t>
      </w:r>
    </w:p>
    <w:p w14:paraId="29807595" w14:textId="77777777" w:rsidR="007C369D" w:rsidRPr="007C369D" w:rsidRDefault="007C369D" w:rsidP="007C369D">
      <w:pPr>
        <w:shd w:val="clear" w:color="auto" w:fill="FFFFFF"/>
        <w:spacing w:after="120" w:line="240" w:lineRule="auto"/>
        <w:jc w:val="both"/>
        <w:textAlignment w:val="baseline"/>
        <w:rPr>
          <w:rFonts w:eastAsia="Times New Roman" w:cstheme="minorHAnsi"/>
          <w:color w:val="000000"/>
          <w:bdr w:val="none" w:sz="0" w:space="0" w:color="auto" w:frame="1"/>
        </w:rPr>
      </w:pPr>
    </w:p>
    <w:p w14:paraId="10C7AA49" w14:textId="786C5D7B" w:rsidR="008F6E84" w:rsidRPr="007C369D" w:rsidRDefault="008F6E84" w:rsidP="008F6E84">
      <w:pPr>
        <w:pStyle w:val="Sarakstarindkopa"/>
        <w:spacing w:after="120" w:line="240" w:lineRule="auto"/>
        <w:ind w:left="567"/>
        <w:jc w:val="center"/>
        <w:rPr>
          <w:rFonts w:cstheme="minorHAnsi"/>
          <w:b/>
          <w:bCs/>
          <w:sz w:val="24"/>
          <w:szCs w:val="24"/>
        </w:rPr>
      </w:pPr>
      <w:r w:rsidRPr="007C369D">
        <w:rPr>
          <w:rFonts w:cstheme="minorHAnsi"/>
          <w:b/>
          <w:bCs/>
          <w:sz w:val="24"/>
          <w:szCs w:val="24"/>
        </w:rPr>
        <w:t>Prioritāro pasākumu pieteikumi profesionālajā izglītībā</w:t>
      </w:r>
      <w:r w:rsidR="003C3BFD" w:rsidRPr="007C369D">
        <w:rPr>
          <w:rFonts w:cstheme="minorHAnsi"/>
          <w:b/>
          <w:bCs/>
          <w:sz w:val="24"/>
          <w:szCs w:val="24"/>
        </w:rPr>
        <w:t xml:space="preserve"> 2024. - 2026. gadam</w:t>
      </w:r>
    </w:p>
    <w:tbl>
      <w:tblPr>
        <w:tblStyle w:val="Reatabula"/>
        <w:tblW w:w="9355" w:type="dxa"/>
        <w:jc w:val="center"/>
        <w:tblLayout w:type="fixed"/>
        <w:tblLook w:val="04A0" w:firstRow="1" w:lastRow="0" w:firstColumn="1" w:lastColumn="0" w:noHBand="0" w:noVBand="1"/>
      </w:tblPr>
      <w:tblGrid>
        <w:gridCol w:w="567"/>
        <w:gridCol w:w="4252"/>
        <w:gridCol w:w="1134"/>
        <w:gridCol w:w="1134"/>
        <w:gridCol w:w="1134"/>
        <w:gridCol w:w="1134"/>
      </w:tblGrid>
      <w:tr w:rsidR="008F6E84" w:rsidRPr="005A6886" w14:paraId="3C8C0103" w14:textId="77777777" w:rsidTr="004C1BCB">
        <w:trPr>
          <w:trHeight w:val="20"/>
          <w:jc w:val="center"/>
        </w:trPr>
        <w:tc>
          <w:tcPr>
            <w:tcW w:w="567" w:type="dxa"/>
            <w:vMerge w:val="restart"/>
            <w:shd w:val="clear" w:color="auto" w:fill="D9E2F3" w:themeFill="accent5" w:themeFillTint="33"/>
          </w:tcPr>
          <w:p w14:paraId="56DC719C" w14:textId="77777777" w:rsidR="008F6E84" w:rsidRPr="005A6886" w:rsidRDefault="008F6E84" w:rsidP="004C1BCB">
            <w:pPr>
              <w:jc w:val="center"/>
              <w:rPr>
                <w:rFonts w:cstheme="minorHAnsi"/>
                <w:b/>
                <w:sz w:val="20"/>
                <w:szCs w:val="21"/>
              </w:rPr>
            </w:pPr>
            <w:proofErr w:type="spellStart"/>
            <w:r w:rsidRPr="005A6886">
              <w:rPr>
                <w:rFonts w:cstheme="minorHAnsi"/>
                <w:b/>
                <w:sz w:val="20"/>
                <w:szCs w:val="21"/>
              </w:rPr>
              <w:t>Nr.p.k</w:t>
            </w:r>
            <w:proofErr w:type="spellEnd"/>
            <w:r w:rsidRPr="005A6886">
              <w:rPr>
                <w:rFonts w:cstheme="minorHAnsi"/>
                <w:b/>
                <w:sz w:val="20"/>
                <w:szCs w:val="21"/>
              </w:rPr>
              <w:t>.</w:t>
            </w:r>
          </w:p>
        </w:tc>
        <w:tc>
          <w:tcPr>
            <w:tcW w:w="4252" w:type="dxa"/>
            <w:vMerge w:val="restart"/>
            <w:shd w:val="clear" w:color="auto" w:fill="D9E2F3" w:themeFill="accent5" w:themeFillTint="33"/>
            <w:vAlign w:val="center"/>
          </w:tcPr>
          <w:p w14:paraId="61FF4543" w14:textId="77777777" w:rsidR="008F6E84" w:rsidRPr="005A6886" w:rsidRDefault="008F6E84" w:rsidP="004C1BCB">
            <w:pPr>
              <w:jc w:val="center"/>
              <w:rPr>
                <w:rFonts w:cstheme="minorHAnsi"/>
                <w:b/>
                <w:sz w:val="20"/>
                <w:szCs w:val="21"/>
              </w:rPr>
            </w:pPr>
            <w:r w:rsidRPr="005A6886">
              <w:rPr>
                <w:rFonts w:cstheme="minorHAnsi"/>
                <w:b/>
                <w:sz w:val="20"/>
                <w:szCs w:val="21"/>
              </w:rPr>
              <w:t>Prioritārais pasākums</w:t>
            </w:r>
          </w:p>
        </w:tc>
        <w:tc>
          <w:tcPr>
            <w:tcW w:w="4536" w:type="dxa"/>
            <w:gridSpan w:val="4"/>
            <w:shd w:val="clear" w:color="auto" w:fill="D9E2F3" w:themeFill="accent5" w:themeFillTint="33"/>
            <w:vAlign w:val="center"/>
          </w:tcPr>
          <w:p w14:paraId="19110225" w14:textId="77777777" w:rsidR="008F6E84" w:rsidRPr="005A6886" w:rsidRDefault="008F6E84" w:rsidP="004C1BCB">
            <w:pPr>
              <w:jc w:val="center"/>
              <w:rPr>
                <w:rFonts w:cstheme="minorHAnsi"/>
                <w:b/>
                <w:sz w:val="20"/>
                <w:szCs w:val="21"/>
              </w:rPr>
            </w:pPr>
            <w:r w:rsidRPr="005A6886">
              <w:rPr>
                <w:rFonts w:cstheme="minorHAnsi"/>
                <w:b/>
                <w:sz w:val="20"/>
                <w:szCs w:val="21"/>
              </w:rPr>
              <w:t>Nepieciešamais finansējums</w:t>
            </w:r>
          </w:p>
        </w:tc>
      </w:tr>
      <w:tr w:rsidR="008F6E84" w:rsidRPr="005A6886" w14:paraId="349F7B45" w14:textId="77777777" w:rsidTr="004C1BCB">
        <w:trPr>
          <w:trHeight w:val="20"/>
          <w:jc w:val="center"/>
        </w:trPr>
        <w:tc>
          <w:tcPr>
            <w:tcW w:w="567" w:type="dxa"/>
            <w:vMerge/>
            <w:shd w:val="clear" w:color="auto" w:fill="D9E2F3" w:themeFill="accent5" w:themeFillTint="33"/>
          </w:tcPr>
          <w:p w14:paraId="620F9313" w14:textId="77777777" w:rsidR="008F6E84" w:rsidRPr="005A6886" w:rsidRDefault="008F6E84" w:rsidP="004C1BCB">
            <w:pPr>
              <w:jc w:val="right"/>
              <w:rPr>
                <w:rFonts w:cstheme="minorHAnsi"/>
                <w:b/>
                <w:sz w:val="20"/>
                <w:szCs w:val="21"/>
              </w:rPr>
            </w:pPr>
          </w:p>
        </w:tc>
        <w:tc>
          <w:tcPr>
            <w:tcW w:w="4252" w:type="dxa"/>
            <w:vMerge/>
            <w:shd w:val="clear" w:color="auto" w:fill="D9E2F3" w:themeFill="accent5" w:themeFillTint="33"/>
          </w:tcPr>
          <w:p w14:paraId="0A8A2895" w14:textId="77777777" w:rsidR="008F6E84" w:rsidRPr="005A6886" w:rsidRDefault="008F6E84" w:rsidP="004C1BCB">
            <w:pPr>
              <w:jc w:val="right"/>
              <w:rPr>
                <w:rFonts w:cstheme="minorHAnsi"/>
                <w:b/>
                <w:sz w:val="20"/>
                <w:szCs w:val="21"/>
              </w:rPr>
            </w:pPr>
          </w:p>
        </w:tc>
        <w:tc>
          <w:tcPr>
            <w:tcW w:w="1134" w:type="dxa"/>
            <w:shd w:val="clear" w:color="auto" w:fill="D9E2F3" w:themeFill="accent5" w:themeFillTint="33"/>
            <w:vAlign w:val="center"/>
          </w:tcPr>
          <w:p w14:paraId="71438616" w14:textId="24622819" w:rsidR="008F6E84" w:rsidRPr="005A6886" w:rsidRDefault="008F6E84" w:rsidP="004C1BCB">
            <w:pPr>
              <w:jc w:val="center"/>
              <w:rPr>
                <w:rFonts w:cstheme="minorHAnsi"/>
                <w:b/>
                <w:sz w:val="20"/>
                <w:szCs w:val="21"/>
              </w:rPr>
            </w:pPr>
            <w:r w:rsidRPr="005A6886">
              <w:rPr>
                <w:rFonts w:cstheme="minorHAnsi"/>
                <w:b/>
                <w:sz w:val="20"/>
                <w:szCs w:val="21"/>
              </w:rPr>
              <w:t>202</w:t>
            </w:r>
            <w:r w:rsidR="00AE78D1" w:rsidRPr="005A6886">
              <w:rPr>
                <w:rFonts w:cstheme="minorHAnsi"/>
                <w:b/>
                <w:sz w:val="20"/>
                <w:szCs w:val="21"/>
              </w:rPr>
              <w:t>4</w:t>
            </w:r>
            <w:r w:rsidRPr="005A6886">
              <w:rPr>
                <w:rFonts w:cstheme="minorHAnsi"/>
                <w:b/>
                <w:sz w:val="20"/>
                <w:szCs w:val="21"/>
              </w:rPr>
              <w:t>.gads</w:t>
            </w:r>
          </w:p>
        </w:tc>
        <w:tc>
          <w:tcPr>
            <w:tcW w:w="1134" w:type="dxa"/>
            <w:shd w:val="clear" w:color="auto" w:fill="D9E2F3" w:themeFill="accent5" w:themeFillTint="33"/>
            <w:vAlign w:val="center"/>
          </w:tcPr>
          <w:p w14:paraId="467BEF68" w14:textId="461BFE05" w:rsidR="008F6E84" w:rsidRPr="005A6886" w:rsidRDefault="008F6E84" w:rsidP="004C1BCB">
            <w:pPr>
              <w:jc w:val="center"/>
              <w:rPr>
                <w:rFonts w:cstheme="minorHAnsi"/>
                <w:b/>
                <w:sz w:val="20"/>
                <w:szCs w:val="21"/>
              </w:rPr>
            </w:pPr>
            <w:r w:rsidRPr="005A6886">
              <w:rPr>
                <w:rFonts w:cstheme="minorHAnsi"/>
                <w:b/>
                <w:sz w:val="20"/>
                <w:szCs w:val="21"/>
              </w:rPr>
              <w:t>202</w:t>
            </w:r>
            <w:r w:rsidR="00AE78D1" w:rsidRPr="005A6886">
              <w:rPr>
                <w:rFonts w:cstheme="minorHAnsi"/>
                <w:b/>
                <w:sz w:val="20"/>
                <w:szCs w:val="21"/>
              </w:rPr>
              <w:t>5</w:t>
            </w:r>
            <w:r w:rsidRPr="005A6886">
              <w:rPr>
                <w:rFonts w:cstheme="minorHAnsi"/>
                <w:b/>
                <w:sz w:val="20"/>
                <w:szCs w:val="21"/>
              </w:rPr>
              <w:t>.gads</w:t>
            </w:r>
          </w:p>
        </w:tc>
        <w:tc>
          <w:tcPr>
            <w:tcW w:w="1134" w:type="dxa"/>
            <w:shd w:val="clear" w:color="auto" w:fill="D9E2F3" w:themeFill="accent5" w:themeFillTint="33"/>
            <w:vAlign w:val="center"/>
          </w:tcPr>
          <w:p w14:paraId="1B9C3489" w14:textId="2D07D94C" w:rsidR="008F6E84" w:rsidRPr="005A6886" w:rsidRDefault="008F6E84" w:rsidP="004C1BCB">
            <w:pPr>
              <w:jc w:val="center"/>
              <w:rPr>
                <w:rFonts w:cstheme="minorHAnsi"/>
                <w:b/>
                <w:sz w:val="20"/>
                <w:szCs w:val="21"/>
              </w:rPr>
            </w:pPr>
            <w:r w:rsidRPr="005A6886">
              <w:rPr>
                <w:rFonts w:cstheme="minorHAnsi"/>
                <w:b/>
                <w:sz w:val="20"/>
                <w:szCs w:val="21"/>
              </w:rPr>
              <w:t>202</w:t>
            </w:r>
            <w:r w:rsidR="00AE78D1" w:rsidRPr="005A6886">
              <w:rPr>
                <w:rFonts w:cstheme="minorHAnsi"/>
                <w:b/>
                <w:sz w:val="20"/>
                <w:szCs w:val="21"/>
              </w:rPr>
              <w:t>6</w:t>
            </w:r>
            <w:r w:rsidRPr="005A6886">
              <w:rPr>
                <w:rFonts w:cstheme="minorHAnsi"/>
                <w:b/>
                <w:sz w:val="20"/>
                <w:szCs w:val="21"/>
              </w:rPr>
              <w:t>.gads</w:t>
            </w:r>
          </w:p>
        </w:tc>
        <w:tc>
          <w:tcPr>
            <w:tcW w:w="1134" w:type="dxa"/>
            <w:shd w:val="clear" w:color="auto" w:fill="D9E2F3" w:themeFill="accent5" w:themeFillTint="33"/>
            <w:vAlign w:val="center"/>
          </w:tcPr>
          <w:p w14:paraId="529837BF" w14:textId="77777777" w:rsidR="008F6E84" w:rsidRPr="005A6886" w:rsidRDefault="008F6E84" w:rsidP="004C1BCB">
            <w:pPr>
              <w:jc w:val="center"/>
              <w:rPr>
                <w:rFonts w:cstheme="minorHAnsi"/>
                <w:b/>
                <w:sz w:val="20"/>
                <w:szCs w:val="21"/>
              </w:rPr>
            </w:pPr>
            <w:r w:rsidRPr="005A6886">
              <w:rPr>
                <w:rFonts w:cstheme="minorHAnsi"/>
                <w:b/>
                <w:sz w:val="20"/>
                <w:szCs w:val="21"/>
              </w:rPr>
              <w:t>Turpmāk</w:t>
            </w:r>
          </w:p>
        </w:tc>
      </w:tr>
      <w:tr w:rsidR="00AE78D1" w:rsidRPr="005A6886" w14:paraId="56A41B02" w14:textId="77777777" w:rsidTr="003C3BFD">
        <w:trPr>
          <w:jc w:val="center"/>
        </w:trPr>
        <w:tc>
          <w:tcPr>
            <w:tcW w:w="567" w:type="dxa"/>
            <w:vAlign w:val="center"/>
          </w:tcPr>
          <w:p w14:paraId="6548DA95" w14:textId="77777777" w:rsidR="00AE78D1" w:rsidRPr="005A6886" w:rsidRDefault="00AE78D1" w:rsidP="00AE78D1">
            <w:pPr>
              <w:jc w:val="center"/>
              <w:rPr>
                <w:rFonts w:cstheme="minorHAnsi"/>
                <w:bCs/>
                <w:color w:val="000000" w:themeColor="text1"/>
                <w:sz w:val="20"/>
                <w:szCs w:val="21"/>
              </w:rPr>
            </w:pPr>
            <w:r w:rsidRPr="005A6886">
              <w:rPr>
                <w:rFonts w:cstheme="minorHAnsi"/>
                <w:bCs/>
                <w:color w:val="000000" w:themeColor="text1"/>
                <w:sz w:val="20"/>
                <w:szCs w:val="21"/>
              </w:rPr>
              <w:t>1.</w:t>
            </w:r>
          </w:p>
        </w:tc>
        <w:tc>
          <w:tcPr>
            <w:tcW w:w="4252" w:type="dxa"/>
          </w:tcPr>
          <w:p w14:paraId="36F68223" w14:textId="77777777" w:rsidR="00AE78D1" w:rsidRPr="005A6886" w:rsidRDefault="00AE78D1" w:rsidP="00AE78D1">
            <w:pPr>
              <w:rPr>
                <w:rFonts w:cstheme="minorHAnsi"/>
                <w:bCs/>
                <w:color w:val="000000" w:themeColor="text1"/>
                <w:sz w:val="20"/>
                <w:szCs w:val="21"/>
              </w:rPr>
            </w:pPr>
            <w:r w:rsidRPr="005A6886">
              <w:rPr>
                <w:rFonts w:cstheme="minorHAnsi"/>
                <w:bCs/>
                <w:color w:val="000000" w:themeColor="text1"/>
                <w:sz w:val="20"/>
                <w:szCs w:val="21"/>
              </w:rPr>
              <w:t xml:space="preserve">Valsts finansēto vietu skaita palielināšana profesionālās izglītības programmās </w:t>
            </w:r>
          </w:p>
        </w:tc>
        <w:tc>
          <w:tcPr>
            <w:tcW w:w="1134" w:type="dxa"/>
            <w:vAlign w:val="center"/>
          </w:tcPr>
          <w:p w14:paraId="29EB43CB" w14:textId="4DFAE296" w:rsidR="00AE78D1" w:rsidRPr="005A6886" w:rsidRDefault="00AE78D1" w:rsidP="003C3BFD">
            <w:pPr>
              <w:jc w:val="right"/>
              <w:rPr>
                <w:rFonts w:cstheme="minorHAnsi"/>
                <w:sz w:val="20"/>
                <w:szCs w:val="20"/>
              </w:rPr>
            </w:pPr>
            <w:r w:rsidRPr="005A6886">
              <w:rPr>
                <w:rFonts w:cstheme="minorHAnsi"/>
                <w:sz w:val="20"/>
                <w:szCs w:val="20"/>
              </w:rPr>
              <w:t>195 793</w:t>
            </w:r>
          </w:p>
        </w:tc>
        <w:tc>
          <w:tcPr>
            <w:tcW w:w="1134" w:type="dxa"/>
            <w:vAlign w:val="center"/>
          </w:tcPr>
          <w:p w14:paraId="41949CBC" w14:textId="485BCC1C" w:rsidR="00AE78D1" w:rsidRPr="005A6886" w:rsidRDefault="00AE78D1" w:rsidP="003C3BFD">
            <w:pPr>
              <w:jc w:val="right"/>
              <w:rPr>
                <w:rFonts w:cstheme="minorHAnsi"/>
                <w:sz w:val="20"/>
                <w:szCs w:val="20"/>
              </w:rPr>
            </w:pPr>
            <w:r w:rsidRPr="005A6886">
              <w:rPr>
                <w:rFonts w:cstheme="minorHAnsi"/>
                <w:sz w:val="20"/>
                <w:szCs w:val="20"/>
              </w:rPr>
              <w:t>783 173</w:t>
            </w:r>
          </w:p>
        </w:tc>
        <w:tc>
          <w:tcPr>
            <w:tcW w:w="1134" w:type="dxa"/>
            <w:vAlign w:val="center"/>
          </w:tcPr>
          <w:p w14:paraId="7D4DB7E7" w14:textId="3FE70195" w:rsidR="00AE78D1" w:rsidRPr="005A6886" w:rsidRDefault="00AE78D1" w:rsidP="003C3BFD">
            <w:pPr>
              <w:jc w:val="right"/>
              <w:rPr>
                <w:rFonts w:cstheme="minorHAnsi"/>
                <w:sz w:val="20"/>
                <w:szCs w:val="20"/>
              </w:rPr>
            </w:pPr>
            <w:r w:rsidRPr="005A6886">
              <w:rPr>
                <w:rFonts w:cstheme="minorHAnsi"/>
                <w:sz w:val="20"/>
                <w:szCs w:val="20"/>
              </w:rPr>
              <w:t>1 051 166</w:t>
            </w:r>
          </w:p>
        </w:tc>
        <w:tc>
          <w:tcPr>
            <w:tcW w:w="1134" w:type="dxa"/>
            <w:vAlign w:val="center"/>
          </w:tcPr>
          <w:p w14:paraId="2995106E" w14:textId="33FAD84F" w:rsidR="00AE78D1" w:rsidRPr="005A6886" w:rsidRDefault="00AE78D1" w:rsidP="003C3BFD">
            <w:pPr>
              <w:jc w:val="right"/>
              <w:rPr>
                <w:rFonts w:cstheme="minorHAnsi"/>
                <w:sz w:val="20"/>
                <w:szCs w:val="20"/>
              </w:rPr>
            </w:pPr>
            <w:r w:rsidRPr="005A6886">
              <w:rPr>
                <w:rFonts w:cstheme="minorHAnsi"/>
                <w:sz w:val="20"/>
                <w:szCs w:val="20"/>
              </w:rPr>
              <w:t>1</w:t>
            </w:r>
            <w:r w:rsidR="003C1220" w:rsidRPr="005A6886">
              <w:rPr>
                <w:rFonts w:cstheme="minorHAnsi"/>
                <w:sz w:val="20"/>
                <w:szCs w:val="20"/>
              </w:rPr>
              <w:t> </w:t>
            </w:r>
            <w:r w:rsidRPr="005A6886">
              <w:rPr>
                <w:rFonts w:cstheme="minorHAnsi"/>
                <w:sz w:val="20"/>
                <w:szCs w:val="20"/>
              </w:rPr>
              <w:t>437</w:t>
            </w:r>
            <w:r w:rsidR="003C1220" w:rsidRPr="005A6886">
              <w:rPr>
                <w:rFonts w:cstheme="minorHAnsi"/>
                <w:sz w:val="20"/>
                <w:szCs w:val="20"/>
              </w:rPr>
              <w:t xml:space="preserve"> </w:t>
            </w:r>
            <w:r w:rsidRPr="005A6886">
              <w:rPr>
                <w:rFonts w:cstheme="minorHAnsi"/>
                <w:sz w:val="20"/>
                <w:szCs w:val="20"/>
              </w:rPr>
              <w:t>239</w:t>
            </w:r>
          </w:p>
        </w:tc>
      </w:tr>
      <w:tr w:rsidR="008F6E84" w:rsidRPr="005A6886" w14:paraId="26611CAB" w14:textId="77777777" w:rsidTr="003C3BFD">
        <w:trPr>
          <w:jc w:val="center"/>
        </w:trPr>
        <w:tc>
          <w:tcPr>
            <w:tcW w:w="567" w:type="dxa"/>
            <w:vAlign w:val="center"/>
          </w:tcPr>
          <w:p w14:paraId="70AD0DC4" w14:textId="77777777" w:rsidR="008F6E84" w:rsidRPr="005A6886" w:rsidRDefault="008F6E84" w:rsidP="004C1BCB">
            <w:pPr>
              <w:jc w:val="center"/>
              <w:rPr>
                <w:rFonts w:cstheme="minorHAnsi"/>
                <w:bCs/>
                <w:color w:val="000000" w:themeColor="text1"/>
                <w:sz w:val="20"/>
                <w:szCs w:val="21"/>
              </w:rPr>
            </w:pPr>
            <w:r w:rsidRPr="005A6886">
              <w:rPr>
                <w:rFonts w:cstheme="minorHAnsi"/>
                <w:bCs/>
                <w:color w:val="000000" w:themeColor="text1"/>
                <w:sz w:val="20"/>
                <w:szCs w:val="21"/>
              </w:rPr>
              <w:t>2.</w:t>
            </w:r>
          </w:p>
        </w:tc>
        <w:tc>
          <w:tcPr>
            <w:tcW w:w="4252" w:type="dxa"/>
            <w:vAlign w:val="center"/>
          </w:tcPr>
          <w:p w14:paraId="39F60393" w14:textId="77777777" w:rsidR="008F6E84" w:rsidRPr="005A6886" w:rsidRDefault="008F6E84" w:rsidP="004C1BCB">
            <w:pPr>
              <w:rPr>
                <w:rFonts w:cstheme="minorHAnsi"/>
                <w:b/>
                <w:sz w:val="20"/>
                <w:szCs w:val="21"/>
              </w:rPr>
            </w:pPr>
            <w:r w:rsidRPr="005A6886">
              <w:rPr>
                <w:rFonts w:cstheme="minorHAnsi"/>
                <w:bCs/>
                <w:color w:val="000000" w:themeColor="text1"/>
                <w:sz w:val="20"/>
                <w:szCs w:val="21"/>
              </w:rPr>
              <w:t xml:space="preserve">Bāzes finansējuma palielināšana profesionālās izglītības programmu īstenošanai* </w:t>
            </w:r>
          </w:p>
        </w:tc>
        <w:tc>
          <w:tcPr>
            <w:tcW w:w="1134" w:type="dxa"/>
            <w:vAlign w:val="center"/>
          </w:tcPr>
          <w:p w14:paraId="2DF4037B" w14:textId="3BB2889D" w:rsidR="008F6E84" w:rsidRPr="005A6886" w:rsidRDefault="00AE78D1" w:rsidP="003C3BFD">
            <w:pPr>
              <w:jc w:val="right"/>
              <w:rPr>
                <w:rFonts w:cstheme="minorHAnsi"/>
                <w:sz w:val="20"/>
                <w:szCs w:val="20"/>
              </w:rPr>
            </w:pPr>
            <w:r w:rsidRPr="005A6886">
              <w:rPr>
                <w:rFonts w:cstheme="minorHAnsi"/>
                <w:sz w:val="20"/>
                <w:szCs w:val="20"/>
              </w:rPr>
              <w:t>6</w:t>
            </w:r>
            <w:r w:rsidR="003C3BFD" w:rsidRPr="005A6886">
              <w:rPr>
                <w:rFonts w:cstheme="minorHAnsi"/>
                <w:sz w:val="20"/>
                <w:szCs w:val="20"/>
              </w:rPr>
              <w:t> </w:t>
            </w:r>
            <w:r w:rsidRPr="005A6886">
              <w:rPr>
                <w:rFonts w:cstheme="minorHAnsi"/>
                <w:sz w:val="20"/>
                <w:szCs w:val="20"/>
              </w:rPr>
              <w:t>496</w:t>
            </w:r>
            <w:r w:rsidR="003C3BFD" w:rsidRPr="005A6886">
              <w:rPr>
                <w:rFonts w:cstheme="minorHAnsi"/>
                <w:sz w:val="20"/>
                <w:szCs w:val="20"/>
              </w:rPr>
              <w:t xml:space="preserve"> </w:t>
            </w:r>
            <w:r w:rsidRPr="005A6886">
              <w:rPr>
                <w:rFonts w:cstheme="minorHAnsi"/>
                <w:sz w:val="20"/>
                <w:szCs w:val="20"/>
              </w:rPr>
              <w:t>315</w:t>
            </w:r>
          </w:p>
        </w:tc>
        <w:tc>
          <w:tcPr>
            <w:tcW w:w="1134" w:type="dxa"/>
            <w:vAlign w:val="center"/>
          </w:tcPr>
          <w:p w14:paraId="053660CD" w14:textId="636E6C08" w:rsidR="008F6E84" w:rsidRPr="005A6886" w:rsidRDefault="00AE78D1" w:rsidP="003C3BFD">
            <w:pPr>
              <w:jc w:val="right"/>
              <w:rPr>
                <w:rFonts w:cstheme="minorHAnsi"/>
                <w:sz w:val="20"/>
                <w:szCs w:val="20"/>
              </w:rPr>
            </w:pPr>
            <w:r w:rsidRPr="005A6886">
              <w:rPr>
                <w:rFonts w:cstheme="minorHAnsi"/>
                <w:sz w:val="20"/>
                <w:szCs w:val="20"/>
              </w:rPr>
              <w:t>6</w:t>
            </w:r>
            <w:r w:rsidR="003C3BFD" w:rsidRPr="005A6886">
              <w:rPr>
                <w:rFonts w:cstheme="minorHAnsi"/>
                <w:sz w:val="20"/>
                <w:szCs w:val="20"/>
              </w:rPr>
              <w:t> </w:t>
            </w:r>
            <w:r w:rsidRPr="005A6886">
              <w:rPr>
                <w:rFonts w:cstheme="minorHAnsi"/>
                <w:sz w:val="20"/>
                <w:szCs w:val="20"/>
              </w:rPr>
              <w:t>496</w:t>
            </w:r>
            <w:r w:rsidR="003C3BFD" w:rsidRPr="005A6886">
              <w:rPr>
                <w:rFonts w:cstheme="minorHAnsi"/>
                <w:sz w:val="20"/>
                <w:szCs w:val="20"/>
              </w:rPr>
              <w:t xml:space="preserve"> </w:t>
            </w:r>
            <w:r w:rsidRPr="005A6886">
              <w:rPr>
                <w:rFonts w:cstheme="minorHAnsi"/>
                <w:sz w:val="20"/>
                <w:szCs w:val="20"/>
              </w:rPr>
              <w:t>315</w:t>
            </w:r>
          </w:p>
        </w:tc>
        <w:tc>
          <w:tcPr>
            <w:tcW w:w="1134" w:type="dxa"/>
            <w:vAlign w:val="center"/>
          </w:tcPr>
          <w:p w14:paraId="122C4728" w14:textId="306679F7" w:rsidR="008F6E84" w:rsidRPr="005A6886" w:rsidRDefault="00AE78D1" w:rsidP="003C3BFD">
            <w:pPr>
              <w:jc w:val="right"/>
              <w:rPr>
                <w:rFonts w:cstheme="minorHAnsi"/>
                <w:sz w:val="20"/>
                <w:szCs w:val="20"/>
              </w:rPr>
            </w:pPr>
            <w:r w:rsidRPr="005A6886">
              <w:rPr>
                <w:rFonts w:cstheme="minorHAnsi"/>
                <w:sz w:val="20"/>
                <w:szCs w:val="20"/>
              </w:rPr>
              <w:t>6</w:t>
            </w:r>
            <w:r w:rsidR="003C3BFD" w:rsidRPr="005A6886">
              <w:rPr>
                <w:rFonts w:cstheme="minorHAnsi"/>
                <w:sz w:val="20"/>
                <w:szCs w:val="20"/>
              </w:rPr>
              <w:t xml:space="preserve"> </w:t>
            </w:r>
            <w:r w:rsidRPr="005A6886">
              <w:rPr>
                <w:rFonts w:cstheme="minorHAnsi"/>
                <w:sz w:val="20"/>
                <w:szCs w:val="20"/>
              </w:rPr>
              <w:t>496</w:t>
            </w:r>
            <w:r w:rsidR="003C3BFD" w:rsidRPr="005A6886">
              <w:rPr>
                <w:rFonts w:cstheme="minorHAnsi"/>
                <w:sz w:val="20"/>
                <w:szCs w:val="20"/>
              </w:rPr>
              <w:t xml:space="preserve"> </w:t>
            </w:r>
            <w:r w:rsidRPr="005A6886">
              <w:rPr>
                <w:rFonts w:cstheme="minorHAnsi"/>
                <w:sz w:val="20"/>
                <w:szCs w:val="20"/>
              </w:rPr>
              <w:t>315</w:t>
            </w:r>
          </w:p>
        </w:tc>
        <w:tc>
          <w:tcPr>
            <w:tcW w:w="1134" w:type="dxa"/>
            <w:vAlign w:val="center"/>
          </w:tcPr>
          <w:p w14:paraId="47B2833A" w14:textId="7248BD7B" w:rsidR="008F6E84" w:rsidRPr="005A6886" w:rsidRDefault="00AE78D1" w:rsidP="003C3BFD">
            <w:pPr>
              <w:jc w:val="right"/>
              <w:rPr>
                <w:rFonts w:cstheme="minorHAnsi"/>
                <w:sz w:val="20"/>
                <w:szCs w:val="20"/>
              </w:rPr>
            </w:pPr>
            <w:r w:rsidRPr="005A6886">
              <w:rPr>
                <w:rFonts w:cstheme="minorHAnsi"/>
                <w:sz w:val="20"/>
                <w:szCs w:val="20"/>
              </w:rPr>
              <w:t>6</w:t>
            </w:r>
            <w:r w:rsidR="003C3BFD" w:rsidRPr="005A6886">
              <w:rPr>
                <w:rFonts w:cstheme="minorHAnsi"/>
                <w:sz w:val="20"/>
                <w:szCs w:val="20"/>
              </w:rPr>
              <w:t> </w:t>
            </w:r>
            <w:r w:rsidRPr="005A6886">
              <w:rPr>
                <w:rFonts w:cstheme="minorHAnsi"/>
                <w:sz w:val="20"/>
                <w:szCs w:val="20"/>
              </w:rPr>
              <w:t>496</w:t>
            </w:r>
            <w:r w:rsidR="003C3BFD" w:rsidRPr="005A6886">
              <w:rPr>
                <w:rFonts w:cstheme="minorHAnsi"/>
                <w:sz w:val="20"/>
                <w:szCs w:val="20"/>
              </w:rPr>
              <w:t xml:space="preserve"> </w:t>
            </w:r>
            <w:r w:rsidRPr="005A6886">
              <w:rPr>
                <w:rFonts w:cstheme="minorHAnsi"/>
                <w:sz w:val="20"/>
                <w:szCs w:val="20"/>
              </w:rPr>
              <w:t>315</w:t>
            </w:r>
          </w:p>
        </w:tc>
      </w:tr>
      <w:tr w:rsidR="003C3BFD" w:rsidRPr="005A6886" w14:paraId="1BC33F0E" w14:textId="77777777" w:rsidTr="003C3BFD">
        <w:trPr>
          <w:jc w:val="center"/>
        </w:trPr>
        <w:tc>
          <w:tcPr>
            <w:tcW w:w="567" w:type="dxa"/>
            <w:vAlign w:val="center"/>
          </w:tcPr>
          <w:p w14:paraId="7695825E" w14:textId="77777777" w:rsidR="003C3BFD" w:rsidRPr="005A6886" w:rsidRDefault="003C3BFD" w:rsidP="003C3BFD">
            <w:pPr>
              <w:jc w:val="center"/>
              <w:rPr>
                <w:rFonts w:cstheme="minorHAnsi"/>
                <w:bCs/>
                <w:color w:val="000000" w:themeColor="text1"/>
                <w:sz w:val="20"/>
                <w:szCs w:val="21"/>
              </w:rPr>
            </w:pPr>
            <w:r w:rsidRPr="005A6886">
              <w:rPr>
                <w:rFonts w:cstheme="minorHAnsi"/>
                <w:bCs/>
                <w:color w:val="000000" w:themeColor="text1"/>
                <w:sz w:val="20"/>
                <w:szCs w:val="21"/>
              </w:rPr>
              <w:t>3.</w:t>
            </w:r>
          </w:p>
        </w:tc>
        <w:tc>
          <w:tcPr>
            <w:tcW w:w="4252" w:type="dxa"/>
          </w:tcPr>
          <w:p w14:paraId="60B73D78" w14:textId="77777777" w:rsidR="003C3BFD" w:rsidRPr="005A6886" w:rsidRDefault="003C3BFD" w:rsidP="003C3BFD">
            <w:pPr>
              <w:rPr>
                <w:rFonts w:cstheme="minorHAnsi"/>
                <w:b/>
                <w:sz w:val="20"/>
                <w:szCs w:val="21"/>
              </w:rPr>
            </w:pPr>
            <w:bookmarkStart w:id="0" w:name="_Hlk130547410"/>
            <w:r w:rsidRPr="005A6886">
              <w:rPr>
                <w:rFonts w:cstheme="minorHAnsi"/>
                <w:bCs/>
                <w:color w:val="000000" w:themeColor="text1"/>
                <w:sz w:val="20"/>
                <w:szCs w:val="21"/>
              </w:rPr>
              <w:t>Mācību prakšu organizēšanas izmaksu un darba vidē balstītu mācību īstenošanas izmaksu finansēšana profesionālajā izglītībā</w:t>
            </w:r>
            <w:bookmarkEnd w:id="0"/>
            <w:r w:rsidRPr="005A6886">
              <w:rPr>
                <w:rFonts w:cstheme="minorHAnsi"/>
                <w:bCs/>
                <w:color w:val="000000" w:themeColor="text1"/>
                <w:sz w:val="20"/>
                <w:szCs w:val="21"/>
              </w:rPr>
              <w:t xml:space="preserve">* </w:t>
            </w:r>
          </w:p>
        </w:tc>
        <w:tc>
          <w:tcPr>
            <w:tcW w:w="1134" w:type="dxa"/>
            <w:vAlign w:val="center"/>
          </w:tcPr>
          <w:p w14:paraId="70BDFF08" w14:textId="13F1B682" w:rsidR="003C3BFD" w:rsidRPr="005A6886" w:rsidRDefault="003C3BFD" w:rsidP="003C3BFD">
            <w:pPr>
              <w:jc w:val="right"/>
              <w:rPr>
                <w:rFonts w:cstheme="minorHAnsi"/>
                <w:sz w:val="20"/>
                <w:szCs w:val="20"/>
              </w:rPr>
            </w:pPr>
            <w:r w:rsidRPr="005A6886">
              <w:rPr>
                <w:rFonts w:cstheme="minorHAnsi"/>
                <w:sz w:val="20"/>
                <w:szCs w:val="20"/>
              </w:rPr>
              <w:t>7 368 027</w:t>
            </w:r>
          </w:p>
        </w:tc>
        <w:tc>
          <w:tcPr>
            <w:tcW w:w="1134" w:type="dxa"/>
            <w:vAlign w:val="center"/>
          </w:tcPr>
          <w:p w14:paraId="43EDB8F6" w14:textId="785C5E42" w:rsidR="003C3BFD" w:rsidRPr="005A6886" w:rsidRDefault="003C3BFD" w:rsidP="003C3BFD">
            <w:pPr>
              <w:jc w:val="right"/>
              <w:rPr>
                <w:rFonts w:cstheme="minorHAnsi"/>
                <w:b/>
                <w:sz w:val="20"/>
                <w:szCs w:val="20"/>
              </w:rPr>
            </w:pPr>
            <w:r w:rsidRPr="005A6886">
              <w:rPr>
                <w:rFonts w:cstheme="minorHAnsi"/>
                <w:sz w:val="20"/>
                <w:szCs w:val="20"/>
              </w:rPr>
              <w:t>8 068 592</w:t>
            </w:r>
          </w:p>
        </w:tc>
        <w:tc>
          <w:tcPr>
            <w:tcW w:w="1134" w:type="dxa"/>
            <w:vAlign w:val="center"/>
          </w:tcPr>
          <w:p w14:paraId="11DD944E" w14:textId="7AEC46C4" w:rsidR="003C3BFD" w:rsidRPr="005A6886" w:rsidRDefault="003C3BFD" w:rsidP="003C3BFD">
            <w:pPr>
              <w:jc w:val="right"/>
              <w:rPr>
                <w:rFonts w:cstheme="minorHAnsi"/>
                <w:bCs/>
                <w:color w:val="000000" w:themeColor="text1"/>
                <w:sz w:val="20"/>
                <w:szCs w:val="20"/>
              </w:rPr>
            </w:pPr>
            <w:r w:rsidRPr="005A6886">
              <w:rPr>
                <w:rFonts w:cstheme="minorHAnsi"/>
                <w:sz w:val="20"/>
                <w:szCs w:val="20"/>
              </w:rPr>
              <w:t>8 753 664</w:t>
            </w:r>
          </w:p>
        </w:tc>
        <w:tc>
          <w:tcPr>
            <w:tcW w:w="1134" w:type="dxa"/>
            <w:vAlign w:val="center"/>
          </w:tcPr>
          <w:p w14:paraId="7C8F2D21" w14:textId="3AF35804" w:rsidR="003C3BFD" w:rsidRPr="005A6886" w:rsidRDefault="003C3BFD" w:rsidP="003C3BFD">
            <w:pPr>
              <w:jc w:val="right"/>
              <w:rPr>
                <w:rFonts w:eastAsia="Times New Roman" w:cstheme="minorHAnsi"/>
                <w:sz w:val="20"/>
                <w:szCs w:val="20"/>
              </w:rPr>
            </w:pPr>
            <w:r w:rsidRPr="005A6886">
              <w:rPr>
                <w:rFonts w:cstheme="minorHAnsi"/>
                <w:sz w:val="20"/>
                <w:szCs w:val="20"/>
              </w:rPr>
              <w:t>8 753 664</w:t>
            </w:r>
          </w:p>
        </w:tc>
      </w:tr>
    </w:tbl>
    <w:p w14:paraId="67F60709" w14:textId="402BA574" w:rsidR="005A6886" w:rsidRPr="007C369D" w:rsidRDefault="008F6E84" w:rsidP="007C369D">
      <w:pPr>
        <w:spacing w:before="120" w:after="120" w:line="240" w:lineRule="auto"/>
        <w:jc w:val="both"/>
        <w:rPr>
          <w:rFonts w:cstheme="minorHAnsi"/>
          <w:color w:val="000000" w:themeColor="text1"/>
          <w:sz w:val="20"/>
          <w:szCs w:val="18"/>
        </w:rPr>
      </w:pPr>
      <w:r w:rsidRPr="007C369D">
        <w:rPr>
          <w:rFonts w:cstheme="minorHAnsi"/>
          <w:color w:val="000000" w:themeColor="text1"/>
          <w:sz w:val="20"/>
          <w:szCs w:val="18"/>
        </w:rPr>
        <w:t>*Priekšlikums par bāzes finansējuma pakāpenisku palielināšanu</w:t>
      </w:r>
      <w:r w:rsidRPr="007C369D">
        <w:rPr>
          <w:rFonts w:cstheme="minorHAnsi"/>
          <w:color w:val="000000" w:themeColor="text1"/>
          <w:sz w:val="20"/>
          <w:szCs w:val="20"/>
        </w:rPr>
        <w:t xml:space="preserve">, </w:t>
      </w:r>
      <w:r w:rsidRPr="007C369D">
        <w:rPr>
          <w:rFonts w:cstheme="minorHAnsi"/>
          <w:color w:val="000000" w:themeColor="text1"/>
          <w:sz w:val="20"/>
          <w:szCs w:val="18"/>
        </w:rPr>
        <w:t>prakšu organizēšanas izmaksu un darba vidē balstītu mācību īstenošanas izmaksu finansēšanu profesionālajā izglītībā attiecināms uz IZM, Kultūras ministrijas, Zemkopības ministrijas un Veselības ministrijas padotības izglītības iestādēm, kas īsteno profesionālās izglītības programmas, attiecīgi izmaksu aktualizācijā izmantoti ministriju sniegtie aprēķini, kā arī saņemts konceptuāls atbalsts sniegto priekšlikumu īstenošanai.</w:t>
      </w:r>
    </w:p>
    <w:p w14:paraId="2678E00D" w14:textId="78655280" w:rsidR="00F934EC" w:rsidRPr="005A6886" w:rsidRDefault="00F934EC" w:rsidP="007C369D">
      <w:pPr>
        <w:shd w:val="clear" w:color="auto" w:fill="FFFFFF"/>
        <w:spacing w:after="120" w:line="240" w:lineRule="auto"/>
        <w:jc w:val="both"/>
        <w:textAlignment w:val="baseline"/>
        <w:rPr>
          <w:rFonts w:eastAsia="Times New Roman" w:cstheme="minorHAnsi"/>
          <w:b/>
          <w:bCs/>
          <w:color w:val="000000"/>
          <w:sz w:val="24"/>
          <w:szCs w:val="24"/>
          <w:bdr w:val="none" w:sz="0" w:space="0" w:color="auto" w:frame="1"/>
        </w:rPr>
      </w:pPr>
      <w:r w:rsidRPr="005A6886">
        <w:rPr>
          <w:rFonts w:eastAsia="Times New Roman" w:cstheme="minorHAnsi"/>
          <w:b/>
          <w:bCs/>
          <w:color w:val="000000"/>
          <w:sz w:val="24"/>
          <w:szCs w:val="24"/>
          <w:bdr w:val="none" w:sz="0" w:space="0" w:color="auto" w:frame="1"/>
        </w:rPr>
        <w:t>Grozījumi MK noteikumos Nr. 655</w:t>
      </w:r>
    </w:p>
    <w:p w14:paraId="06382646" w14:textId="77777777" w:rsidR="00F934EC" w:rsidRPr="007C369D" w:rsidRDefault="00F934EC" w:rsidP="00F934EC">
      <w:pPr>
        <w:shd w:val="clear" w:color="auto" w:fill="FFFFFF"/>
        <w:spacing w:after="0" w:line="240" w:lineRule="auto"/>
        <w:jc w:val="both"/>
        <w:textAlignment w:val="baseline"/>
        <w:rPr>
          <w:rFonts w:eastAsia="Times New Roman" w:cstheme="minorHAnsi"/>
          <w:color w:val="000000"/>
          <w:bdr w:val="none" w:sz="0" w:space="0" w:color="auto" w:frame="1"/>
        </w:rPr>
      </w:pPr>
      <w:r w:rsidRPr="007C369D">
        <w:rPr>
          <w:rFonts w:eastAsia="Times New Roman" w:cstheme="minorHAnsi"/>
          <w:color w:val="000000"/>
          <w:bdr w:val="none" w:sz="0" w:space="0" w:color="auto" w:frame="1"/>
        </w:rPr>
        <w:t xml:space="preserve">Izstrādāts tiesību akta projekts "Grozījumi Ministru kabineta 2007. gada 2. oktobra noteikumos Nr. 655 "Noteikumi par profesionālās izglītības programmu īstenošanas izmaksu minimumu uz vienu izglītojamo"" (23-TA-622; 30.05.2023. nodots saskaņošanai iesaistītajām institūcijām), kas cita starpā paredz </w:t>
      </w:r>
      <w:r w:rsidRPr="007C369D">
        <w:rPr>
          <w:rFonts w:eastAsia="Times New Roman" w:cstheme="minorHAnsi"/>
          <w:color w:val="000000"/>
          <w:u w:val="single"/>
          <w:bdr w:val="none" w:sz="0" w:space="0" w:color="auto" w:frame="1"/>
        </w:rPr>
        <w:t>palielināt bāzes finansējumu</w:t>
      </w:r>
      <w:r w:rsidRPr="007C369D">
        <w:rPr>
          <w:rFonts w:eastAsia="Times New Roman" w:cstheme="minorHAnsi"/>
          <w:color w:val="000000"/>
          <w:bdr w:val="none" w:sz="0" w:space="0" w:color="auto" w:frame="1"/>
        </w:rPr>
        <w:t>:</w:t>
      </w:r>
    </w:p>
    <w:p w14:paraId="3320ECD9" w14:textId="77777777" w:rsidR="00F934EC" w:rsidRPr="007C369D" w:rsidRDefault="00F934EC" w:rsidP="00F934EC">
      <w:pPr>
        <w:pStyle w:val="Sarakstarindkopa"/>
        <w:numPr>
          <w:ilvl w:val="0"/>
          <w:numId w:val="2"/>
        </w:numPr>
        <w:shd w:val="clear" w:color="auto" w:fill="FFFFFF"/>
        <w:spacing w:after="0" w:line="240" w:lineRule="auto"/>
        <w:ind w:left="567" w:hanging="283"/>
        <w:jc w:val="both"/>
        <w:textAlignment w:val="baseline"/>
        <w:rPr>
          <w:rFonts w:eastAsia="Times New Roman" w:cstheme="minorHAnsi"/>
          <w:color w:val="000000"/>
          <w:bdr w:val="none" w:sz="0" w:space="0" w:color="auto" w:frame="1"/>
        </w:rPr>
      </w:pPr>
      <w:r w:rsidRPr="007C369D">
        <w:rPr>
          <w:rFonts w:eastAsia="Times New Roman" w:cstheme="minorHAnsi"/>
          <w:color w:val="000000"/>
          <w:bdr w:val="none" w:sz="0" w:space="0" w:color="auto" w:frame="1"/>
        </w:rPr>
        <w:t>Normējamās izmaksas uz vienu izglītojamo gadā (izglītības programmu grupai “Vadība un administrēšana”) palielināt no 425,15 EUR līdz 624,86 EUR.</w:t>
      </w:r>
    </w:p>
    <w:p w14:paraId="112B1B20" w14:textId="77777777" w:rsidR="00F934EC" w:rsidRDefault="00F934EC" w:rsidP="00F934EC">
      <w:pPr>
        <w:pStyle w:val="Sarakstarindkopa"/>
        <w:numPr>
          <w:ilvl w:val="0"/>
          <w:numId w:val="2"/>
        </w:numPr>
        <w:shd w:val="clear" w:color="auto" w:fill="FFFFFF"/>
        <w:spacing w:after="120" w:line="240" w:lineRule="auto"/>
        <w:ind w:left="568" w:hanging="284"/>
        <w:contextualSpacing w:val="0"/>
        <w:jc w:val="both"/>
        <w:textAlignment w:val="baseline"/>
        <w:rPr>
          <w:rFonts w:eastAsia="Times New Roman" w:cstheme="minorHAnsi"/>
          <w:color w:val="000000"/>
          <w:bdr w:val="none" w:sz="0" w:space="0" w:color="auto" w:frame="1"/>
        </w:rPr>
      </w:pPr>
      <w:r w:rsidRPr="007C369D">
        <w:rPr>
          <w:rFonts w:eastAsia="Times New Roman" w:cstheme="minorHAnsi"/>
          <w:color w:val="000000"/>
          <w:bdr w:val="none" w:sz="0" w:space="0" w:color="auto" w:frame="1"/>
        </w:rPr>
        <w:t>Dienesta viesnīcas izmaksas palielināt no 282,23 EUR līdz 351,69 EUR.</w:t>
      </w:r>
    </w:p>
    <w:p w14:paraId="4BBCC0C6" w14:textId="537C204E" w:rsidR="007C369D" w:rsidRPr="007C369D" w:rsidRDefault="007C369D" w:rsidP="007C369D">
      <w:pPr>
        <w:shd w:val="clear" w:color="auto" w:fill="FFFFFF"/>
        <w:spacing w:after="120" w:line="240" w:lineRule="auto"/>
        <w:jc w:val="both"/>
        <w:textAlignment w:val="baseline"/>
        <w:rPr>
          <w:rFonts w:eastAsia="Times New Roman" w:cstheme="minorHAnsi"/>
          <w:color w:val="000000"/>
          <w:bdr w:val="none" w:sz="0" w:space="0" w:color="auto" w:frame="1"/>
        </w:rPr>
      </w:pPr>
      <w:r>
        <w:rPr>
          <w:rFonts w:eastAsia="Times New Roman" w:cstheme="minorHAnsi"/>
          <w:color w:val="000000"/>
          <w:bdr w:val="none" w:sz="0" w:space="0" w:color="auto" w:frame="1"/>
        </w:rPr>
        <w:t>Ņemot vērā MK lēmumu (</w:t>
      </w:r>
      <w:r w:rsidRPr="007C369D">
        <w:rPr>
          <w:rFonts w:cstheme="minorHAnsi"/>
        </w:rPr>
        <w:t>MK 2023. gada 26. septembra sēdes protokols Nr.47., 43. .§)</w:t>
      </w:r>
      <w:r w:rsidR="00A41E11">
        <w:rPr>
          <w:rFonts w:cstheme="minorHAnsi"/>
        </w:rPr>
        <w:t xml:space="preserve"> un </w:t>
      </w:r>
      <w:r w:rsidR="00A41E11">
        <w:rPr>
          <w:rFonts w:eastAsia="Times New Roman" w:cstheme="minorHAnsi"/>
          <w:color w:val="000000"/>
          <w:bdr w:val="none" w:sz="0" w:space="0" w:color="auto" w:frame="1"/>
        </w:rPr>
        <w:t>Finanšu ministrijas atzinumu par TA projektu</w:t>
      </w:r>
      <w:r>
        <w:rPr>
          <w:rFonts w:cstheme="minorHAnsi"/>
        </w:rPr>
        <w:t xml:space="preserve"> grozījumi MK noteikumos Nr. 655 tiks virzīti, izkļaujot grozījumus, kas saistīti ar bāzes finansējuma palielināšanu.</w:t>
      </w:r>
    </w:p>
    <w:p w14:paraId="6CCF98BB" w14:textId="3470D25E" w:rsidR="00F934EC" w:rsidRPr="007C369D" w:rsidRDefault="007C369D" w:rsidP="003C3BFD">
      <w:pPr>
        <w:spacing w:before="120" w:after="120" w:line="240" w:lineRule="auto"/>
        <w:jc w:val="both"/>
        <w:rPr>
          <w:rFonts w:eastAsia="Times New Roman" w:cstheme="minorHAnsi"/>
          <w:b/>
          <w:bCs/>
          <w:color w:val="000000"/>
          <w:sz w:val="24"/>
          <w:szCs w:val="24"/>
          <w:bdr w:val="none" w:sz="0" w:space="0" w:color="auto" w:frame="1"/>
        </w:rPr>
      </w:pPr>
      <w:r w:rsidRPr="007C369D">
        <w:rPr>
          <w:rFonts w:eastAsia="Times New Roman" w:cstheme="minorHAnsi"/>
          <w:b/>
          <w:bCs/>
          <w:color w:val="000000"/>
          <w:sz w:val="24"/>
          <w:szCs w:val="24"/>
          <w:bdr w:val="none" w:sz="0" w:space="0" w:color="auto" w:frame="1"/>
        </w:rPr>
        <w:t>Turpmākie soļi:</w:t>
      </w:r>
    </w:p>
    <w:p w14:paraId="1A1FC48F" w14:textId="1C27B413" w:rsidR="007C369D" w:rsidRDefault="007C369D" w:rsidP="003C3BFD">
      <w:pPr>
        <w:spacing w:before="120" w:after="120" w:line="240" w:lineRule="auto"/>
        <w:jc w:val="both"/>
        <w:rPr>
          <w:rFonts w:cstheme="minorHAnsi"/>
          <w:color w:val="000000" w:themeColor="text1"/>
          <w:szCs w:val="20"/>
        </w:rPr>
      </w:pPr>
      <w:r>
        <w:rPr>
          <w:rFonts w:cstheme="minorHAnsi"/>
          <w:color w:val="000000" w:themeColor="text1"/>
          <w:szCs w:val="20"/>
        </w:rPr>
        <w:t>1) Priekšlikumu pilnveide, prioritāro pasākumu pieteikumu sagatavošana 2025.</w:t>
      </w:r>
      <w:r w:rsidR="00894184">
        <w:rPr>
          <w:rFonts w:cstheme="minorHAnsi"/>
          <w:color w:val="000000" w:themeColor="text1"/>
          <w:szCs w:val="20"/>
        </w:rPr>
        <w:t> </w:t>
      </w:r>
      <w:r>
        <w:rPr>
          <w:rFonts w:cstheme="minorHAnsi"/>
          <w:color w:val="000000" w:themeColor="text1"/>
          <w:szCs w:val="20"/>
        </w:rPr>
        <w:t>gadam un turpmāk</w:t>
      </w:r>
      <w:r w:rsidR="00C81006">
        <w:rPr>
          <w:rFonts w:cstheme="minorHAnsi"/>
          <w:color w:val="000000" w:themeColor="text1"/>
          <w:szCs w:val="20"/>
        </w:rPr>
        <w:t xml:space="preserve"> (30.06.2024.)</w:t>
      </w:r>
    </w:p>
    <w:p w14:paraId="34004742" w14:textId="1EC519AF" w:rsidR="007C369D" w:rsidRDefault="007C369D" w:rsidP="003C3BFD">
      <w:pPr>
        <w:spacing w:before="120" w:after="120" w:line="240" w:lineRule="auto"/>
        <w:jc w:val="both"/>
        <w:rPr>
          <w:rFonts w:cstheme="minorHAnsi"/>
          <w:color w:val="000000" w:themeColor="text1"/>
          <w:szCs w:val="20"/>
        </w:rPr>
      </w:pPr>
      <w:r>
        <w:rPr>
          <w:rFonts w:cstheme="minorHAnsi"/>
          <w:color w:val="000000" w:themeColor="text1"/>
          <w:szCs w:val="20"/>
        </w:rPr>
        <w:t>2) Grozījumu MK noteikumos Nr. 655</w:t>
      </w:r>
      <w:r w:rsidR="00C81006">
        <w:rPr>
          <w:rFonts w:cstheme="minorHAnsi"/>
          <w:color w:val="000000" w:themeColor="text1"/>
          <w:szCs w:val="20"/>
        </w:rPr>
        <w:t xml:space="preserve"> iesniegšana apstiprināšanai M</w:t>
      </w:r>
      <w:r w:rsidR="00894184">
        <w:rPr>
          <w:rFonts w:cstheme="minorHAnsi"/>
          <w:color w:val="000000" w:themeColor="text1"/>
          <w:szCs w:val="20"/>
        </w:rPr>
        <w:t>inistru kabinetā</w:t>
      </w:r>
      <w:r w:rsidR="00C81006">
        <w:rPr>
          <w:rFonts w:cstheme="minorHAnsi"/>
          <w:color w:val="000000" w:themeColor="text1"/>
          <w:szCs w:val="20"/>
        </w:rPr>
        <w:t xml:space="preserve"> (31.12.2023.)</w:t>
      </w:r>
    </w:p>
    <w:p w14:paraId="34B8A802" w14:textId="53B8D71D" w:rsidR="00894184" w:rsidRDefault="00894184" w:rsidP="003C3BFD">
      <w:pPr>
        <w:spacing w:before="120" w:after="120" w:line="240" w:lineRule="auto"/>
        <w:jc w:val="both"/>
        <w:rPr>
          <w:rFonts w:cstheme="minorHAnsi"/>
          <w:color w:val="000000" w:themeColor="text1"/>
          <w:szCs w:val="20"/>
        </w:rPr>
      </w:pPr>
      <w:r w:rsidRPr="00894184">
        <w:rPr>
          <w:rFonts w:cstheme="minorHAnsi"/>
          <w:color w:val="000000" w:themeColor="text1"/>
          <w:szCs w:val="20"/>
        </w:rPr>
        <w:t>5) Papildināt MK noteikumus Nr. 655 ar jaunu izmaksu pozīciju par profesionālās kvalifikācijas eksāmenu eksaminācijas komisijas ekspertu darba apmaksu</w:t>
      </w:r>
      <w:r>
        <w:rPr>
          <w:rFonts w:cstheme="minorHAnsi"/>
          <w:color w:val="000000" w:themeColor="text1"/>
          <w:szCs w:val="20"/>
        </w:rPr>
        <w:t xml:space="preserve"> (31.12.2023.)</w:t>
      </w:r>
    </w:p>
    <w:p w14:paraId="4F5795C4" w14:textId="724BDF7C" w:rsidR="007C369D" w:rsidRPr="00894184" w:rsidRDefault="007C369D" w:rsidP="003C3BFD">
      <w:pPr>
        <w:spacing w:before="120" w:after="120" w:line="240" w:lineRule="auto"/>
        <w:jc w:val="both"/>
        <w:rPr>
          <w:rFonts w:cstheme="minorHAnsi"/>
          <w:color w:val="000000" w:themeColor="text1"/>
          <w:szCs w:val="20"/>
        </w:rPr>
      </w:pPr>
      <w:r>
        <w:rPr>
          <w:rFonts w:cstheme="minorHAnsi"/>
          <w:color w:val="000000" w:themeColor="text1"/>
          <w:szCs w:val="20"/>
        </w:rPr>
        <w:t>3) Izmaksu koeficientu pārskatīšana</w:t>
      </w:r>
      <w:r w:rsidR="00C81006">
        <w:rPr>
          <w:rFonts w:cstheme="minorHAnsi"/>
          <w:color w:val="000000" w:themeColor="text1"/>
          <w:szCs w:val="20"/>
        </w:rPr>
        <w:t xml:space="preserve"> - darba grupas izveide </w:t>
      </w:r>
      <w:r w:rsidR="00C81006" w:rsidRPr="00C81006">
        <w:rPr>
          <w:rFonts w:cstheme="minorHAnsi"/>
          <w:color w:val="000000" w:themeColor="text1"/>
          <w:szCs w:val="20"/>
        </w:rPr>
        <w:t>profesionālās izglītības programmu</w:t>
      </w:r>
      <w:r w:rsidR="00C81006">
        <w:rPr>
          <w:rFonts w:cstheme="minorHAnsi"/>
          <w:color w:val="000000" w:themeColor="text1"/>
          <w:szCs w:val="20"/>
        </w:rPr>
        <w:t xml:space="preserve"> grupu izmaksu</w:t>
      </w:r>
      <w:r w:rsidR="00C81006" w:rsidRPr="00C81006">
        <w:rPr>
          <w:rFonts w:cstheme="minorHAnsi"/>
          <w:color w:val="000000" w:themeColor="text1"/>
          <w:szCs w:val="20"/>
        </w:rPr>
        <w:t xml:space="preserve"> minimālo koeficientu pārskatī</w:t>
      </w:r>
      <w:r w:rsidR="00C81006">
        <w:rPr>
          <w:rFonts w:cstheme="minorHAnsi"/>
          <w:color w:val="000000" w:themeColor="text1"/>
          <w:szCs w:val="20"/>
        </w:rPr>
        <w:t>šanai un aktualizācijai</w:t>
      </w:r>
      <w:r w:rsidR="00C81006" w:rsidRPr="00C81006">
        <w:rPr>
          <w:rFonts w:cstheme="minorHAnsi"/>
          <w:color w:val="000000" w:themeColor="text1"/>
          <w:szCs w:val="20"/>
        </w:rPr>
        <w:t xml:space="preserve">, ņemot vērā izglītības </w:t>
      </w:r>
      <w:r w:rsidR="00C81006" w:rsidRPr="00894184">
        <w:rPr>
          <w:rFonts w:cstheme="minorHAnsi"/>
          <w:color w:val="000000" w:themeColor="text1"/>
          <w:szCs w:val="20"/>
        </w:rPr>
        <w:t>programmu specifiku un to īstenošanai nepieciešamos resursus</w:t>
      </w:r>
      <w:r w:rsidR="001F4AB0" w:rsidRPr="00894184">
        <w:rPr>
          <w:rFonts w:cstheme="minorHAnsi"/>
          <w:color w:val="000000" w:themeColor="text1"/>
          <w:szCs w:val="20"/>
        </w:rPr>
        <w:t xml:space="preserve"> (</w:t>
      </w:r>
      <w:r w:rsidR="00894184">
        <w:rPr>
          <w:rFonts w:cstheme="minorHAnsi"/>
          <w:color w:val="000000" w:themeColor="text1"/>
          <w:szCs w:val="20"/>
        </w:rPr>
        <w:t xml:space="preserve">priekšlikumu izstrāde līdz </w:t>
      </w:r>
      <w:r w:rsidR="001F4AB0" w:rsidRPr="00894184">
        <w:rPr>
          <w:rFonts w:cstheme="minorHAnsi"/>
          <w:color w:val="000000" w:themeColor="text1"/>
          <w:szCs w:val="20"/>
        </w:rPr>
        <w:t>31.12.2024.)</w:t>
      </w:r>
    </w:p>
    <w:p w14:paraId="7B40A6D3" w14:textId="7BFAF486" w:rsidR="007C369D" w:rsidRPr="00894184" w:rsidRDefault="007C369D" w:rsidP="003C3BFD">
      <w:pPr>
        <w:spacing w:before="120" w:after="120" w:line="240" w:lineRule="auto"/>
        <w:jc w:val="both"/>
        <w:rPr>
          <w:rFonts w:cstheme="minorHAnsi"/>
          <w:color w:val="000000" w:themeColor="text1"/>
          <w:szCs w:val="20"/>
        </w:rPr>
      </w:pPr>
      <w:r w:rsidRPr="00894184">
        <w:rPr>
          <w:rFonts w:cstheme="minorHAnsi"/>
          <w:color w:val="000000" w:themeColor="text1"/>
          <w:szCs w:val="20"/>
        </w:rPr>
        <w:t xml:space="preserve">4) </w:t>
      </w:r>
      <w:r w:rsidR="00C81006" w:rsidRPr="00894184">
        <w:rPr>
          <w:rFonts w:cstheme="minorHAnsi"/>
          <w:color w:val="000000" w:themeColor="text1"/>
          <w:szCs w:val="20"/>
        </w:rPr>
        <w:t>Izstrādāt priekšnosacījumus sniegumā balstītai profesionālās izglītības iestāžu finansēšanai</w:t>
      </w:r>
      <w:r w:rsidR="001F4AB0" w:rsidRPr="00894184">
        <w:rPr>
          <w:rFonts w:cstheme="minorHAnsi"/>
          <w:color w:val="000000" w:themeColor="text1"/>
          <w:szCs w:val="20"/>
        </w:rPr>
        <w:t xml:space="preserve"> (</w:t>
      </w:r>
      <w:r w:rsidR="00894184" w:rsidRPr="00894184">
        <w:rPr>
          <w:rFonts w:cstheme="minorHAnsi"/>
          <w:color w:val="000000" w:themeColor="text1"/>
          <w:szCs w:val="20"/>
        </w:rPr>
        <w:t xml:space="preserve">priekšlikumu izstrāde līdz </w:t>
      </w:r>
      <w:r w:rsidR="001F4AB0" w:rsidRPr="00894184">
        <w:rPr>
          <w:rFonts w:cstheme="minorHAnsi"/>
          <w:color w:val="000000" w:themeColor="text1"/>
          <w:szCs w:val="20"/>
        </w:rPr>
        <w:t>31.12.2025.)</w:t>
      </w:r>
    </w:p>
    <w:p w14:paraId="0643B3B1" w14:textId="4651EC77" w:rsidR="00F934EC" w:rsidRPr="005A6886" w:rsidRDefault="00F934EC" w:rsidP="00F934EC">
      <w:pPr>
        <w:shd w:val="clear" w:color="auto" w:fill="FFFFFF"/>
        <w:spacing w:after="120" w:line="240" w:lineRule="auto"/>
        <w:jc w:val="both"/>
        <w:textAlignment w:val="baseline"/>
        <w:rPr>
          <w:rFonts w:eastAsia="Times New Roman" w:cstheme="minorHAnsi"/>
          <w:b/>
          <w:bCs/>
          <w:i/>
          <w:iCs/>
          <w:sz w:val="24"/>
          <w:szCs w:val="24"/>
        </w:rPr>
      </w:pPr>
      <w:r w:rsidRPr="005A6886">
        <w:rPr>
          <w:rFonts w:cstheme="minorHAnsi"/>
          <w:lang w:eastAsia="en-US"/>
        </w:rPr>
        <w:tab/>
      </w:r>
    </w:p>
    <w:p w14:paraId="15D4A5C7" w14:textId="6E51353C" w:rsidR="00F934EC" w:rsidRPr="005A6886" w:rsidRDefault="00F934EC" w:rsidP="00F934EC">
      <w:pPr>
        <w:tabs>
          <w:tab w:val="left" w:pos="1302"/>
        </w:tabs>
        <w:rPr>
          <w:rFonts w:cstheme="minorHAnsi"/>
          <w:lang w:eastAsia="en-US"/>
        </w:rPr>
      </w:pPr>
    </w:p>
    <w:sectPr w:rsidR="00F934EC" w:rsidRPr="005A6886" w:rsidSect="000632D2">
      <w:footerReference w:type="default" r:id="rId7"/>
      <w:pgSz w:w="11906" w:h="16838"/>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18E21" w14:textId="77777777" w:rsidR="005E0F87" w:rsidRDefault="005E0F87">
      <w:pPr>
        <w:spacing w:after="0" w:line="240" w:lineRule="auto"/>
      </w:pPr>
      <w:r>
        <w:separator/>
      </w:r>
    </w:p>
  </w:endnote>
  <w:endnote w:type="continuationSeparator" w:id="0">
    <w:p w14:paraId="54BB7A8A" w14:textId="77777777" w:rsidR="005E0F87" w:rsidRDefault="005E0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8836672"/>
      <w:docPartObj>
        <w:docPartGallery w:val="Page Numbers (Bottom of Page)"/>
        <w:docPartUnique/>
      </w:docPartObj>
    </w:sdtPr>
    <w:sdtEndPr>
      <w:rPr>
        <w:rFonts w:cstheme="minorHAnsi"/>
        <w:sz w:val="18"/>
        <w:szCs w:val="18"/>
      </w:rPr>
    </w:sdtEndPr>
    <w:sdtContent>
      <w:p w14:paraId="37E5261C" w14:textId="77777777" w:rsidR="00527DB7" w:rsidRPr="00894184" w:rsidRDefault="009F75DC">
        <w:pPr>
          <w:pStyle w:val="Kjene"/>
          <w:jc w:val="center"/>
          <w:rPr>
            <w:rFonts w:cstheme="minorHAnsi"/>
            <w:sz w:val="18"/>
            <w:szCs w:val="18"/>
          </w:rPr>
        </w:pPr>
        <w:r w:rsidRPr="00894184">
          <w:rPr>
            <w:rFonts w:cstheme="minorHAnsi"/>
            <w:sz w:val="18"/>
            <w:szCs w:val="18"/>
          </w:rPr>
          <w:fldChar w:fldCharType="begin"/>
        </w:r>
        <w:r w:rsidRPr="00894184">
          <w:rPr>
            <w:rFonts w:cstheme="minorHAnsi"/>
            <w:sz w:val="18"/>
            <w:szCs w:val="18"/>
          </w:rPr>
          <w:instrText>PAGE   \* MERGEFORMAT</w:instrText>
        </w:r>
        <w:r w:rsidRPr="00894184">
          <w:rPr>
            <w:rFonts w:cstheme="minorHAnsi"/>
            <w:sz w:val="18"/>
            <w:szCs w:val="18"/>
          </w:rPr>
          <w:fldChar w:fldCharType="separate"/>
        </w:r>
        <w:r w:rsidRPr="00894184">
          <w:rPr>
            <w:rFonts w:cstheme="minorHAnsi"/>
            <w:sz w:val="18"/>
            <w:szCs w:val="18"/>
          </w:rPr>
          <w:t>2</w:t>
        </w:r>
        <w:r w:rsidRPr="00894184">
          <w:rPr>
            <w:rFonts w:cstheme="minorHAnsi"/>
            <w:sz w:val="18"/>
            <w:szCs w:val="18"/>
          </w:rPr>
          <w:fldChar w:fldCharType="end"/>
        </w:r>
      </w:p>
    </w:sdtContent>
  </w:sdt>
  <w:p w14:paraId="6CF3DF41" w14:textId="77777777" w:rsidR="00527DB7" w:rsidRDefault="00527DB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DDC0D" w14:textId="77777777" w:rsidR="005E0F87" w:rsidRDefault="005E0F87">
      <w:pPr>
        <w:spacing w:after="0" w:line="240" w:lineRule="auto"/>
      </w:pPr>
      <w:r>
        <w:separator/>
      </w:r>
    </w:p>
  </w:footnote>
  <w:footnote w:type="continuationSeparator" w:id="0">
    <w:p w14:paraId="5B31E0D5" w14:textId="77777777" w:rsidR="005E0F87" w:rsidRDefault="005E0F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63A9A"/>
    <w:multiLevelType w:val="hybridMultilevel"/>
    <w:tmpl w:val="C92E756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68F0E85"/>
    <w:multiLevelType w:val="hybridMultilevel"/>
    <w:tmpl w:val="8014E926"/>
    <w:lvl w:ilvl="0" w:tplc="DA9E931C">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AC82E33"/>
    <w:multiLevelType w:val="hybridMultilevel"/>
    <w:tmpl w:val="29A893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E217F05"/>
    <w:multiLevelType w:val="hybridMultilevel"/>
    <w:tmpl w:val="6354183C"/>
    <w:lvl w:ilvl="0" w:tplc="FFF8823C">
      <w:start w:val="1"/>
      <w:numFmt w:val="bullet"/>
      <w:lvlText w:val=""/>
      <w:lvlJc w:val="left"/>
      <w:pPr>
        <w:tabs>
          <w:tab w:val="num" w:pos="720"/>
        </w:tabs>
        <w:ind w:left="720" w:hanging="360"/>
      </w:pPr>
      <w:rPr>
        <w:rFonts w:ascii="Wingdings" w:hAnsi="Wingdings" w:hint="default"/>
      </w:rPr>
    </w:lvl>
    <w:lvl w:ilvl="1" w:tplc="BE4CE456">
      <w:numFmt w:val="bullet"/>
      <w:lvlText w:val="–"/>
      <w:lvlJc w:val="left"/>
      <w:pPr>
        <w:tabs>
          <w:tab w:val="num" w:pos="1440"/>
        </w:tabs>
        <w:ind w:left="1440" w:hanging="360"/>
      </w:pPr>
      <w:rPr>
        <w:rFonts w:ascii="Verdana" w:hAnsi="Verdana" w:hint="default"/>
      </w:rPr>
    </w:lvl>
    <w:lvl w:ilvl="2" w:tplc="7B5CF394" w:tentative="1">
      <w:start w:val="1"/>
      <w:numFmt w:val="bullet"/>
      <w:lvlText w:val=""/>
      <w:lvlJc w:val="left"/>
      <w:pPr>
        <w:tabs>
          <w:tab w:val="num" w:pos="2160"/>
        </w:tabs>
        <w:ind w:left="2160" w:hanging="360"/>
      </w:pPr>
      <w:rPr>
        <w:rFonts w:ascii="Wingdings" w:hAnsi="Wingdings" w:hint="default"/>
      </w:rPr>
    </w:lvl>
    <w:lvl w:ilvl="3" w:tplc="2ABCEA7E" w:tentative="1">
      <w:start w:val="1"/>
      <w:numFmt w:val="bullet"/>
      <w:lvlText w:val=""/>
      <w:lvlJc w:val="left"/>
      <w:pPr>
        <w:tabs>
          <w:tab w:val="num" w:pos="2880"/>
        </w:tabs>
        <w:ind w:left="2880" w:hanging="360"/>
      </w:pPr>
      <w:rPr>
        <w:rFonts w:ascii="Wingdings" w:hAnsi="Wingdings" w:hint="default"/>
      </w:rPr>
    </w:lvl>
    <w:lvl w:ilvl="4" w:tplc="90720070" w:tentative="1">
      <w:start w:val="1"/>
      <w:numFmt w:val="bullet"/>
      <w:lvlText w:val=""/>
      <w:lvlJc w:val="left"/>
      <w:pPr>
        <w:tabs>
          <w:tab w:val="num" w:pos="3600"/>
        </w:tabs>
        <w:ind w:left="3600" w:hanging="360"/>
      </w:pPr>
      <w:rPr>
        <w:rFonts w:ascii="Wingdings" w:hAnsi="Wingdings" w:hint="default"/>
      </w:rPr>
    </w:lvl>
    <w:lvl w:ilvl="5" w:tplc="2800F9CC" w:tentative="1">
      <w:start w:val="1"/>
      <w:numFmt w:val="bullet"/>
      <w:lvlText w:val=""/>
      <w:lvlJc w:val="left"/>
      <w:pPr>
        <w:tabs>
          <w:tab w:val="num" w:pos="4320"/>
        </w:tabs>
        <w:ind w:left="4320" w:hanging="360"/>
      </w:pPr>
      <w:rPr>
        <w:rFonts w:ascii="Wingdings" w:hAnsi="Wingdings" w:hint="default"/>
      </w:rPr>
    </w:lvl>
    <w:lvl w:ilvl="6" w:tplc="C4F6BD38" w:tentative="1">
      <w:start w:val="1"/>
      <w:numFmt w:val="bullet"/>
      <w:lvlText w:val=""/>
      <w:lvlJc w:val="left"/>
      <w:pPr>
        <w:tabs>
          <w:tab w:val="num" w:pos="5040"/>
        </w:tabs>
        <w:ind w:left="5040" w:hanging="360"/>
      </w:pPr>
      <w:rPr>
        <w:rFonts w:ascii="Wingdings" w:hAnsi="Wingdings" w:hint="default"/>
      </w:rPr>
    </w:lvl>
    <w:lvl w:ilvl="7" w:tplc="A17EE518" w:tentative="1">
      <w:start w:val="1"/>
      <w:numFmt w:val="bullet"/>
      <w:lvlText w:val=""/>
      <w:lvlJc w:val="left"/>
      <w:pPr>
        <w:tabs>
          <w:tab w:val="num" w:pos="5760"/>
        </w:tabs>
        <w:ind w:left="5760" w:hanging="360"/>
      </w:pPr>
      <w:rPr>
        <w:rFonts w:ascii="Wingdings" w:hAnsi="Wingdings" w:hint="default"/>
      </w:rPr>
    </w:lvl>
    <w:lvl w:ilvl="8" w:tplc="7E8649C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07E17FF"/>
    <w:multiLevelType w:val="hybridMultilevel"/>
    <w:tmpl w:val="8C16C54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1FB1370"/>
    <w:multiLevelType w:val="hybridMultilevel"/>
    <w:tmpl w:val="16702FDA"/>
    <w:lvl w:ilvl="0" w:tplc="1848F80E">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6" w15:restartNumberingAfterBreak="0">
    <w:nsid w:val="6EC82B64"/>
    <w:multiLevelType w:val="hybridMultilevel"/>
    <w:tmpl w:val="1D1405CA"/>
    <w:lvl w:ilvl="0" w:tplc="1848F80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281205A"/>
    <w:multiLevelType w:val="hybridMultilevel"/>
    <w:tmpl w:val="A11E8FE4"/>
    <w:lvl w:ilvl="0" w:tplc="DA9E931C">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63C268C"/>
    <w:multiLevelType w:val="hybridMultilevel"/>
    <w:tmpl w:val="E1343406"/>
    <w:lvl w:ilvl="0" w:tplc="DA9E931C">
      <w:numFmt w:val="bullet"/>
      <w:lvlText w:val="-"/>
      <w:lvlJc w:val="left"/>
      <w:pPr>
        <w:ind w:left="1287" w:hanging="360"/>
      </w:pPr>
      <w:rPr>
        <w:rFonts w:ascii="Calibri" w:eastAsia="Calibri" w:hAnsi="Calibri"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9" w15:restartNumberingAfterBreak="0">
    <w:nsid w:val="7B4B32D5"/>
    <w:multiLevelType w:val="hybridMultilevel"/>
    <w:tmpl w:val="B846C92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95315071">
    <w:abstractNumId w:val="6"/>
  </w:num>
  <w:num w:numId="2" w16cid:durableId="612053007">
    <w:abstractNumId w:val="5"/>
  </w:num>
  <w:num w:numId="3" w16cid:durableId="2098746783">
    <w:abstractNumId w:val="3"/>
  </w:num>
  <w:num w:numId="4" w16cid:durableId="1642615955">
    <w:abstractNumId w:val="2"/>
  </w:num>
  <w:num w:numId="5" w16cid:durableId="691496070">
    <w:abstractNumId w:val="1"/>
  </w:num>
  <w:num w:numId="6" w16cid:durableId="1276136218">
    <w:abstractNumId w:val="7"/>
  </w:num>
  <w:num w:numId="7" w16cid:durableId="1555580290">
    <w:abstractNumId w:val="0"/>
  </w:num>
  <w:num w:numId="8" w16cid:durableId="2062097455">
    <w:abstractNumId w:val="9"/>
  </w:num>
  <w:num w:numId="9" w16cid:durableId="1588614562">
    <w:abstractNumId w:val="4"/>
  </w:num>
  <w:num w:numId="10" w16cid:durableId="12803823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E84"/>
    <w:rsid w:val="000632D2"/>
    <w:rsid w:val="001221CB"/>
    <w:rsid w:val="001834AD"/>
    <w:rsid w:val="00187D58"/>
    <w:rsid w:val="001B6796"/>
    <w:rsid w:val="001F4AB0"/>
    <w:rsid w:val="002F0929"/>
    <w:rsid w:val="002F72B9"/>
    <w:rsid w:val="00323903"/>
    <w:rsid w:val="003518E3"/>
    <w:rsid w:val="003C1220"/>
    <w:rsid w:val="003C3BFD"/>
    <w:rsid w:val="003F69B1"/>
    <w:rsid w:val="004569FA"/>
    <w:rsid w:val="004822D5"/>
    <w:rsid w:val="004F2512"/>
    <w:rsid w:val="0051376E"/>
    <w:rsid w:val="00527DB7"/>
    <w:rsid w:val="00551AD5"/>
    <w:rsid w:val="005A6886"/>
    <w:rsid w:val="005C5BA1"/>
    <w:rsid w:val="005E0F87"/>
    <w:rsid w:val="006747A4"/>
    <w:rsid w:val="006A179E"/>
    <w:rsid w:val="006A62A1"/>
    <w:rsid w:val="006C4F10"/>
    <w:rsid w:val="006F260B"/>
    <w:rsid w:val="00734E2C"/>
    <w:rsid w:val="0075214C"/>
    <w:rsid w:val="0076207F"/>
    <w:rsid w:val="007B678A"/>
    <w:rsid w:val="007C369D"/>
    <w:rsid w:val="007F0DC6"/>
    <w:rsid w:val="00800F63"/>
    <w:rsid w:val="00836E92"/>
    <w:rsid w:val="008519FA"/>
    <w:rsid w:val="00892C8D"/>
    <w:rsid w:val="00894184"/>
    <w:rsid w:val="008D220B"/>
    <w:rsid w:val="008F544C"/>
    <w:rsid w:val="008F6E84"/>
    <w:rsid w:val="00916C7D"/>
    <w:rsid w:val="00987E26"/>
    <w:rsid w:val="009E3F90"/>
    <w:rsid w:val="009F75DC"/>
    <w:rsid w:val="00A41E11"/>
    <w:rsid w:val="00AE78D1"/>
    <w:rsid w:val="00B307CF"/>
    <w:rsid w:val="00B9704C"/>
    <w:rsid w:val="00BA56A1"/>
    <w:rsid w:val="00BF34C4"/>
    <w:rsid w:val="00C01225"/>
    <w:rsid w:val="00C16AA3"/>
    <w:rsid w:val="00C74304"/>
    <w:rsid w:val="00C81006"/>
    <w:rsid w:val="00DF6CBF"/>
    <w:rsid w:val="00E172D2"/>
    <w:rsid w:val="00EC7939"/>
    <w:rsid w:val="00F012A3"/>
    <w:rsid w:val="00F7039A"/>
    <w:rsid w:val="00F70FC0"/>
    <w:rsid w:val="00F75CA2"/>
    <w:rsid w:val="00F7693B"/>
    <w:rsid w:val="00F8673C"/>
    <w:rsid w:val="00F934EC"/>
    <w:rsid w:val="00FB1434"/>
    <w:rsid w:val="00FD588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14D9C"/>
  <w15:chartTrackingRefBased/>
  <w15:docId w15:val="{818499C4-EC2F-414C-AC29-272C73A20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6E84"/>
    <w:rPr>
      <w:rFonts w:eastAsiaTheme="minorEastAsia"/>
      <w:kern w:val="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8F6E8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F6E84"/>
    <w:pPr>
      <w:ind w:left="720"/>
      <w:contextualSpacing/>
    </w:pPr>
    <w:rPr>
      <w:rFonts w:eastAsiaTheme="minorHAnsi"/>
      <w:lang w:eastAsia="en-US"/>
    </w:rPr>
  </w:style>
  <w:style w:type="paragraph" w:styleId="Kjene">
    <w:name w:val="footer"/>
    <w:basedOn w:val="Parasts"/>
    <w:link w:val="KjeneRakstz"/>
    <w:uiPriority w:val="99"/>
    <w:unhideWhenUsed/>
    <w:rsid w:val="008F6E8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F6E84"/>
    <w:rPr>
      <w:rFonts w:eastAsiaTheme="minorEastAsia"/>
      <w:kern w:val="0"/>
      <w:lang w:eastAsia="lv-LV"/>
      <w14:ligatures w14:val="none"/>
    </w:rPr>
  </w:style>
  <w:style w:type="character" w:styleId="Komentraatsauce">
    <w:name w:val="annotation reference"/>
    <w:basedOn w:val="Noklusjumarindkopasfonts"/>
    <w:uiPriority w:val="99"/>
    <w:semiHidden/>
    <w:unhideWhenUsed/>
    <w:rsid w:val="00894184"/>
    <w:rPr>
      <w:sz w:val="16"/>
      <w:szCs w:val="16"/>
    </w:rPr>
  </w:style>
  <w:style w:type="paragraph" w:styleId="Komentrateksts">
    <w:name w:val="annotation text"/>
    <w:basedOn w:val="Parasts"/>
    <w:link w:val="KomentratekstsRakstz"/>
    <w:uiPriority w:val="99"/>
    <w:unhideWhenUsed/>
    <w:rsid w:val="00894184"/>
    <w:pPr>
      <w:spacing w:line="240" w:lineRule="auto"/>
    </w:pPr>
    <w:rPr>
      <w:sz w:val="20"/>
      <w:szCs w:val="20"/>
    </w:rPr>
  </w:style>
  <w:style w:type="character" w:customStyle="1" w:styleId="KomentratekstsRakstz">
    <w:name w:val="Komentāra teksts Rakstz."/>
    <w:basedOn w:val="Noklusjumarindkopasfonts"/>
    <w:link w:val="Komentrateksts"/>
    <w:uiPriority w:val="99"/>
    <w:rsid w:val="00894184"/>
    <w:rPr>
      <w:rFonts w:eastAsiaTheme="minorEastAsia"/>
      <w:kern w:val="0"/>
      <w:sz w:val="20"/>
      <w:szCs w:val="20"/>
      <w:lang w:eastAsia="lv-LV"/>
      <w14:ligatures w14:val="none"/>
    </w:rPr>
  </w:style>
  <w:style w:type="paragraph" w:styleId="Komentratma">
    <w:name w:val="annotation subject"/>
    <w:basedOn w:val="Komentrateksts"/>
    <w:next w:val="Komentrateksts"/>
    <w:link w:val="KomentratmaRakstz"/>
    <w:uiPriority w:val="99"/>
    <w:semiHidden/>
    <w:unhideWhenUsed/>
    <w:rsid w:val="00894184"/>
    <w:rPr>
      <w:b/>
      <w:bCs/>
    </w:rPr>
  </w:style>
  <w:style w:type="character" w:customStyle="1" w:styleId="KomentratmaRakstz">
    <w:name w:val="Komentāra tēma Rakstz."/>
    <w:basedOn w:val="KomentratekstsRakstz"/>
    <w:link w:val="Komentratma"/>
    <w:uiPriority w:val="99"/>
    <w:semiHidden/>
    <w:rsid w:val="00894184"/>
    <w:rPr>
      <w:rFonts w:eastAsiaTheme="minorEastAsia"/>
      <w:b/>
      <w:bCs/>
      <w:kern w:val="0"/>
      <w:sz w:val="20"/>
      <w:szCs w:val="20"/>
      <w:lang w:eastAsia="lv-LV"/>
      <w14:ligatures w14:val="none"/>
    </w:rPr>
  </w:style>
  <w:style w:type="paragraph" w:styleId="Galvene">
    <w:name w:val="header"/>
    <w:basedOn w:val="Parasts"/>
    <w:link w:val="GalveneRakstz"/>
    <w:uiPriority w:val="99"/>
    <w:unhideWhenUsed/>
    <w:rsid w:val="0089418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94184"/>
    <w:rPr>
      <w:rFonts w:eastAsiaTheme="minorEastAsia"/>
      <w:kern w:val="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98372">
      <w:bodyDiv w:val="1"/>
      <w:marLeft w:val="0"/>
      <w:marRight w:val="0"/>
      <w:marTop w:val="0"/>
      <w:marBottom w:val="0"/>
      <w:divBdr>
        <w:top w:val="none" w:sz="0" w:space="0" w:color="auto"/>
        <w:left w:val="none" w:sz="0" w:space="0" w:color="auto"/>
        <w:bottom w:val="none" w:sz="0" w:space="0" w:color="auto"/>
        <w:right w:val="none" w:sz="0" w:space="0" w:color="auto"/>
      </w:divBdr>
    </w:div>
    <w:div w:id="952055540">
      <w:bodyDiv w:val="1"/>
      <w:marLeft w:val="0"/>
      <w:marRight w:val="0"/>
      <w:marTop w:val="0"/>
      <w:marBottom w:val="0"/>
      <w:divBdr>
        <w:top w:val="none" w:sz="0" w:space="0" w:color="auto"/>
        <w:left w:val="none" w:sz="0" w:space="0" w:color="auto"/>
        <w:bottom w:val="none" w:sz="0" w:space="0" w:color="auto"/>
        <w:right w:val="none" w:sz="0" w:space="0" w:color="auto"/>
      </w:divBdr>
      <w:divsChild>
        <w:div w:id="325548625">
          <w:marLeft w:val="274"/>
          <w:marRight w:val="0"/>
          <w:marTop w:val="0"/>
          <w:marBottom w:val="0"/>
          <w:divBdr>
            <w:top w:val="none" w:sz="0" w:space="0" w:color="auto"/>
            <w:left w:val="none" w:sz="0" w:space="0" w:color="auto"/>
            <w:bottom w:val="none" w:sz="0" w:space="0" w:color="auto"/>
            <w:right w:val="none" w:sz="0" w:space="0" w:color="auto"/>
          </w:divBdr>
        </w:div>
        <w:div w:id="1225533228">
          <w:marLeft w:val="691"/>
          <w:marRight w:val="0"/>
          <w:marTop w:val="0"/>
          <w:marBottom w:val="0"/>
          <w:divBdr>
            <w:top w:val="none" w:sz="0" w:space="0" w:color="auto"/>
            <w:left w:val="none" w:sz="0" w:space="0" w:color="auto"/>
            <w:bottom w:val="none" w:sz="0" w:space="0" w:color="auto"/>
            <w:right w:val="none" w:sz="0" w:space="0" w:color="auto"/>
          </w:divBdr>
        </w:div>
        <w:div w:id="1913158701">
          <w:marLeft w:val="691"/>
          <w:marRight w:val="0"/>
          <w:marTop w:val="0"/>
          <w:marBottom w:val="0"/>
          <w:divBdr>
            <w:top w:val="none" w:sz="0" w:space="0" w:color="auto"/>
            <w:left w:val="none" w:sz="0" w:space="0" w:color="auto"/>
            <w:bottom w:val="none" w:sz="0" w:space="0" w:color="auto"/>
            <w:right w:val="none" w:sz="0" w:space="0" w:color="auto"/>
          </w:divBdr>
        </w:div>
        <w:div w:id="46414080">
          <w:marLeft w:val="691"/>
          <w:marRight w:val="0"/>
          <w:marTop w:val="0"/>
          <w:marBottom w:val="0"/>
          <w:divBdr>
            <w:top w:val="none" w:sz="0" w:space="0" w:color="auto"/>
            <w:left w:val="none" w:sz="0" w:space="0" w:color="auto"/>
            <w:bottom w:val="none" w:sz="0" w:space="0" w:color="auto"/>
            <w:right w:val="none" w:sz="0" w:space="0" w:color="auto"/>
          </w:divBdr>
        </w:div>
        <w:div w:id="33316616">
          <w:marLeft w:val="691"/>
          <w:marRight w:val="0"/>
          <w:marTop w:val="0"/>
          <w:marBottom w:val="0"/>
          <w:divBdr>
            <w:top w:val="none" w:sz="0" w:space="0" w:color="auto"/>
            <w:left w:val="none" w:sz="0" w:space="0" w:color="auto"/>
            <w:bottom w:val="none" w:sz="0" w:space="0" w:color="auto"/>
            <w:right w:val="none" w:sz="0" w:space="0" w:color="auto"/>
          </w:divBdr>
        </w:div>
        <w:div w:id="305479020">
          <w:marLeft w:val="691"/>
          <w:marRight w:val="0"/>
          <w:marTop w:val="0"/>
          <w:marBottom w:val="0"/>
          <w:divBdr>
            <w:top w:val="none" w:sz="0" w:space="0" w:color="auto"/>
            <w:left w:val="none" w:sz="0" w:space="0" w:color="auto"/>
            <w:bottom w:val="none" w:sz="0" w:space="0" w:color="auto"/>
            <w:right w:val="none" w:sz="0" w:space="0" w:color="auto"/>
          </w:divBdr>
        </w:div>
        <w:div w:id="2062318989">
          <w:marLeft w:val="691"/>
          <w:marRight w:val="0"/>
          <w:marTop w:val="0"/>
          <w:marBottom w:val="120"/>
          <w:divBdr>
            <w:top w:val="none" w:sz="0" w:space="0" w:color="auto"/>
            <w:left w:val="none" w:sz="0" w:space="0" w:color="auto"/>
            <w:bottom w:val="none" w:sz="0" w:space="0" w:color="auto"/>
            <w:right w:val="none" w:sz="0" w:space="0" w:color="auto"/>
          </w:divBdr>
        </w:div>
      </w:divsChild>
    </w:div>
    <w:div w:id="1066029425">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686857007">
      <w:bodyDiv w:val="1"/>
      <w:marLeft w:val="0"/>
      <w:marRight w:val="0"/>
      <w:marTop w:val="0"/>
      <w:marBottom w:val="0"/>
      <w:divBdr>
        <w:top w:val="none" w:sz="0" w:space="0" w:color="auto"/>
        <w:left w:val="none" w:sz="0" w:space="0" w:color="auto"/>
        <w:bottom w:val="none" w:sz="0" w:space="0" w:color="auto"/>
        <w:right w:val="none" w:sz="0" w:space="0" w:color="auto"/>
      </w:divBdr>
    </w:div>
    <w:div w:id="1728530955">
      <w:bodyDiv w:val="1"/>
      <w:marLeft w:val="0"/>
      <w:marRight w:val="0"/>
      <w:marTop w:val="0"/>
      <w:marBottom w:val="0"/>
      <w:divBdr>
        <w:top w:val="none" w:sz="0" w:space="0" w:color="auto"/>
        <w:left w:val="none" w:sz="0" w:space="0" w:color="auto"/>
        <w:bottom w:val="none" w:sz="0" w:space="0" w:color="auto"/>
        <w:right w:val="none" w:sz="0" w:space="0" w:color="auto"/>
      </w:divBdr>
    </w:div>
    <w:div w:id="1785273344">
      <w:bodyDiv w:val="1"/>
      <w:marLeft w:val="0"/>
      <w:marRight w:val="0"/>
      <w:marTop w:val="0"/>
      <w:marBottom w:val="0"/>
      <w:divBdr>
        <w:top w:val="none" w:sz="0" w:space="0" w:color="auto"/>
        <w:left w:val="none" w:sz="0" w:space="0" w:color="auto"/>
        <w:bottom w:val="none" w:sz="0" w:space="0" w:color="auto"/>
        <w:right w:val="none" w:sz="0" w:space="0" w:color="auto"/>
      </w:divBdr>
    </w:div>
    <w:div w:id="1912695927">
      <w:bodyDiv w:val="1"/>
      <w:marLeft w:val="0"/>
      <w:marRight w:val="0"/>
      <w:marTop w:val="0"/>
      <w:marBottom w:val="0"/>
      <w:divBdr>
        <w:top w:val="none" w:sz="0" w:space="0" w:color="auto"/>
        <w:left w:val="none" w:sz="0" w:space="0" w:color="auto"/>
        <w:bottom w:val="none" w:sz="0" w:space="0" w:color="auto"/>
        <w:right w:val="none" w:sz="0" w:space="0" w:color="auto"/>
      </w:divBdr>
    </w:div>
    <w:div w:id="2017268678">
      <w:bodyDiv w:val="1"/>
      <w:marLeft w:val="0"/>
      <w:marRight w:val="0"/>
      <w:marTop w:val="0"/>
      <w:marBottom w:val="0"/>
      <w:divBdr>
        <w:top w:val="none" w:sz="0" w:space="0" w:color="auto"/>
        <w:left w:val="none" w:sz="0" w:space="0" w:color="auto"/>
        <w:bottom w:val="none" w:sz="0" w:space="0" w:color="auto"/>
        <w:right w:val="none" w:sz="0" w:space="0" w:color="auto"/>
      </w:divBdr>
    </w:div>
    <w:div w:id="214003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3</Pages>
  <Words>1605</Words>
  <Characters>9153</Characters>
  <Application>Microsoft Office Word</Application>
  <DocSecurity>0</DocSecurity>
  <Lines>76</Lines>
  <Paragraphs>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IZM</Company>
  <LinksUpToDate>false</LinksUpToDate>
  <CharactersWithSpaces>10737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Vikšere</dc:creator>
  <cp:keywords/>
  <dc:description/>
  <cp:lastModifiedBy>Alla Imanta</cp:lastModifiedBy>
  <cp:revision>14</cp:revision>
  <dcterms:created xsi:type="dcterms:W3CDTF">2023-06-14T10:12:00Z</dcterms:created>
  <dcterms:modified xsi:type="dcterms:W3CDTF">2023-10-17T11:10:00Z</dcterms:modified>
</cp:coreProperties>
</file>