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D6AB0" w14:textId="0E41E5D4" w:rsidR="00ED198B" w:rsidRPr="009011C1" w:rsidRDefault="00ED198B" w:rsidP="00E63271">
      <w:pPr>
        <w:pStyle w:val="Heading2"/>
        <w:jc w:val="center"/>
        <w:rPr>
          <w:rFonts w:ascii="Times New Roman" w:hAnsi="Times New Roman" w:cs="Times New Roman"/>
          <w:color w:val="auto"/>
          <w:sz w:val="28"/>
          <w:szCs w:val="28"/>
          <w:lang w:eastAsia="lv-LV"/>
        </w:rPr>
      </w:pPr>
      <w:bookmarkStart w:id="0" w:name="_Toc22664042"/>
      <w:bookmarkStart w:id="1" w:name="_Toc23513066"/>
      <w:bookmarkStart w:id="2" w:name="_Toc100586015"/>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5A54E6A2"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0620C878"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E922FC">
              <w:rPr>
                <w:sz w:val="24"/>
                <w:szCs w:val="24"/>
              </w:rPr>
            </w:r>
            <w:r w:rsidR="00E922FC">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FootnoteReference"/>
                <w:smallCaps/>
              </w:rPr>
              <w:t xml:space="preserve"> </w:t>
            </w:r>
            <w:r w:rsidRPr="00D56250">
              <w:rPr>
                <w:rStyle w:val="FootnoteReferen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lastRenderedPageBreak/>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32B7617C"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w:t>
            </w:r>
            <w:proofErr w:type="gramStart"/>
            <w:r w:rsidR="00AE6866" w:rsidRPr="00521643">
              <w:rPr>
                <w:sz w:val="24"/>
                <w:szCs w:val="24"/>
              </w:rPr>
              <w:t xml:space="preserve"> </w:t>
            </w:r>
            <w:r>
              <w:rPr>
                <w:sz w:val="24"/>
                <w:szCs w:val="24"/>
              </w:rPr>
              <w:t xml:space="preserve"> </w:t>
            </w:r>
            <w:proofErr w:type="gramEnd"/>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FootnoteReferen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E922FC">
              <w:rPr>
                <w:sz w:val="24"/>
                <w:szCs w:val="24"/>
              </w:rPr>
            </w:r>
            <w:r w:rsidR="00E922FC">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lastRenderedPageBreak/>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395DE602" w14:textId="77777777" w:rsidR="001252F7"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624D9AA3" w14:textId="77777777" w:rsidR="001252F7" w:rsidRDefault="001252F7" w:rsidP="001252F7">
      <w:pPr>
        <w:rPr>
          <w:rFonts w:eastAsia="Times New Roman" w:cs="Times New Roman"/>
          <w:sz w:val="24"/>
          <w:szCs w:val="24"/>
          <w:lang w:eastAsia="lv-LV"/>
        </w:rPr>
      </w:pP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4023AD3C" w:rsidR="001252F7" w:rsidRPr="009011C1" w:rsidRDefault="001252F7" w:rsidP="001252F7">
      <w:pPr>
        <w:pStyle w:val="CommentText"/>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760D8B22" w:rsidR="001252F7" w:rsidRPr="009011C1" w:rsidRDefault="001252F7" w:rsidP="001252F7">
      <w:pPr>
        <w:pStyle w:val="CommentText"/>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7F1D3E3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yperlink"/>
          </w:rPr>
          <w:t>www.latvija.lv</w:t>
        </w:r>
      </w:hyperlink>
      <w:r>
        <w:t xml:space="preserve"> vai </w:t>
      </w:r>
      <w:hyperlink r:id="rId9" w:history="1">
        <w:r w:rsidRPr="0000677F">
          <w:rPr>
            <w:rStyle w:val="Hyperlink"/>
          </w:rPr>
          <w:t>www.trauksmescelejs.lv</w:t>
        </w:r>
      </w:hyperlink>
      <w:r>
        <w:t xml:space="preserve"> un iesniegt ziņojumu elektroniski bez paraksta.</w:t>
      </w:r>
    </w:p>
    <w:p w14:paraId="522E3B0F" w14:textId="77777777" w:rsidR="001252F7" w:rsidRPr="009011C1" w:rsidRDefault="001252F7" w:rsidP="001252F7">
      <w:pPr>
        <w:spacing w:after="0" w:line="240" w:lineRule="auto"/>
        <w:rPr>
          <w:rStyle w:val="spelle"/>
          <w:szCs w:val="28"/>
        </w:rPr>
      </w:pPr>
    </w:p>
    <w:p w14:paraId="529C910E" w14:textId="77777777" w:rsidR="001252F7" w:rsidRDefault="001252F7" w:rsidP="001252F7">
      <w:pPr>
        <w:jc w:val="center"/>
        <w:rPr>
          <w:i/>
          <w:sz w:val="24"/>
          <w:szCs w:val="24"/>
          <w:lang w:eastAsia="lv-LV"/>
        </w:rPr>
      </w:pP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0C945CC6" w14:textId="77777777" w:rsidR="001252F7" w:rsidRPr="00521643"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2B7C749" w14:textId="77777777" w:rsidR="001252F7" w:rsidRDefault="001252F7" w:rsidP="001252F7">
      <w:pPr>
        <w:rPr>
          <w:sz w:val="24"/>
          <w:szCs w:val="24"/>
          <w:lang w:eastAsia="lv-LV"/>
        </w:rPr>
      </w:pPr>
    </w:p>
    <w:p w14:paraId="4F650D91" w14:textId="77777777" w:rsidR="001252F7" w:rsidRDefault="001252F7" w:rsidP="001252F7">
      <w:pPr>
        <w:rPr>
          <w:sz w:val="24"/>
          <w:szCs w:val="24"/>
          <w:lang w:eastAsia="lv-LV"/>
        </w:rPr>
      </w:pPr>
    </w:p>
    <w:p w14:paraId="72C6498A" w14:textId="28A61BF9" w:rsidR="001252F7" w:rsidRDefault="001252F7" w:rsidP="001252F7">
      <w:pPr>
        <w:rPr>
          <w:sz w:val="24"/>
          <w:szCs w:val="24"/>
          <w:lang w:eastAsia="lv-LV"/>
        </w:rPr>
      </w:pP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788E1AB6"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lastRenderedPageBreak/>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7EA3ADFA"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50B09A4A"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yperlink"/>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bookmarkStart w:id="3" w:name="_GoBack"/>
      <w:bookmarkEnd w:id="3"/>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77FFB" w14:textId="77777777" w:rsidR="00E922FC" w:rsidRDefault="00E922FC" w:rsidP="00620A2E">
      <w:pPr>
        <w:spacing w:after="0" w:line="240" w:lineRule="auto"/>
      </w:pPr>
      <w:r>
        <w:separator/>
      </w:r>
    </w:p>
  </w:endnote>
  <w:endnote w:type="continuationSeparator" w:id="0">
    <w:p w14:paraId="421E0A20" w14:textId="77777777" w:rsidR="00E922FC" w:rsidRDefault="00E922FC"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21</w:t>
        </w:r>
        <w:r w:rsidRPr="00CA4BB0">
          <w:rPr>
            <w:noProof/>
            <w:sz w:val="20"/>
            <w:szCs w:val="20"/>
          </w:rPr>
          <w:fldChar w:fldCharType="end"/>
        </w:r>
      </w:p>
    </w:sdtContent>
  </w:sdt>
  <w:p w14:paraId="21256073" w14:textId="77777777" w:rsidR="00464BF8" w:rsidRPr="00CA4BB0" w:rsidRDefault="00464B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0106B" w14:textId="77777777" w:rsidR="00E922FC" w:rsidRDefault="00E922FC" w:rsidP="00620A2E">
      <w:pPr>
        <w:spacing w:after="0" w:line="240" w:lineRule="auto"/>
      </w:pPr>
      <w:r>
        <w:separator/>
      </w:r>
    </w:p>
  </w:footnote>
  <w:footnote w:type="continuationSeparator" w:id="0">
    <w:p w14:paraId="7DC6DEDE" w14:textId="77777777" w:rsidR="00E922FC" w:rsidRDefault="00E922FC" w:rsidP="00620A2E">
      <w:pPr>
        <w:spacing w:after="0" w:line="240" w:lineRule="auto"/>
      </w:pPr>
      <w:r>
        <w:continuationSeparator/>
      </w:r>
    </w:p>
  </w:footnote>
  <w:footnote w:id="1">
    <w:p w14:paraId="00E60026" w14:textId="77777777" w:rsidR="00464BF8" w:rsidRDefault="00464BF8" w:rsidP="001252F7">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DA20" w14:textId="77777777" w:rsidR="00464BF8" w:rsidRDefault="00464BF8" w:rsidP="00A63B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7"/>
  </w:num>
  <w:num w:numId="3">
    <w:abstractNumId w:val="12"/>
  </w:num>
  <w:num w:numId="4">
    <w:abstractNumId w:val="15"/>
  </w:num>
  <w:num w:numId="5">
    <w:abstractNumId w:val="17"/>
  </w:num>
  <w:num w:numId="6">
    <w:abstractNumId w:val="21"/>
  </w:num>
  <w:num w:numId="7">
    <w:abstractNumId w:val="6"/>
  </w:num>
  <w:num w:numId="8">
    <w:abstractNumId w:val="13"/>
  </w:num>
  <w:num w:numId="9">
    <w:abstractNumId w:val="24"/>
  </w:num>
  <w:num w:numId="10">
    <w:abstractNumId w:val="9"/>
  </w:num>
  <w:num w:numId="11">
    <w:abstractNumId w:val="23"/>
  </w:num>
  <w:num w:numId="12">
    <w:abstractNumId w:val="22"/>
  </w:num>
  <w:num w:numId="13">
    <w:abstractNumId w:val="11"/>
  </w:num>
  <w:num w:numId="14">
    <w:abstractNumId w:val="16"/>
  </w:num>
  <w:num w:numId="15">
    <w:abstractNumId w:val="5"/>
  </w:num>
  <w:num w:numId="16">
    <w:abstractNumId w:val="1"/>
  </w:num>
  <w:num w:numId="17">
    <w:abstractNumId w:val="2"/>
  </w:num>
  <w:num w:numId="18">
    <w:abstractNumId w:val="14"/>
  </w:num>
  <w:num w:numId="19">
    <w:abstractNumId w:val="26"/>
  </w:num>
  <w:num w:numId="20">
    <w:abstractNumId w:val="20"/>
  </w:num>
  <w:num w:numId="21">
    <w:abstractNumId w:val="0"/>
  </w:num>
  <w:num w:numId="22">
    <w:abstractNumId w:val="8"/>
  </w:num>
  <w:num w:numId="23">
    <w:abstractNumId w:val="18"/>
  </w:num>
  <w:num w:numId="24">
    <w:abstractNumId w:val="4"/>
  </w:num>
  <w:num w:numId="25">
    <w:abstractNumId w:val="19"/>
  </w:num>
  <w:num w:numId="26">
    <w:abstractNumId w:val="3"/>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0BA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2EC7"/>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5E45"/>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2FC"/>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EA4"/>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qFormat/>
    <w:rsid w:val="00951D66"/>
    <w:rPr>
      <w:sz w:val="16"/>
      <w:szCs w:val="16"/>
    </w:rPr>
  </w:style>
  <w:style w:type="paragraph" w:styleId="CommentText">
    <w:name w:val="annotation text"/>
    <w:basedOn w:val="Normal"/>
    <w:link w:val="CommentTextChar"/>
    <w:uiPriority w:val="99"/>
    <w:unhideWhenUsed/>
    <w:qFormat/>
    <w:rsid w:val="00951D66"/>
    <w:pPr>
      <w:spacing w:line="240" w:lineRule="auto"/>
    </w:pPr>
    <w:rPr>
      <w:sz w:val="20"/>
      <w:szCs w:val="20"/>
    </w:rPr>
  </w:style>
  <w:style w:type="character" w:customStyle="1" w:styleId="CommentTextChar">
    <w:name w:val="Comment Text Char"/>
    <w:basedOn w:val="DefaultParagraphFont"/>
    <w:link w:val="CommentText"/>
    <w:uiPriority w:val="99"/>
    <w:qFormat/>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471D6"/>
    <w:rPr>
      <w:rFonts w:asciiTheme="majorHAnsi" w:eastAsiaTheme="majorEastAsia" w:hAnsiTheme="majorHAnsi" w:cstheme="majorBidi"/>
      <w:b/>
      <w:color w:val="1F4D78" w:themeColor="accent1" w:themeShade="7F"/>
      <w:sz w:val="28"/>
      <w:szCs w:val="24"/>
    </w:rPr>
  </w:style>
  <w:style w:type="paragraph" w:styleId="TOC1">
    <w:name w:val="toc 1"/>
    <w:basedOn w:val="Normal"/>
    <w:next w:val="Normal"/>
    <w:autoRedefine/>
    <w:uiPriority w:val="39"/>
    <w:unhideWhenUsed/>
    <w:rsid w:val="009A3DB2"/>
    <w:pPr>
      <w:tabs>
        <w:tab w:val="left" w:pos="446"/>
        <w:tab w:val="right" w:leader="dot" w:pos="9061"/>
      </w:tabs>
      <w:spacing w:after="100"/>
    </w:pPr>
    <w:rPr>
      <w:smallCaps/>
      <w:sz w:val="24"/>
    </w:rPr>
  </w:style>
  <w:style w:type="paragraph" w:styleId="TOC2">
    <w:name w:val="toc 2"/>
    <w:basedOn w:val="Normal"/>
    <w:next w:val="Normal"/>
    <w:autoRedefine/>
    <w:uiPriority w:val="39"/>
    <w:unhideWhenUsed/>
    <w:rsid w:val="00E70B89"/>
    <w:pPr>
      <w:spacing w:after="100"/>
      <w:ind w:left="280"/>
    </w:pPr>
    <w:rPr>
      <w:sz w:val="24"/>
    </w:rPr>
  </w:style>
  <w:style w:type="paragraph" w:styleId="TOC3">
    <w:name w:val="toc 3"/>
    <w:basedOn w:val="Normal"/>
    <w:next w:val="Normal"/>
    <w:autoRedefine/>
    <w:uiPriority w:val="39"/>
    <w:unhideWhenUsed/>
    <w:rsid w:val="00E70B89"/>
    <w:pPr>
      <w:spacing w:after="100"/>
      <w:ind w:left="446"/>
    </w:pPr>
    <w:rPr>
      <w:sz w:val="24"/>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 w:type="character" w:customStyle="1" w:styleId="spelle">
    <w:name w:val="spelle"/>
    <w:basedOn w:val="DefaultParagraphFont"/>
    <w:rsid w:val="0088402A"/>
  </w:style>
  <w:style w:type="character" w:customStyle="1" w:styleId="UnresolvedMention4">
    <w:name w:val="Unresolved Mention4"/>
    <w:basedOn w:val="DefaultParagraphFont"/>
    <w:uiPriority w:val="99"/>
    <w:semiHidden/>
    <w:unhideWhenUsed/>
    <w:rsid w:val="00F76D9E"/>
    <w:rPr>
      <w:color w:val="605E5C"/>
      <w:shd w:val="clear" w:color="auto" w:fill="E1DFDD"/>
    </w:rPr>
  </w:style>
  <w:style w:type="table" w:styleId="GridTable4-Accent6">
    <w:name w:val="Grid Table 4 Accent 6"/>
    <w:basedOn w:val="TableNormal"/>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FB7F57"/>
    <w:rPr>
      <w:color w:val="605E5C"/>
      <w:shd w:val="clear" w:color="auto" w:fill="E1DFDD"/>
    </w:rPr>
  </w:style>
  <w:style w:type="paragraph" w:customStyle="1" w:styleId="Normal1">
    <w:name w:val="Normal1"/>
    <w:basedOn w:val="Normal"/>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character" w:styleId="Strong">
    <w:name w:val="Strong"/>
    <w:basedOn w:val="DefaultParagraphFont"/>
    <w:uiPriority w:val="22"/>
    <w:qFormat/>
    <w:rsid w:val="00D82983"/>
    <w:rPr>
      <w:b/>
      <w:bCs/>
    </w:rPr>
  </w:style>
  <w:style w:type="paragraph" w:styleId="PlainText">
    <w:name w:val="Plain Text"/>
    <w:basedOn w:val="Normal"/>
    <w:link w:val="PlainTextChar"/>
    <w:uiPriority w:val="99"/>
    <w:semiHidden/>
    <w:unhideWhenUsed/>
    <w:rsid w:val="009A75BF"/>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rsid w:val="009A75BF"/>
    <w:rPr>
      <w:rFonts w:ascii="Calibri" w:hAnsi="Calibri"/>
      <w:szCs w:val="21"/>
    </w:rPr>
  </w:style>
  <w:style w:type="character" w:customStyle="1" w:styleId="UnresolvedMention6">
    <w:name w:val="Unresolved Mention6"/>
    <w:basedOn w:val="DefaultParagraphFont"/>
    <w:uiPriority w:val="99"/>
    <w:semiHidden/>
    <w:unhideWhenUsed/>
    <w:rsid w:val="006E4872"/>
    <w:rPr>
      <w:color w:val="605E5C"/>
      <w:shd w:val="clear" w:color="auto" w:fill="E1DFDD"/>
    </w:rPr>
  </w:style>
  <w:style w:type="character" w:styleId="FollowedHyperlink">
    <w:name w:val="FollowedHyperlink"/>
    <w:basedOn w:val="DefaultParagraphFont"/>
    <w:uiPriority w:val="99"/>
    <w:semiHidden/>
    <w:unhideWhenUsed/>
    <w:rsid w:val="00153B72"/>
    <w:rPr>
      <w:color w:val="954F72" w:themeColor="followedHyperlink"/>
      <w:u w:val="single"/>
    </w:rPr>
  </w:style>
  <w:style w:type="paragraph" w:customStyle="1" w:styleId="Normal2">
    <w:name w:val="Normal2"/>
    <w:basedOn w:val="Normal"/>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Normal"/>
    <w:rsid w:val="000B46B8"/>
    <w:pPr>
      <w:spacing w:before="100" w:beforeAutospacing="1" w:after="100" w:afterAutospacing="1" w:line="240" w:lineRule="auto"/>
      <w:jc w:val="left"/>
    </w:pPr>
    <w:rPr>
      <w:rFonts w:eastAsia="Times New Roman" w:cs="Times New Roman"/>
      <w:sz w:val="24"/>
      <w:szCs w:val="24"/>
      <w:lang w:eastAsia="lv-LV"/>
    </w:rPr>
  </w:style>
  <w:style w:type="character" w:styleId="UnresolvedMention">
    <w:name w:val="Unresolved Mention"/>
    <w:basedOn w:val="DefaultParagraphFont"/>
    <w:uiPriority w:val="99"/>
    <w:semiHidden/>
    <w:unhideWhenUsed/>
    <w:rsid w:val="00011FEC"/>
    <w:rPr>
      <w:color w:val="605E5C"/>
      <w:shd w:val="clear" w:color="auto" w:fill="E1DFDD"/>
    </w:rPr>
  </w:style>
  <w:style w:type="paragraph" w:customStyle="1" w:styleId="m-8578639922925416080txt11black">
    <w:name w:val="m_-8578639922925416080txt_11_black"/>
    <w:basedOn w:val="Normal"/>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33B0-8D54-409F-A7CD-7DAE7FF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3373</Words>
  <Characters>1924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Zane Ozola</cp:lastModifiedBy>
  <cp:revision>3</cp:revision>
  <cp:lastPrinted>2020-04-02T14:15:00Z</cp:lastPrinted>
  <dcterms:created xsi:type="dcterms:W3CDTF">2022-04-21T08:02:00Z</dcterms:created>
  <dcterms:modified xsi:type="dcterms:W3CDTF">2022-04-21T08:05:00Z</dcterms:modified>
</cp:coreProperties>
</file>