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F935" w14:textId="09B4AFCA" w:rsidR="00273D76" w:rsidRPr="00B410E7" w:rsidRDefault="007A7B36" w:rsidP="00016D3D">
      <w:pPr>
        <w:jc w:val="center"/>
        <w:rPr>
          <w:b/>
          <w:sz w:val="28"/>
        </w:rPr>
      </w:pPr>
      <w:r w:rsidRPr="007A7B36">
        <w:rPr>
          <w:rStyle w:val="FootnoteReference"/>
          <w:b/>
          <w:sz w:val="28"/>
        </w:rPr>
        <w:footnoteReference w:customMarkFollows="1" w:id="1"/>
        <w:sym w:font="Symbol" w:char="F020"/>
      </w:r>
      <w:r w:rsidR="00016D3D" w:rsidRPr="00B410E7">
        <w:rPr>
          <w:b/>
          <w:sz w:val="28"/>
        </w:rPr>
        <w:t>Informatīvais z</w:t>
      </w:r>
      <w:r w:rsidR="00034695" w:rsidRPr="00B410E7">
        <w:rPr>
          <w:b/>
          <w:sz w:val="28"/>
        </w:rPr>
        <w:t>iņojums</w:t>
      </w:r>
    </w:p>
    <w:p w14:paraId="1CFCA8AB" w14:textId="77777777" w:rsidR="00B410E7" w:rsidRDefault="00B410E7" w:rsidP="00FB1DD7">
      <w:pPr>
        <w:jc w:val="center"/>
        <w:rPr>
          <w:b/>
        </w:rPr>
      </w:pPr>
    </w:p>
    <w:p w14:paraId="6D5FF4E3" w14:textId="48C14B95" w:rsidR="00DB1010" w:rsidRDefault="00DB1010" w:rsidP="00FB1DD7">
      <w:pPr>
        <w:ind w:firstLine="720"/>
        <w:jc w:val="both"/>
      </w:pPr>
      <w:r>
        <w:t>Ekonomikas ministrija ir sagatavojusi informatīvo ziņojumu izskatīšanai Ministru kabinetā par z</w:t>
      </w:r>
      <w:r w:rsidRPr="00DB1010">
        <w:t>vērinātu advokātu biroj</w:t>
      </w:r>
      <w:r>
        <w:t xml:space="preserve">a </w:t>
      </w:r>
      <w:r w:rsidRPr="00DB1010">
        <w:t xml:space="preserve">„KPMG” </w:t>
      </w:r>
      <w:r>
        <w:t xml:space="preserve">(turpmāk – ZAB KPMG) sagatavoto juridisko </w:t>
      </w:r>
      <w:r w:rsidRPr="00DB1010">
        <w:t>izvērtējumu par valsts atbalsta shēmas elektroenerģijas ražošanai no atjaunojamajiem energoresursiem un koģenerācijā atcelšanu un izmaksātā atbalsta atgūšanu</w:t>
      </w:r>
      <w:r>
        <w:t>.</w:t>
      </w:r>
    </w:p>
    <w:p w14:paraId="326F0203" w14:textId="67ACEC67" w:rsidR="00DB1010" w:rsidRDefault="00DB1010" w:rsidP="00FB1DD7">
      <w:pPr>
        <w:ind w:firstLine="720"/>
        <w:jc w:val="both"/>
      </w:pPr>
    </w:p>
    <w:p w14:paraId="6FF617E9" w14:textId="2B1D18FB" w:rsidR="00DB1010" w:rsidRPr="000E5986" w:rsidRDefault="00DB1010" w:rsidP="000E5986">
      <w:pPr>
        <w:pStyle w:val="ListParagraph"/>
        <w:numPr>
          <w:ilvl w:val="0"/>
          <w:numId w:val="19"/>
        </w:numPr>
        <w:jc w:val="center"/>
        <w:rPr>
          <w:b/>
        </w:rPr>
      </w:pPr>
      <w:r w:rsidRPr="000E5986">
        <w:rPr>
          <w:b/>
        </w:rPr>
        <w:t>Ievads</w:t>
      </w:r>
    </w:p>
    <w:p w14:paraId="69097326" w14:textId="77777777" w:rsidR="00DB1010" w:rsidRPr="00DB1010" w:rsidRDefault="00DB1010" w:rsidP="00DB1010">
      <w:pPr>
        <w:jc w:val="center"/>
        <w:rPr>
          <w:b/>
        </w:rPr>
      </w:pPr>
    </w:p>
    <w:p w14:paraId="77CEA62D" w14:textId="2ADBDD42" w:rsidR="001756E7" w:rsidRDefault="00DB1010" w:rsidP="00DB1010">
      <w:pPr>
        <w:ind w:firstLine="720"/>
        <w:jc w:val="both"/>
      </w:pPr>
      <w:r>
        <w:t xml:space="preserve">Ar Saeimas 2019.gada 10.janvāra paziņojumu </w:t>
      </w:r>
      <w:r w:rsidR="001756E7" w:rsidRPr="001756E7">
        <w:t xml:space="preserve">Ekonomikas ministriju </w:t>
      </w:r>
      <w:r w:rsidR="001756E7">
        <w:t xml:space="preserve">tika aicināta </w:t>
      </w:r>
      <w:r w:rsidR="001756E7" w:rsidRPr="001756E7">
        <w:t>steidzami izstrādāt tiesību aktus obligātā iepirkuma komponentes atcelšanai no 2019.gada 31.marta ar mērķi samazināt elektroenerģijas izmaksas visiem Latvijas patērētājiem. Saeima aicin</w:t>
      </w:r>
      <w:r w:rsidR="00F84382">
        <w:t>āja</w:t>
      </w:r>
      <w:r w:rsidR="001756E7" w:rsidRPr="001756E7">
        <w:t xml:space="preserve"> Ekonomikas ministriju ievērot tiesiskuma principus un, izstrādājot obligātā iepirkuma komponentes atcelšanas risinājumus, nepieļaut šo maksājumu veikšanu no citiem finanšu avotiem, to pārveidi par cita veida maksājumiem, kā arī mainīt attiecīgo maksājumu nosaukumu. </w:t>
      </w:r>
      <w:r w:rsidR="00F84382">
        <w:t xml:space="preserve">Tāpat </w:t>
      </w:r>
      <w:r w:rsidR="001756E7" w:rsidRPr="001756E7">
        <w:t>Saeima aicin</w:t>
      </w:r>
      <w:r w:rsidR="00F84382">
        <w:t>āja</w:t>
      </w:r>
      <w:r w:rsidR="001756E7" w:rsidRPr="001756E7">
        <w:t xml:space="preserve"> Ekonomikas ministriju izbeigt Latvijas iedzīvotājiem netaisnīgu, uz atsevišķu personu interešu atbalstu vērstu režīmu.</w:t>
      </w:r>
    </w:p>
    <w:p w14:paraId="745A8D93" w14:textId="56FAE04F" w:rsidR="00F84382" w:rsidRDefault="000E5986" w:rsidP="00DB1010">
      <w:pPr>
        <w:ind w:firstLine="720"/>
        <w:jc w:val="both"/>
      </w:pPr>
      <w:r>
        <w:t xml:space="preserve">Lai izpildītu Saeimas 2019.gada 10.janvāra paziņojumu </w:t>
      </w:r>
      <w:r w:rsidR="00F84382">
        <w:t xml:space="preserve">Ekonomikas ministrija </w:t>
      </w:r>
      <w:r w:rsidR="00F84382" w:rsidRPr="00F84382">
        <w:t xml:space="preserve">2019.gada 4.martā ar </w:t>
      </w:r>
      <w:r w:rsidR="00F84382">
        <w:t>ZAB KPMG</w:t>
      </w:r>
      <w:r w:rsidR="00F84382" w:rsidRPr="00F84382">
        <w:t xml:space="preserve"> noslēdza </w:t>
      </w:r>
      <w:r w:rsidR="001F6283">
        <w:t xml:space="preserve">iepirkuma līgumu Nr. </w:t>
      </w:r>
      <w:r w:rsidR="001F6283" w:rsidRPr="001F6283">
        <w:t>EM 2019/25</w:t>
      </w:r>
      <w:r w:rsidR="001F6283">
        <w:t xml:space="preserve"> (turpmāk – Līgums), ar kuru ZAB KPMG </w:t>
      </w:r>
      <w:r w:rsidR="001F6283" w:rsidRPr="001F6283">
        <w:t>apņ</w:t>
      </w:r>
      <w:r w:rsidR="001F6283">
        <w:t>ē</w:t>
      </w:r>
      <w:r w:rsidR="001F6283" w:rsidRPr="001F6283">
        <w:t>m</w:t>
      </w:r>
      <w:r w:rsidR="001F6283">
        <w:t>ā</w:t>
      </w:r>
      <w:r w:rsidR="001F6283" w:rsidRPr="001F6283">
        <w:t>s veikt juridisku izvērtējumu par valsts atbalsta shēmas elektroenerģijas ražošanai no atjaunojamajiem energoresursiem un koģenerācijā atcelšanu un izmaksātā atbalsta atgūšanu</w:t>
      </w:r>
      <w:r w:rsidR="003523CF">
        <w:t xml:space="preserve"> (turpmāk – izvērtējums)</w:t>
      </w:r>
      <w:r w:rsidR="001F6283">
        <w:t>.</w:t>
      </w:r>
    </w:p>
    <w:p w14:paraId="0BD55E95" w14:textId="28C7B649" w:rsidR="001F6283" w:rsidRDefault="001F6283" w:rsidP="001F6283">
      <w:pPr>
        <w:ind w:firstLine="720"/>
        <w:jc w:val="both"/>
      </w:pPr>
      <w:r>
        <w:t>Saskaņā ar Līgumu izvērtējums ir jāsniedz par šādiem jautājumiem:</w:t>
      </w:r>
    </w:p>
    <w:p w14:paraId="139A3780" w14:textId="6E9D27D2" w:rsidR="001F6283" w:rsidRDefault="001F6283" w:rsidP="001F6283">
      <w:pPr>
        <w:ind w:firstLine="720"/>
        <w:jc w:val="both"/>
      </w:pPr>
      <w:r>
        <w:t xml:space="preserve">1. </w:t>
      </w:r>
      <w:r w:rsidR="003523CF" w:rsidRPr="003523CF">
        <w:t>Vai atbalsta piešķiršana elektroenerģijas ražotājiem valsts atbalsta shēmas ietvaros atjaunojamo energoresursu enerģijas un koģenerācijas ražošanai (turpmāk – atbalsta shēma) ir uzskatāma par atbilstošu Eiropas Savienības normatīvo aktu prasībām un likumīgu, ņemot vērā saskaņojumu ar Eiropas Komisiju 2017.gada 24.aprīlī?</w:t>
      </w:r>
    </w:p>
    <w:p w14:paraId="3B506E00" w14:textId="77777777" w:rsidR="003523CF" w:rsidRDefault="001F6283" w:rsidP="001F6283">
      <w:pPr>
        <w:ind w:firstLine="720"/>
        <w:jc w:val="both"/>
      </w:pPr>
      <w:r>
        <w:t xml:space="preserve">2. Vai tiesiski ir iespējama izmaksātā atbalsta pilnīga vai daļēja atgūšana? </w:t>
      </w:r>
    </w:p>
    <w:p w14:paraId="1E4FD3E9" w14:textId="79B54CCE" w:rsidR="001F6283" w:rsidRDefault="001F6283" w:rsidP="001F6283">
      <w:pPr>
        <w:ind w:firstLine="720"/>
        <w:jc w:val="both"/>
      </w:pPr>
      <w:r>
        <w:t>Ja atbilde ir apstiprinoša, tad izvērtējumā iekļaut:</w:t>
      </w:r>
    </w:p>
    <w:p w14:paraId="77816423" w14:textId="5D78709F" w:rsidR="001F6283" w:rsidRDefault="003523CF" w:rsidP="001F6283">
      <w:pPr>
        <w:ind w:firstLine="720"/>
        <w:jc w:val="both"/>
      </w:pPr>
      <w:r>
        <w:t>-</w:t>
      </w:r>
      <w:r w:rsidR="001F6283">
        <w:t xml:space="preserve"> tiesisko instrumentu izvērtējumu izmaksātā atbalsta pilnīgai vai daļējai atgūšanai;</w:t>
      </w:r>
    </w:p>
    <w:p w14:paraId="39EB9265" w14:textId="5D24930F" w:rsidR="001F6283" w:rsidRDefault="003523CF" w:rsidP="001F6283">
      <w:pPr>
        <w:ind w:firstLine="720"/>
        <w:jc w:val="both"/>
      </w:pPr>
      <w:r>
        <w:t xml:space="preserve">- </w:t>
      </w:r>
      <w:r w:rsidR="001F6283">
        <w:t>izvērtējumu par tiesvedības riskiem atbalsta pilnīgas vai daļējas atgūšanas gadījumā, iekļaujot gan šādas atgūšanas atbilstību starptautiskiem līgumiem, ar kuriem tiek aizsargāti ieguldījumi Latvijā, gan atbilstību Satversmei. Izvērtējumā jāiekļauj arī ārvalstu tiesu prakse līdzīgās lietās.”</w:t>
      </w:r>
    </w:p>
    <w:p w14:paraId="1D5BF3F3" w14:textId="2C8CD2BA" w:rsidR="001F6283" w:rsidRDefault="001F6283" w:rsidP="001F6283">
      <w:pPr>
        <w:ind w:firstLine="720"/>
        <w:jc w:val="both"/>
      </w:pPr>
      <w:r>
        <w:t>3. Vai tiesiski ir iespējama atbalsta pārtraukšana ar 2019.gada 31.martu? Ja atbilde ir apstiprinoša, tad iekļaut izvērtējumu par šāda risinājuma atbilstību Satversmei, kā arī atbilstību starptautiskiem līgumiem, ar kuriem tiek aizsargāti ieguldījumi Latvijā. Izvērtējumā jāiekļauj arī ārvalstu tiesu prakse līdzīgās lietās.”</w:t>
      </w:r>
    </w:p>
    <w:p w14:paraId="0094BFE8" w14:textId="5F2A93FE" w:rsidR="001F6283" w:rsidRDefault="001F6283" w:rsidP="001F6283">
      <w:pPr>
        <w:ind w:firstLine="720"/>
        <w:jc w:val="both"/>
      </w:pPr>
      <w:r>
        <w:t>Izvērtējumā iekļautos secinājumus pamato ar normatīvo aktu un tiesu prakses analīzi.</w:t>
      </w:r>
    </w:p>
    <w:p w14:paraId="4E5210FA" w14:textId="717C1BB3" w:rsidR="001F6283" w:rsidRDefault="003523CF" w:rsidP="00DB1010">
      <w:pPr>
        <w:ind w:firstLine="720"/>
        <w:jc w:val="both"/>
      </w:pPr>
      <w:r>
        <w:t>Ekonomikas ministrija 2019.gada 18.aprīlī ar pieņemšanas-nodošanas aktu ir pieņēmusi ZAB KPMG veikto izvērtējumu.</w:t>
      </w:r>
    </w:p>
    <w:p w14:paraId="32F1FEE5" w14:textId="77777777" w:rsidR="003523CF" w:rsidRDefault="003523CF" w:rsidP="00DB1010">
      <w:pPr>
        <w:ind w:firstLine="720"/>
        <w:jc w:val="both"/>
      </w:pPr>
    </w:p>
    <w:p w14:paraId="787D65B6" w14:textId="7DB3E51C" w:rsidR="001F6283" w:rsidRDefault="001F6283" w:rsidP="00DB1010">
      <w:pPr>
        <w:ind w:firstLine="720"/>
        <w:jc w:val="both"/>
      </w:pPr>
    </w:p>
    <w:p w14:paraId="796955E2" w14:textId="38D574BC" w:rsidR="001F6283" w:rsidRPr="000E5986" w:rsidRDefault="003523CF" w:rsidP="000E5986">
      <w:pPr>
        <w:pStyle w:val="ListParagraph"/>
        <w:numPr>
          <w:ilvl w:val="0"/>
          <w:numId w:val="19"/>
        </w:numPr>
        <w:jc w:val="center"/>
        <w:rPr>
          <w:b/>
        </w:rPr>
      </w:pPr>
      <w:r w:rsidRPr="000E5986">
        <w:rPr>
          <w:b/>
        </w:rPr>
        <w:t>Secinājumi</w:t>
      </w:r>
    </w:p>
    <w:p w14:paraId="0AD55BE7" w14:textId="77777777" w:rsidR="001F6283" w:rsidRDefault="001F6283" w:rsidP="00DB1010">
      <w:pPr>
        <w:ind w:firstLine="720"/>
        <w:jc w:val="both"/>
      </w:pPr>
    </w:p>
    <w:p w14:paraId="0B7D3E80" w14:textId="31EE0E93" w:rsidR="001F6283" w:rsidRDefault="003523CF" w:rsidP="00DB1010">
      <w:pPr>
        <w:ind w:firstLine="720"/>
        <w:jc w:val="both"/>
      </w:pPr>
      <w:r>
        <w:t>ZAB KPMG izvērtējumā</w:t>
      </w:r>
      <w:r w:rsidR="00EC6093">
        <w:t xml:space="preserve"> ir izdarījis turpmāk minētos secinājumus:</w:t>
      </w:r>
    </w:p>
    <w:p w14:paraId="14B1F6DF" w14:textId="4A3BB6A6" w:rsidR="00EC6093" w:rsidRDefault="00EC6093" w:rsidP="00DB1010">
      <w:pPr>
        <w:ind w:firstLine="720"/>
        <w:jc w:val="both"/>
      </w:pPr>
    </w:p>
    <w:p w14:paraId="681A3E6B" w14:textId="0E7F5633" w:rsidR="00EC6093" w:rsidRPr="000A1E12" w:rsidRDefault="00EC6093" w:rsidP="00EB7697">
      <w:pPr>
        <w:pStyle w:val="ListParagraph"/>
        <w:numPr>
          <w:ilvl w:val="0"/>
          <w:numId w:val="16"/>
        </w:numPr>
        <w:tabs>
          <w:tab w:val="left" w:pos="1134"/>
        </w:tabs>
        <w:ind w:left="0" w:firstLine="0"/>
        <w:jc w:val="both"/>
        <w:rPr>
          <w:i/>
        </w:rPr>
      </w:pPr>
      <w:r w:rsidRPr="000A1E12">
        <w:rPr>
          <w:i/>
        </w:rPr>
        <w:lastRenderedPageBreak/>
        <w:t>Vai atbalsta piešķiršana elektroenerģijas ražotājiem valsts atbalsta shēmas ietvaros atjaunojamo energoresursu enerģijas un koģenerācijas ražošanai (turpmāk – atbalsta shēma) ir uzskatāma par atbilstošu Eiropas Savienības normatīvo aktu prasībām un likumīgu, ņemot vērā saskaņojumu ar Eiropas Komisiju 2017.gada 24.aprīlī?</w:t>
      </w:r>
    </w:p>
    <w:p w14:paraId="79DB4267" w14:textId="77777777" w:rsidR="00EC6093" w:rsidRPr="000A1E12" w:rsidRDefault="00EC6093" w:rsidP="00DB1010">
      <w:pPr>
        <w:ind w:firstLine="720"/>
        <w:jc w:val="both"/>
      </w:pPr>
    </w:p>
    <w:p w14:paraId="6F01F5BC" w14:textId="632A6A61" w:rsidR="00EC6093" w:rsidRPr="000A1E12" w:rsidRDefault="000A1E12" w:rsidP="00EB7697">
      <w:pPr>
        <w:pStyle w:val="ListParagraph"/>
        <w:numPr>
          <w:ilvl w:val="0"/>
          <w:numId w:val="17"/>
        </w:numPr>
        <w:ind w:left="0" w:firstLine="709"/>
        <w:jc w:val="both"/>
      </w:pPr>
      <w:r>
        <w:t>ZAB KPMG secināja</w:t>
      </w:r>
      <w:r w:rsidR="00EC6093" w:rsidRPr="000A1E12">
        <w:t xml:space="preserve">, ka atbalsts, kas piešķirts </w:t>
      </w:r>
      <w:r>
        <w:t xml:space="preserve">elektroenerģijas ražošanai no atjaunojamajiem energoresursiem un koģenerācijā, kas tika sākotnēji īstenots saskaņā ar Enerģētikas likumu, un turpinājās saskaņā ar Elektroenerģijas tirgus likuma pārejas noteikumu 52.punktu </w:t>
      </w:r>
      <w:r w:rsidR="00EC6093" w:rsidRPr="000A1E12">
        <w:t xml:space="preserve">pirms elektroenerģijas tirgus liberalizācijas 2007.gada 1.jūlijā </w:t>
      </w:r>
      <w:r>
        <w:t xml:space="preserve">(turpmāk – Sākotnējā valsts atbalsta programma) </w:t>
      </w:r>
      <w:r w:rsidR="00EC6093" w:rsidRPr="000A1E12">
        <w:t xml:space="preserve">nav uzskatāms par atbalstu </w:t>
      </w:r>
      <w:r>
        <w:t>Eiropas Savienības</w:t>
      </w:r>
      <w:r w:rsidR="00EC6093" w:rsidRPr="000A1E12">
        <w:t xml:space="preserve"> tiesību normu izpratnē, tāpēc par to nebija jāpaziņo</w:t>
      </w:r>
      <w:r>
        <w:t xml:space="preserve"> Eiropas</w:t>
      </w:r>
      <w:r w:rsidR="00EC6093" w:rsidRPr="000A1E12">
        <w:t xml:space="preserve"> Komisijai.</w:t>
      </w:r>
    </w:p>
    <w:p w14:paraId="393D12AD" w14:textId="0BFEC070" w:rsidR="00EC6093" w:rsidRPr="000A1E12" w:rsidRDefault="00EC6093" w:rsidP="00EC6093">
      <w:pPr>
        <w:jc w:val="both"/>
      </w:pPr>
      <w:r w:rsidRPr="000A1E12">
        <w:t xml:space="preserve">Lai arī Sākotnējā valsts atbalsta programma turpināja pastāvēt arī pēc elektroenerģijas tirgus liberalizācijas 2007.gada 1.jūlijā, faktiski jaunas tiesības uz šo atbalstu netika piešķirtas, tāpēc par to nebija jāpaziņo </w:t>
      </w:r>
      <w:r w:rsidR="000773D7">
        <w:t xml:space="preserve">Eiropas </w:t>
      </w:r>
      <w:r w:rsidRPr="000A1E12">
        <w:t>Komisijai.</w:t>
      </w:r>
    </w:p>
    <w:p w14:paraId="7702478B" w14:textId="44F594E5" w:rsidR="00EC6093" w:rsidRDefault="00EC6093" w:rsidP="00EC6093">
      <w:pPr>
        <w:jc w:val="both"/>
      </w:pPr>
      <w:r w:rsidRPr="000A1E12">
        <w:t xml:space="preserve">Par izmaiņām Sākotnējā atbalsta programmā, kas tika veiktas ar 2014.gada 17.decembra grozījumiem Elektroenerģijas tirgus likumā, nebija jāpaziņo </w:t>
      </w:r>
      <w:r w:rsidR="000773D7">
        <w:t xml:space="preserve">Eiropas </w:t>
      </w:r>
      <w:r w:rsidRPr="000A1E12">
        <w:t>Komisijai, jo ar izmaiņām netika piešķirts jauns atbalsts, netika veiktas būtiskas izmaiņas Sākotnējā valsts atbalsta programmas nosacījumos, kā arī izmaiņas neradīja palielinājumu sākotnējā budžeta summai.</w:t>
      </w:r>
    </w:p>
    <w:p w14:paraId="452D1E04" w14:textId="77777777" w:rsidR="00657126" w:rsidRPr="000A1E12" w:rsidRDefault="00657126" w:rsidP="00EC6093">
      <w:pPr>
        <w:jc w:val="both"/>
      </w:pPr>
    </w:p>
    <w:p w14:paraId="2D7F9163" w14:textId="04C6681B" w:rsidR="00EC6093" w:rsidRPr="000A1E12" w:rsidRDefault="00EC6093" w:rsidP="00EB7697">
      <w:pPr>
        <w:pStyle w:val="ListParagraph"/>
        <w:numPr>
          <w:ilvl w:val="0"/>
          <w:numId w:val="17"/>
        </w:numPr>
        <w:ind w:left="0" w:firstLine="709"/>
        <w:jc w:val="both"/>
      </w:pPr>
      <w:r w:rsidRPr="000A1E12">
        <w:t>Valsts atbalsta programma</w:t>
      </w:r>
      <w:r w:rsidR="00657126">
        <w:t xml:space="preserve"> elektroenerģijas ražošanai no atjaunojamajiem energoresursiem un koģenerācijā, kas tiek īstenota Latvijas Republikā un kas attiecas uz elektroenerģijas obligāto iepirkumu un garantēto maksu par elektrostacijā uzstādīto elektrisko jaudu (turpmāk – Valsts atbalsta programma), </w:t>
      </w:r>
      <w:r w:rsidRPr="000A1E12">
        <w:t>kas pastāvēja no elektroenerģijas tirgus liberalizācijas 2007.gada 1.jūlijā līdz E</w:t>
      </w:r>
      <w:r w:rsidR="00657126">
        <w:t xml:space="preserve">iropas </w:t>
      </w:r>
      <w:r w:rsidRPr="000A1E12">
        <w:t>K</w:t>
      </w:r>
      <w:r w:rsidR="00657126">
        <w:t>omisijas</w:t>
      </w:r>
      <w:r w:rsidRPr="000A1E12">
        <w:t xml:space="preserve"> </w:t>
      </w:r>
      <w:r w:rsidR="00657126">
        <w:t>2017.gada 24.aprīļa l</w:t>
      </w:r>
      <w:r w:rsidRPr="000A1E12">
        <w:t xml:space="preserve">ēmumam </w:t>
      </w:r>
      <w:r w:rsidR="00657126">
        <w:t xml:space="preserve">valsts atbalsta lietā </w:t>
      </w:r>
      <w:r w:rsidR="00657126" w:rsidRPr="00657126">
        <w:t>SA.43140</w:t>
      </w:r>
      <w:r w:rsidR="00657126">
        <w:t xml:space="preserve"> (turpmāk </w:t>
      </w:r>
      <w:r w:rsidR="000773D7">
        <w:t xml:space="preserve">- </w:t>
      </w:r>
      <w:r w:rsidR="00657126">
        <w:t>Eiropas Komisijas Lēmums),</w:t>
      </w:r>
      <w:r w:rsidRPr="000A1E12">
        <w:t xml:space="preserve"> bija nelikumīga Līguma par E</w:t>
      </w:r>
      <w:r w:rsidR="000773D7">
        <w:t xml:space="preserve">iropas </w:t>
      </w:r>
      <w:r w:rsidRPr="000A1E12">
        <w:t>S</w:t>
      </w:r>
      <w:r w:rsidR="000773D7">
        <w:t>avienības</w:t>
      </w:r>
      <w:r w:rsidRPr="000A1E12">
        <w:t xml:space="preserve"> darbību 108.panta 3.punkta un </w:t>
      </w:r>
      <w:r w:rsidR="000773D7" w:rsidRPr="000773D7">
        <w:t>Padomes regula</w:t>
      </w:r>
      <w:r w:rsidR="000773D7">
        <w:t>s</w:t>
      </w:r>
      <w:r w:rsidR="000773D7" w:rsidRPr="000773D7">
        <w:t xml:space="preserve"> (ES) Nr.2015/1589 (2015.gada 13.jūlijs), ar ko nosaka sīki izstrādātus noteikumus Līguma par Eiropas Savienības darbību 108.panta piemērošanai</w:t>
      </w:r>
      <w:r w:rsidRPr="000A1E12">
        <w:t xml:space="preserve"> </w:t>
      </w:r>
      <w:r w:rsidR="000773D7">
        <w:t xml:space="preserve">(turpmāk – Regula 1589) </w:t>
      </w:r>
      <w:r w:rsidRPr="000A1E12">
        <w:t>1.panta f) punkta izpratnē, taču tā ir atbilstoša E</w:t>
      </w:r>
      <w:r w:rsidR="000773D7">
        <w:t>iropas Savienības</w:t>
      </w:r>
      <w:r w:rsidRPr="000A1E12">
        <w:t xml:space="preserve"> normatīvo aktu prasībām – saderīga ar E</w:t>
      </w:r>
      <w:r w:rsidR="000773D7">
        <w:t>iropas Savienības</w:t>
      </w:r>
      <w:r w:rsidRPr="000A1E12">
        <w:t xml:space="preserve"> iekšējo tirgu.</w:t>
      </w:r>
    </w:p>
    <w:p w14:paraId="405347B1" w14:textId="77777777" w:rsidR="00657126" w:rsidRDefault="00657126" w:rsidP="00EC6093">
      <w:pPr>
        <w:jc w:val="both"/>
      </w:pPr>
    </w:p>
    <w:p w14:paraId="7EFA6119" w14:textId="281922E6" w:rsidR="00EC6093" w:rsidRPr="000A1E12" w:rsidRDefault="00EC6093" w:rsidP="00EB7697">
      <w:pPr>
        <w:pStyle w:val="ListParagraph"/>
        <w:numPr>
          <w:ilvl w:val="0"/>
          <w:numId w:val="17"/>
        </w:numPr>
        <w:ind w:left="0" w:firstLine="709"/>
        <w:jc w:val="both"/>
      </w:pPr>
      <w:r w:rsidRPr="000A1E12">
        <w:t>Lai arī TEC-2 koģenerācijas stacijai atbalsts tika sniegts Valsts atbalsta programmas ietvaros, E</w:t>
      </w:r>
      <w:r w:rsidR="000773D7">
        <w:t>iropas Komisijas</w:t>
      </w:r>
      <w:r w:rsidRPr="000A1E12">
        <w:t xml:space="preserve"> Lēmumā ir norādīts, ka TEC-2 koģenerācijas stacijai piešķirtais valsts atbalsts nav daļa no E</w:t>
      </w:r>
      <w:r w:rsidR="000773D7">
        <w:t>iropas Komisijas</w:t>
      </w:r>
      <w:r w:rsidRPr="000A1E12">
        <w:t xml:space="preserve"> Lēmuma un Latvija par to paziņos atsevišķi. Saskaņā ar </w:t>
      </w:r>
      <w:r w:rsidR="000773D7">
        <w:t>Ekonomikas m</w:t>
      </w:r>
      <w:r w:rsidRPr="000A1E12">
        <w:t>inistrijas sniegto informāciju ir iesniegta priekš-notifikācija (</w:t>
      </w:r>
      <w:proofErr w:type="spellStart"/>
      <w:r w:rsidRPr="000A1E12">
        <w:t>pre-notification).</w:t>
      </w:r>
      <w:proofErr w:type="spellEnd"/>
      <w:r w:rsidRPr="000A1E12">
        <w:t xml:space="preserve"> Šajā sakarā </w:t>
      </w:r>
      <w:r w:rsidR="000773D7">
        <w:t xml:space="preserve">Eiropas </w:t>
      </w:r>
      <w:r w:rsidRPr="000A1E12">
        <w:t>Komisija nav pieņēmusi kādu no Regulas 1589 13.pantā norādītajiem lēmumiem – pārtraukt atbalsta izmaksāšanu un atgūt atbalsta izmaksāto atbalstu TEC-2.</w:t>
      </w:r>
    </w:p>
    <w:p w14:paraId="10EB79B6" w14:textId="2183A6E3" w:rsidR="00F84382" w:rsidRPr="000A1E12" w:rsidRDefault="00F84382" w:rsidP="00DB1010">
      <w:pPr>
        <w:ind w:firstLine="720"/>
        <w:jc w:val="both"/>
      </w:pPr>
    </w:p>
    <w:p w14:paraId="6B8BF6B9" w14:textId="645E1266" w:rsidR="00EC6093" w:rsidRPr="000A1E12" w:rsidRDefault="00EC6093" w:rsidP="007C631B">
      <w:pPr>
        <w:pStyle w:val="ListParagraph"/>
        <w:numPr>
          <w:ilvl w:val="0"/>
          <w:numId w:val="16"/>
        </w:numPr>
        <w:ind w:left="709" w:hanging="709"/>
        <w:jc w:val="both"/>
        <w:rPr>
          <w:i/>
        </w:rPr>
      </w:pPr>
      <w:r w:rsidRPr="000A1E12">
        <w:rPr>
          <w:i/>
        </w:rPr>
        <w:t xml:space="preserve">Vai tiesiski ir iespējama izmaksātā atbalsta pilnīga vai daļēja atgūšana? </w:t>
      </w:r>
    </w:p>
    <w:p w14:paraId="7384FA2F" w14:textId="77777777" w:rsidR="00EC6093" w:rsidRPr="000A1E12" w:rsidRDefault="00EC6093" w:rsidP="00EC6093">
      <w:pPr>
        <w:ind w:firstLine="720"/>
        <w:jc w:val="both"/>
        <w:rPr>
          <w:i/>
        </w:rPr>
      </w:pPr>
      <w:r w:rsidRPr="000A1E12">
        <w:rPr>
          <w:i/>
        </w:rPr>
        <w:t>Ja atbilde ir apstiprinoša, tad izvērtējumā iekļaut:</w:t>
      </w:r>
    </w:p>
    <w:p w14:paraId="4F7EDB54" w14:textId="77777777" w:rsidR="00EC6093" w:rsidRPr="000A1E12" w:rsidRDefault="00EC6093" w:rsidP="00EC6093">
      <w:pPr>
        <w:ind w:firstLine="720"/>
        <w:jc w:val="both"/>
        <w:rPr>
          <w:i/>
        </w:rPr>
      </w:pPr>
      <w:r w:rsidRPr="000A1E12">
        <w:rPr>
          <w:i/>
        </w:rPr>
        <w:t>- tiesisko instrumentu izvērtējumu izmaksātā atbalsta pilnīgai vai daļējai atgūšanai;</w:t>
      </w:r>
    </w:p>
    <w:p w14:paraId="50B101E7" w14:textId="77777777" w:rsidR="00EC6093" w:rsidRPr="000A1E12" w:rsidRDefault="00EC6093" w:rsidP="00EC6093">
      <w:pPr>
        <w:ind w:firstLine="720"/>
        <w:jc w:val="both"/>
        <w:rPr>
          <w:i/>
        </w:rPr>
      </w:pPr>
      <w:r w:rsidRPr="000A1E12">
        <w:rPr>
          <w:i/>
        </w:rPr>
        <w:t>- izvērtējumu par tiesvedības riskiem atbalsta pilnīgas vai daļējas atgūšanas gadījumā, iekļaujot gan šādas atgūšanas atbilstību starptautiskiem līgumiem, ar kuriem tiek aizsargāti ieguldījumi Latvijā, gan atbilstību Satversmei. Izvērtējumā jāiekļauj arī ārvalstu tiesu prakse līdzīgās lietās.”</w:t>
      </w:r>
    </w:p>
    <w:p w14:paraId="52262FA4" w14:textId="77777777" w:rsidR="00EC6093" w:rsidRPr="000A1E12" w:rsidRDefault="00EC6093" w:rsidP="00DB1010">
      <w:pPr>
        <w:ind w:firstLine="720"/>
        <w:jc w:val="both"/>
      </w:pPr>
    </w:p>
    <w:p w14:paraId="27B46035" w14:textId="7BC8D8CA" w:rsidR="00EC6093" w:rsidRPr="000A1E12" w:rsidRDefault="00EB7697" w:rsidP="00EB7697">
      <w:pPr>
        <w:pStyle w:val="ListParagraph"/>
        <w:numPr>
          <w:ilvl w:val="0"/>
          <w:numId w:val="18"/>
        </w:numPr>
        <w:tabs>
          <w:tab w:val="left" w:pos="1134"/>
        </w:tabs>
        <w:ind w:left="0" w:firstLine="709"/>
        <w:jc w:val="both"/>
      </w:pPr>
      <w:r>
        <w:t xml:space="preserve">ZAB KPMG </w:t>
      </w:r>
      <w:r w:rsidR="00EC6093" w:rsidRPr="000A1E12">
        <w:t>secinā</w:t>
      </w:r>
      <w:r>
        <w:t>ja</w:t>
      </w:r>
      <w:r w:rsidR="00EC6093" w:rsidRPr="000A1E12">
        <w:t xml:space="preserve">, ka nelikumīga valsts atbalsta atgūšana (pamatojoties uz </w:t>
      </w:r>
      <w:r>
        <w:t xml:space="preserve">Eiropas </w:t>
      </w:r>
      <w:r w:rsidR="00EC6093" w:rsidRPr="000A1E12">
        <w:t>Komisijas “atgūšanas rīkojumu”) ir iespējama un tiesiska līdz brīdim, kad</w:t>
      </w:r>
      <w:r w:rsidR="000A1E12">
        <w:t xml:space="preserve"> </w:t>
      </w:r>
      <w:r>
        <w:t xml:space="preserve">Eiropas </w:t>
      </w:r>
      <w:r w:rsidR="00EC6093" w:rsidRPr="000A1E12">
        <w:lastRenderedPageBreak/>
        <w:t>Komisija pieņem lēmumu, ar kuru Valsts atbalsta programmu atzīst par saderīgu ar Līguma par ES darbību 107.pantu (šajā gadījumā EK Lēmums).</w:t>
      </w:r>
    </w:p>
    <w:p w14:paraId="4DDB9BCF" w14:textId="4BDB0B53" w:rsidR="00EC6093" w:rsidRPr="000A1E12" w:rsidRDefault="00EC6093" w:rsidP="00EB7697">
      <w:pPr>
        <w:tabs>
          <w:tab w:val="left" w:pos="1134"/>
        </w:tabs>
        <w:ind w:firstLine="720"/>
        <w:jc w:val="both"/>
      </w:pPr>
      <w:r w:rsidRPr="000A1E12">
        <w:t xml:space="preserve">Savukārt </w:t>
      </w:r>
      <w:r w:rsidR="00EB7697">
        <w:t>– Sākotnējā valsts atbalsta programmas</w:t>
      </w:r>
      <w:r w:rsidRPr="000A1E12">
        <w:t xml:space="preserve"> gadījumā, ņemot vērā, ka par šiem pasākumiem nebija jāpaziņo </w:t>
      </w:r>
      <w:r w:rsidR="00EB7697">
        <w:t xml:space="preserve">Eiropas </w:t>
      </w:r>
      <w:r w:rsidRPr="000A1E12">
        <w:t xml:space="preserve">Komisijai, veiktie valsts atbalsta pasākumi nav nelikumīgi un attiecīgi piešķirtais atbalsts </w:t>
      </w:r>
      <w:r w:rsidR="00EB7697" w:rsidRPr="00EB7697">
        <w:t>– Sākotnējā valsts atbalsta programma</w:t>
      </w:r>
      <w:r w:rsidR="00EB7697">
        <w:t>s</w:t>
      </w:r>
      <w:r w:rsidRPr="000A1E12">
        <w:t xml:space="preserve"> ietvaros nav jāatgūst.</w:t>
      </w:r>
    </w:p>
    <w:p w14:paraId="390688AB" w14:textId="77777777" w:rsidR="00EB7697" w:rsidRDefault="00EB7697" w:rsidP="00EB7697">
      <w:pPr>
        <w:tabs>
          <w:tab w:val="left" w:pos="1134"/>
        </w:tabs>
        <w:ind w:firstLine="720"/>
        <w:jc w:val="both"/>
      </w:pPr>
    </w:p>
    <w:p w14:paraId="4ADB2AEB" w14:textId="584AE168" w:rsidR="00EC6093" w:rsidRPr="000A1E12" w:rsidRDefault="00EB7697" w:rsidP="00EB7697">
      <w:pPr>
        <w:tabs>
          <w:tab w:val="left" w:pos="1134"/>
        </w:tabs>
        <w:ind w:firstLine="709"/>
        <w:jc w:val="both"/>
      </w:pPr>
      <w:r>
        <w:t xml:space="preserve">2. </w:t>
      </w:r>
      <w:r>
        <w:tab/>
      </w:r>
      <w:r w:rsidR="00EC6093" w:rsidRPr="000A1E12">
        <w:t xml:space="preserve">Savukārt Valsts atbalsta programmas gadījumā tika atzīts, ka atbalsts ir saderīgs ar iekšējo tirgu un attiecīgi atgūšanas rīkojums netika pieņemts. Tai pat laikā arī Latvijas nacionālajās tiesību normās nav nostiprināts nepārprotams pienākums atgūt valsts atbalstu (ieskaitot procentus) gadījumos, kad </w:t>
      </w:r>
      <w:r>
        <w:t xml:space="preserve">Eiropas </w:t>
      </w:r>
      <w:r w:rsidR="00EC6093" w:rsidRPr="000A1E12">
        <w:t>Komisija ir pieņēmusi pozitīvu lēmumu. Tādejādi var secināt, ka šobrīd nepastāv tiesisks pamats atgūt Valsts atbalsta programmas ietvaros piešķirto atbalstu, tai skaitā procentus. Taču, gadījumā, ja atbalsta saņēmēju konkurenti vai citas trešās personas, kuras ietekmējis nelikumīgs atbalsts, vērstos valsts tiesā, tiesai, izvērtējot atbalsta negatīvo ietekmi uz konkrēto pieteicēju, būtu pienākums lemt par piemērotiem pasākumiem, lai novērstu nelikumības sekas, ja šādas sekas tiesa ir konstatējusi, tai skaitā piespriest atbalsta saņēmējam procentu maksājumu par visu nelikumības periodu vai arī apmierināt konkurentu prasības par nodarītajiem zaudējumiem.</w:t>
      </w:r>
    </w:p>
    <w:p w14:paraId="0635C6AB" w14:textId="4E924A9B" w:rsidR="00EC6093" w:rsidRPr="000A1E12" w:rsidRDefault="00EC6093" w:rsidP="00DB1010">
      <w:pPr>
        <w:ind w:firstLine="720"/>
        <w:jc w:val="both"/>
      </w:pPr>
    </w:p>
    <w:p w14:paraId="552E1312" w14:textId="65F2D958" w:rsidR="00EC6093" w:rsidRPr="000A1E12" w:rsidRDefault="00EC6093" w:rsidP="007C631B">
      <w:pPr>
        <w:pStyle w:val="ListParagraph"/>
        <w:numPr>
          <w:ilvl w:val="0"/>
          <w:numId w:val="16"/>
        </w:numPr>
        <w:ind w:left="0" w:firstLine="720"/>
        <w:jc w:val="both"/>
        <w:rPr>
          <w:i/>
        </w:rPr>
      </w:pPr>
      <w:r w:rsidRPr="000A1E12">
        <w:rPr>
          <w:i/>
        </w:rPr>
        <w:t>Vai tiesiski ir iespējama atbalsta pārtraukšana ar 2019.gada 31.martu? Ja atbilde ir apstiprinoša, tad iekļaut izvērtējumu par šāda risinājuma atbilstību Satversmei, kā arī atbilstību starptautiskiem līgumiem, ar kuriem tiek aizsargāti ieguldījumi Latvijā. Izvērtējumā jāiekļauj arī ārvalstu tiesu prakse līdzīgās lietās.</w:t>
      </w:r>
    </w:p>
    <w:p w14:paraId="3088EDDF" w14:textId="77777777" w:rsidR="007C631B" w:rsidRPr="000A1E12" w:rsidRDefault="007C631B" w:rsidP="007C631B">
      <w:pPr>
        <w:jc w:val="both"/>
        <w:rPr>
          <w:i/>
        </w:rPr>
      </w:pPr>
    </w:p>
    <w:p w14:paraId="7352D893" w14:textId="2DF1775D" w:rsidR="00EC6093" w:rsidRPr="000A1E12" w:rsidRDefault="00EB7697" w:rsidP="00DB1010">
      <w:pPr>
        <w:ind w:firstLine="720"/>
        <w:jc w:val="both"/>
      </w:pPr>
      <w:r>
        <w:t xml:space="preserve">ZAB KPMG </w:t>
      </w:r>
      <w:r w:rsidR="00EC6093" w:rsidRPr="000A1E12">
        <w:t>secinā</w:t>
      </w:r>
      <w:r>
        <w:t>ja</w:t>
      </w:r>
      <w:r w:rsidR="00EC6093" w:rsidRPr="000A1E12">
        <w:t>, ka Sākotnējās valsts atbalsta programmas un Valsts atbalsta programmas pārtraukšana 2019.gada 31.martā, neparedzot valsts atbalsta saņēmējiem taisnīgu kompensāciju vai ja netiek konstatēti tādi būtiski apstākļi, kas ir par pamatu šādu risinājuma ieviešanai, neatbilst Satversmei un no divpusējajiem līgumiem izrietošo trešo valstu investoru tiesībām.</w:t>
      </w:r>
    </w:p>
    <w:p w14:paraId="049F6F56" w14:textId="737EED89" w:rsidR="00EC6093" w:rsidRDefault="00EC6093" w:rsidP="00DB1010">
      <w:pPr>
        <w:ind w:firstLine="720"/>
        <w:jc w:val="both"/>
      </w:pPr>
    </w:p>
    <w:p w14:paraId="7A918C95" w14:textId="27B17296" w:rsidR="007C631B" w:rsidRPr="000E5986" w:rsidRDefault="007C631B" w:rsidP="000E5986">
      <w:pPr>
        <w:pStyle w:val="ListParagraph"/>
        <w:numPr>
          <w:ilvl w:val="0"/>
          <w:numId w:val="19"/>
        </w:numPr>
        <w:jc w:val="center"/>
        <w:rPr>
          <w:b/>
          <w:kern w:val="1"/>
          <w:szCs w:val="28"/>
        </w:rPr>
      </w:pPr>
      <w:r w:rsidRPr="000E5986">
        <w:rPr>
          <w:b/>
          <w:kern w:val="1"/>
          <w:szCs w:val="28"/>
        </w:rPr>
        <w:t>Priekšlikums turpmākajai rīcībai</w:t>
      </w:r>
    </w:p>
    <w:p w14:paraId="1D150C4E" w14:textId="4B85C7AE" w:rsidR="007C631B" w:rsidRDefault="007C631B" w:rsidP="007C631B">
      <w:pPr>
        <w:jc w:val="both"/>
        <w:rPr>
          <w:b/>
          <w:kern w:val="1"/>
          <w:szCs w:val="28"/>
        </w:rPr>
      </w:pPr>
    </w:p>
    <w:p w14:paraId="2EFB876A" w14:textId="1854F256" w:rsidR="00116A5C" w:rsidRDefault="00EB7697" w:rsidP="000E5986">
      <w:pPr>
        <w:ind w:firstLine="360"/>
        <w:jc w:val="both"/>
      </w:pPr>
      <w:r>
        <w:t xml:space="preserve">Ņemot vērā ZAB KPMG konstatēto, Finanšu ministrijai </w:t>
      </w:r>
      <w:r w:rsidR="00116A5C">
        <w:t>ir jāizvērtē, vai ir nepieciešam pilnveidot nacionālos normatīvos aktus, paredzot pienākumu</w:t>
      </w:r>
      <w:r w:rsidR="003F3E85">
        <w:t xml:space="preserve"> un tiesības</w:t>
      </w:r>
      <w:r w:rsidR="00116A5C">
        <w:t xml:space="preserve"> </w:t>
      </w:r>
      <w:r w:rsidR="003F3E85">
        <w:t xml:space="preserve">noteiktām valsts iestādēm </w:t>
      </w:r>
      <w:r w:rsidR="00116A5C">
        <w:t xml:space="preserve">atgūt </w:t>
      </w:r>
      <w:r w:rsidR="00DD78A6">
        <w:t xml:space="preserve">vai apturēt </w:t>
      </w:r>
      <w:r w:rsidR="00116A5C">
        <w:t>valsts atbalstu līdz tā saska</w:t>
      </w:r>
      <w:r w:rsidR="00AA6B47">
        <w:t>ņošanas brīdim ar Eiropas Komisiju</w:t>
      </w:r>
      <w:r w:rsidR="000E5986">
        <w:t>,</w:t>
      </w:r>
      <w:r w:rsidR="000E5986" w:rsidRPr="000E5986">
        <w:t xml:space="preserve"> </w:t>
      </w:r>
      <w:r w:rsidR="000E5986">
        <w:t>kā arī atgūstamo procentu aprēķināšanu</w:t>
      </w:r>
      <w:r w:rsidR="00AA6B47">
        <w:t>.</w:t>
      </w:r>
    </w:p>
    <w:sectPr w:rsidR="00116A5C" w:rsidSect="0094376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16CB5" w14:textId="77777777" w:rsidR="00530F29" w:rsidRDefault="00530F29" w:rsidP="00352E4B">
      <w:r>
        <w:separator/>
      </w:r>
    </w:p>
  </w:endnote>
  <w:endnote w:type="continuationSeparator" w:id="0">
    <w:p w14:paraId="53F25210" w14:textId="77777777" w:rsidR="00530F29" w:rsidRDefault="00530F29" w:rsidP="0035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71CB" w14:textId="77777777" w:rsidR="00A87DEF" w:rsidRDefault="00A87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5B31" w14:textId="569AB756" w:rsidR="008469F1" w:rsidRDefault="008469F1" w:rsidP="008469F1">
    <w:pPr>
      <w:jc w:val="center"/>
      <w:rPr>
        <w:b/>
        <w:szCs w:val="28"/>
      </w:rPr>
    </w:pPr>
    <w:bookmarkStart w:id="0" w:name="_GoBack"/>
    <w:bookmarkEnd w:id="0"/>
    <w:r w:rsidRPr="00A87DEF">
      <w:rPr>
        <w:b/>
        <w:strike/>
        <w:szCs w:val="28"/>
      </w:rPr>
      <w:t>IEROBEŽOTAS PIEEJAMĪBAS INFORMĀCIJA</w:t>
    </w:r>
    <w:r w:rsidR="00A87DEF">
      <w:rPr>
        <w:b/>
        <w:szCs w:val="28"/>
      </w:rPr>
      <w:t xml:space="preserve"> </w:t>
    </w:r>
    <w:proofErr w:type="gramStart"/>
    <w:r w:rsidR="00A87DEF">
      <w:rPr>
        <w:b/>
        <w:szCs w:val="28"/>
      </w:rPr>
      <w:t>NAV KLASIFICĒTS</w:t>
    </w:r>
    <w:proofErr w:type="gramEnd"/>
  </w:p>
  <w:p w14:paraId="599EB731" w14:textId="44137ED4" w:rsidR="00AA6B47" w:rsidRDefault="00AA6B47" w:rsidP="008469F1">
    <w:pPr>
      <w:pStyle w:val="Footer"/>
    </w:pPr>
    <w:r>
      <w:t>EMzin_180419_Atbalsts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CEEE2" w14:textId="44A67321" w:rsidR="0032065B" w:rsidRPr="008469F1" w:rsidRDefault="008469F1" w:rsidP="008469F1">
    <w:pPr>
      <w:jc w:val="center"/>
      <w:rPr>
        <w:b/>
        <w:szCs w:val="28"/>
      </w:rPr>
    </w:pPr>
    <w:r>
      <w:tab/>
    </w:r>
    <w:r w:rsidRPr="00A87DEF">
      <w:rPr>
        <w:b/>
        <w:strike/>
        <w:szCs w:val="28"/>
      </w:rPr>
      <w:t>IEROBEŽOTAS PIEEJAMĪBAS INFORMĀCIJA</w:t>
    </w:r>
    <w:proofErr w:type="gramStart"/>
    <w:r w:rsidR="00A87DEF">
      <w:rPr>
        <w:b/>
        <w:szCs w:val="28"/>
      </w:rPr>
      <w:t xml:space="preserve">  </w:t>
    </w:r>
    <w:proofErr w:type="gramEnd"/>
    <w:r w:rsidR="00A87DEF">
      <w:rPr>
        <w:b/>
        <w:szCs w:val="28"/>
      </w:rPr>
      <w:t>NAV KLASIFICĒTS</w:t>
    </w:r>
  </w:p>
  <w:p w14:paraId="1235D10F" w14:textId="3A4A300F" w:rsidR="00A80219" w:rsidRDefault="00AA6B47" w:rsidP="00AA6B47">
    <w:pPr>
      <w:pStyle w:val="Footer"/>
    </w:pPr>
    <w:r>
      <w:t>EMzin_180419_Atbalsts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C3226" w14:textId="77777777" w:rsidR="00530F29" w:rsidRDefault="00530F29" w:rsidP="00352E4B">
      <w:r>
        <w:separator/>
      </w:r>
    </w:p>
  </w:footnote>
  <w:footnote w:type="continuationSeparator" w:id="0">
    <w:p w14:paraId="124F4025" w14:textId="77777777" w:rsidR="00530F29" w:rsidRDefault="00530F29" w:rsidP="00352E4B">
      <w:r>
        <w:continuationSeparator/>
      </w:r>
    </w:p>
  </w:footnote>
  <w:footnote w:id="1">
    <w:p w14:paraId="1948A4AB" w14:textId="083984D2" w:rsidR="007A7B36" w:rsidRPr="00922362" w:rsidRDefault="007A7B36" w:rsidP="007A7B36">
      <w:pPr>
        <w:pStyle w:val="FootnoteText"/>
      </w:pPr>
      <w:r w:rsidRPr="00922362">
        <w:t xml:space="preserve">Deklasificēts saskaņā ar </w:t>
      </w:r>
      <w:r>
        <w:t>EM 18.04.2019. vēstules</w:t>
      </w:r>
      <w:r w:rsidRPr="00922362">
        <w:t xml:space="preserve"> </w:t>
      </w:r>
      <w:r>
        <w:t>Nr.</w:t>
      </w:r>
      <w:r w:rsidRPr="00922362">
        <w:t xml:space="preserve"> 3.3-1/2019/2198</w:t>
      </w:r>
      <w:proofErr w:type="gramStart"/>
      <w:r>
        <w:t xml:space="preserve">  </w:t>
      </w:r>
      <w:proofErr w:type="gramEnd"/>
      <w:r w:rsidRPr="00922362">
        <w:t>8.punktā minēto</w:t>
      </w:r>
    </w:p>
    <w:p w14:paraId="73C8A0C3" w14:textId="216D302E" w:rsidR="007A7B36" w:rsidRDefault="007A7B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7C35" w14:textId="77777777" w:rsidR="00A87DEF" w:rsidRDefault="00A87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661608"/>
      <w:docPartObj>
        <w:docPartGallery w:val="Page Numbers (Top of Page)"/>
        <w:docPartUnique/>
      </w:docPartObj>
    </w:sdtPr>
    <w:sdtEndPr>
      <w:rPr>
        <w:noProof/>
      </w:rPr>
    </w:sdtEndPr>
    <w:sdtContent>
      <w:p w14:paraId="0E68E66D" w14:textId="34B5E00A" w:rsidR="00A80219" w:rsidRDefault="00A80219">
        <w:pPr>
          <w:pStyle w:val="Header"/>
          <w:jc w:val="center"/>
        </w:pPr>
        <w:r>
          <w:fldChar w:fldCharType="begin"/>
        </w:r>
        <w:r>
          <w:instrText xml:space="preserve"> PAGE   \* MERGEFORMAT </w:instrText>
        </w:r>
        <w:r>
          <w:fldChar w:fldCharType="separate"/>
        </w:r>
        <w:r w:rsidR="00987052">
          <w:rPr>
            <w:noProof/>
          </w:rPr>
          <w:t>3</w:t>
        </w:r>
        <w:r>
          <w:rPr>
            <w:noProof/>
          </w:rPr>
          <w:fldChar w:fldCharType="end"/>
        </w:r>
      </w:p>
    </w:sdtContent>
  </w:sdt>
  <w:p w14:paraId="16E1BD62" w14:textId="6755CC53" w:rsidR="008469F1" w:rsidRDefault="008469F1" w:rsidP="008469F1">
    <w:pPr>
      <w:jc w:val="center"/>
      <w:rPr>
        <w:b/>
        <w:szCs w:val="28"/>
      </w:rPr>
    </w:pPr>
    <w:r w:rsidRPr="00A87DEF">
      <w:rPr>
        <w:b/>
        <w:strike/>
        <w:szCs w:val="28"/>
      </w:rPr>
      <w:t>IEROBEŽOTAS PIEEJAMĪBAS INFORMĀCIJA</w:t>
    </w:r>
    <w:proofErr w:type="gramStart"/>
    <w:r w:rsidR="00A87DEF">
      <w:rPr>
        <w:b/>
        <w:szCs w:val="28"/>
      </w:rPr>
      <w:t xml:space="preserve">  </w:t>
    </w:r>
    <w:proofErr w:type="gramEnd"/>
    <w:r w:rsidR="00A87DEF">
      <w:rPr>
        <w:b/>
        <w:szCs w:val="28"/>
      </w:rPr>
      <w:t>NAV KLASIFICĒTS</w:t>
    </w:r>
  </w:p>
  <w:p w14:paraId="695CA575" w14:textId="77777777" w:rsidR="00A80219" w:rsidRDefault="00A80219" w:rsidP="00352E4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180DC" w14:textId="6563DA5F" w:rsidR="008469F1" w:rsidRDefault="008469F1" w:rsidP="008469F1">
    <w:pPr>
      <w:jc w:val="center"/>
      <w:rPr>
        <w:b/>
        <w:szCs w:val="28"/>
      </w:rPr>
    </w:pPr>
    <w:r w:rsidRPr="00A87DEF">
      <w:rPr>
        <w:b/>
        <w:strike/>
        <w:szCs w:val="28"/>
      </w:rPr>
      <w:t>IEROBEŽOTAS PIEEJAMĪBAS INFORMĀCIJA</w:t>
    </w:r>
    <w:proofErr w:type="gramStart"/>
    <w:r w:rsidR="00A87DEF">
      <w:rPr>
        <w:b/>
        <w:szCs w:val="28"/>
      </w:rPr>
      <w:t xml:space="preserve">  </w:t>
    </w:r>
    <w:proofErr w:type="gramEnd"/>
    <w:r w:rsidR="00A87DEF">
      <w:rPr>
        <w:b/>
        <w:szCs w:val="28"/>
      </w:rPr>
      <w:t>NAV KLASIFICĒTS</w:t>
    </w:r>
  </w:p>
  <w:p w14:paraId="46BAB6FE" w14:textId="77777777" w:rsidR="008469F1" w:rsidRDefault="0084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22882B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653DF"/>
    <w:multiLevelType w:val="multilevel"/>
    <w:tmpl w:val="C164BAF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09F5310"/>
    <w:multiLevelType w:val="hybridMultilevel"/>
    <w:tmpl w:val="61149FE2"/>
    <w:lvl w:ilvl="0" w:tplc="0A4418B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0D31DF1"/>
    <w:multiLevelType w:val="hybridMultilevel"/>
    <w:tmpl w:val="DAFEDA6A"/>
    <w:lvl w:ilvl="0" w:tplc="55E0FE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4A0273"/>
    <w:multiLevelType w:val="multilevel"/>
    <w:tmpl w:val="C5085B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5331F3"/>
    <w:multiLevelType w:val="hybridMultilevel"/>
    <w:tmpl w:val="BC00EE78"/>
    <w:lvl w:ilvl="0" w:tplc="DDF8F4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C349E"/>
    <w:multiLevelType w:val="hybridMultilevel"/>
    <w:tmpl w:val="ADF8B9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11F0C57"/>
    <w:multiLevelType w:val="hybridMultilevel"/>
    <w:tmpl w:val="D3F060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1A0843"/>
    <w:multiLevelType w:val="hybridMultilevel"/>
    <w:tmpl w:val="6F20C1B6"/>
    <w:lvl w:ilvl="0" w:tplc="FA30B9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4A3380E"/>
    <w:multiLevelType w:val="hybridMultilevel"/>
    <w:tmpl w:val="08D4F000"/>
    <w:lvl w:ilvl="0" w:tplc="960AA8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B48163A"/>
    <w:multiLevelType w:val="hybridMultilevel"/>
    <w:tmpl w:val="21C83970"/>
    <w:lvl w:ilvl="0" w:tplc="34B8D8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CD64F65"/>
    <w:multiLevelType w:val="hybridMultilevel"/>
    <w:tmpl w:val="27509B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6A1F59"/>
    <w:multiLevelType w:val="hybridMultilevel"/>
    <w:tmpl w:val="1FD210F4"/>
    <w:lvl w:ilvl="0" w:tplc="014C2E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4C110CC"/>
    <w:multiLevelType w:val="multilevel"/>
    <w:tmpl w:val="43D6DB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D3F4B20"/>
    <w:multiLevelType w:val="hybridMultilevel"/>
    <w:tmpl w:val="AFAC0A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B6F2494"/>
    <w:multiLevelType w:val="multilevel"/>
    <w:tmpl w:val="126052A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E9D0FF3"/>
    <w:multiLevelType w:val="hybridMultilevel"/>
    <w:tmpl w:val="EAA8C4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1"/>
  </w:num>
  <w:num w:numId="5">
    <w:abstractNumId w:val="10"/>
  </w:num>
  <w:num w:numId="6">
    <w:abstractNumId w:val="2"/>
  </w:num>
  <w:num w:numId="7">
    <w:abstractNumId w:val="16"/>
  </w:num>
  <w:num w:numId="8">
    <w:abstractNumId w:val="13"/>
  </w:num>
  <w:num w:numId="9">
    <w:abstractNumId w:val="1"/>
  </w:num>
  <w:num w:numId="10">
    <w:abstractNumId w:val="15"/>
  </w:num>
  <w:num w:numId="11">
    <w:abstractNumId w:val="4"/>
  </w:num>
  <w:num w:numId="12">
    <w:abstractNumId w:val="7"/>
  </w:num>
  <w:num w:numId="13">
    <w:abstractNumId w:val="6"/>
  </w:num>
  <w:num w:numId="14">
    <w:abstractNumId w:val="12"/>
  </w:num>
  <w:num w:numId="15">
    <w:abstractNumId w:val="3"/>
  </w:num>
  <w:num w:numId="16">
    <w:abstractNumId w:val="8"/>
  </w:num>
  <w:num w:numId="17">
    <w:abstractNumId w:val="14"/>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E7"/>
    <w:rsid w:val="000008D7"/>
    <w:rsid w:val="00002655"/>
    <w:rsid w:val="00002F4B"/>
    <w:rsid w:val="00005194"/>
    <w:rsid w:val="00007099"/>
    <w:rsid w:val="00012D4B"/>
    <w:rsid w:val="0001428C"/>
    <w:rsid w:val="0001544A"/>
    <w:rsid w:val="00016D3D"/>
    <w:rsid w:val="00017B21"/>
    <w:rsid w:val="0002519B"/>
    <w:rsid w:val="00025D53"/>
    <w:rsid w:val="000262AD"/>
    <w:rsid w:val="000311A0"/>
    <w:rsid w:val="00034695"/>
    <w:rsid w:val="00035746"/>
    <w:rsid w:val="00037068"/>
    <w:rsid w:val="00037832"/>
    <w:rsid w:val="00042631"/>
    <w:rsid w:val="0004487A"/>
    <w:rsid w:val="000465B6"/>
    <w:rsid w:val="00050718"/>
    <w:rsid w:val="00051110"/>
    <w:rsid w:val="0005294F"/>
    <w:rsid w:val="00052FB2"/>
    <w:rsid w:val="00054697"/>
    <w:rsid w:val="000579E9"/>
    <w:rsid w:val="0006075B"/>
    <w:rsid w:val="00060DF6"/>
    <w:rsid w:val="00060E8B"/>
    <w:rsid w:val="000660B9"/>
    <w:rsid w:val="00073428"/>
    <w:rsid w:val="00077217"/>
    <w:rsid w:val="000773D7"/>
    <w:rsid w:val="00087CFC"/>
    <w:rsid w:val="00091AD6"/>
    <w:rsid w:val="00093407"/>
    <w:rsid w:val="0009422E"/>
    <w:rsid w:val="00094971"/>
    <w:rsid w:val="0009770B"/>
    <w:rsid w:val="000A0788"/>
    <w:rsid w:val="000A0C86"/>
    <w:rsid w:val="000A1E12"/>
    <w:rsid w:val="000B57FF"/>
    <w:rsid w:val="000B67ED"/>
    <w:rsid w:val="000B6D8F"/>
    <w:rsid w:val="000C4EBA"/>
    <w:rsid w:val="000C6765"/>
    <w:rsid w:val="000C6AB2"/>
    <w:rsid w:val="000C711F"/>
    <w:rsid w:val="000C77BD"/>
    <w:rsid w:val="000D15A0"/>
    <w:rsid w:val="000D22EF"/>
    <w:rsid w:val="000D4B0E"/>
    <w:rsid w:val="000D5978"/>
    <w:rsid w:val="000E3D65"/>
    <w:rsid w:val="000E5986"/>
    <w:rsid w:val="000E67B9"/>
    <w:rsid w:val="000E6990"/>
    <w:rsid w:val="001034B0"/>
    <w:rsid w:val="00104BA8"/>
    <w:rsid w:val="00110CEA"/>
    <w:rsid w:val="00116A5C"/>
    <w:rsid w:val="0011758E"/>
    <w:rsid w:val="001176B1"/>
    <w:rsid w:val="0012349E"/>
    <w:rsid w:val="001234D7"/>
    <w:rsid w:val="001246FE"/>
    <w:rsid w:val="00131964"/>
    <w:rsid w:val="001329B2"/>
    <w:rsid w:val="00142B80"/>
    <w:rsid w:val="00142DF5"/>
    <w:rsid w:val="00145D45"/>
    <w:rsid w:val="0014684E"/>
    <w:rsid w:val="00152BDF"/>
    <w:rsid w:val="00153E42"/>
    <w:rsid w:val="00160554"/>
    <w:rsid w:val="0017138A"/>
    <w:rsid w:val="00171575"/>
    <w:rsid w:val="0017220B"/>
    <w:rsid w:val="0017292F"/>
    <w:rsid w:val="001756E7"/>
    <w:rsid w:val="00176884"/>
    <w:rsid w:val="001800B0"/>
    <w:rsid w:val="0018292F"/>
    <w:rsid w:val="00184516"/>
    <w:rsid w:val="00190D96"/>
    <w:rsid w:val="00191359"/>
    <w:rsid w:val="0019242B"/>
    <w:rsid w:val="00193F64"/>
    <w:rsid w:val="00195B52"/>
    <w:rsid w:val="001A6F90"/>
    <w:rsid w:val="001A7130"/>
    <w:rsid w:val="001B12F4"/>
    <w:rsid w:val="001B41E8"/>
    <w:rsid w:val="001C45C7"/>
    <w:rsid w:val="001C6FB5"/>
    <w:rsid w:val="001D2D96"/>
    <w:rsid w:val="001D47A3"/>
    <w:rsid w:val="001E39F9"/>
    <w:rsid w:val="001E429A"/>
    <w:rsid w:val="001E6C61"/>
    <w:rsid w:val="001E78B8"/>
    <w:rsid w:val="001F034C"/>
    <w:rsid w:val="001F1AA0"/>
    <w:rsid w:val="001F25D0"/>
    <w:rsid w:val="001F6283"/>
    <w:rsid w:val="00215FE3"/>
    <w:rsid w:val="002160B4"/>
    <w:rsid w:val="00221070"/>
    <w:rsid w:val="002224C8"/>
    <w:rsid w:val="0022583C"/>
    <w:rsid w:val="0022592E"/>
    <w:rsid w:val="0023421E"/>
    <w:rsid w:val="00235C9D"/>
    <w:rsid w:val="0024046A"/>
    <w:rsid w:val="002404F8"/>
    <w:rsid w:val="00245B27"/>
    <w:rsid w:val="00246066"/>
    <w:rsid w:val="002508CF"/>
    <w:rsid w:val="00250C51"/>
    <w:rsid w:val="002527D7"/>
    <w:rsid w:val="00266127"/>
    <w:rsid w:val="002676AE"/>
    <w:rsid w:val="00270810"/>
    <w:rsid w:val="0027348C"/>
    <w:rsid w:val="00273D76"/>
    <w:rsid w:val="00276416"/>
    <w:rsid w:val="00286946"/>
    <w:rsid w:val="002932A0"/>
    <w:rsid w:val="00294E0F"/>
    <w:rsid w:val="00295CDE"/>
    <w:rsid w:val="00295F17"/>
    <w:rsid w:val="002973C2"/>
    <w:rsid w:val="002A078F"/>
    <w:rsid w:val="002A67C2"/>
    <w:rsid w:val="002B0866"/>
    <w:rsid w:val="002B1144"/>
    <w:rsid w:val="002B1964"/>
    <w:rsid w:val="002C075A"/>
    <w:rsid w:val="002C2D8D"/>
    <w:rsid w:val="002C6C52"/>
    <w:rsid w:val="002C6E25"/>
    <w:rsid w:val="002C7F30"/>
    <w:rsid w:val="002D323E"/>
    <w:rsid w:val="002D3701"/>
    <w:rsid w:val="002D4A87"/>
    <w:rsid w:val="002D5328"/>
    <w:rsid w:val="002D662C"/>
    <w:rsid w:val="002E3045"/>
    <w:rsid w:val="002F7D8E"/>
    <w:rsid w:val="00304C61"/>
    <w:rsid w:val="00306056"/>
    <w:rsid w:val="003068D3"/>
    <w:rsid w:val="003073F2"/>
    <w:rsid w:val="00310943"/>
    <w:rsid w:val="00310EF2"/>
    <w:rsid w:val="00314625"/>
    <w:rsid w:val="0032065B"/>
    <w:rsid w:val="00321F33"/>
    <w:rsid w:val="00322549"/>
    <w:rsid w:val="003231AE"/>
    <w:rsid w:val="00343C06"/>
    <w:rsid w:val="003523CF"/>
    <w:rsid w:val="00352E4B"/>
    <w:rsid w:val="00353201"/>
    <w:rsid w:val="00355736"/>
    <w:rsid w:val="0035733C"/>
    <w:rsid w:val="00363592"/>
    <w:rsid w:val="0036392A"/>
    <w:rsid w:val="003649EB"/>
    <w:rsid w:val="00366B1E"/>
    <w:rsid w:val="00372AE4"/>
    <w:rsid w:val="00375A62"/>
    <w:rsid w:val="003813E3"/>
    <w:rsid w:val="00393F36"/>
    <w:rsid w:val="00395771"/>
    <w:rsid w:val="0039646D"/>
    <w:rsid w:val="003A78CB"/>
    <w:rsid w:val="003B51D2"/>
    <w:rsid w:val="003C1AA5"/>
    <w:rsid w:val="003C6362"/>
    <w:rsid w:val="003C7149"/>
    <w:rsid w:val="003C76CF"/>
    <w:rsid w:val="003D06E3"/>
    <w:rsid w:val="003D1A76"/>
    <w:rsid w:val="003D5754"/>
    <w:rsid w:val="003E0D39"/>
    <w:rsid w:val="003E6CE7"/>
    <w:rsid w:val="003E7946"/>
    <w:rsid w:val="003E7F1A"/>
    <w:rsid w:val="003F11A4"/>
    <w:rsid w:val="003F3E85"/>
    <w:rsid w:val="003F51C1"/>
    <w:rsid w:val="003F668E"/>
    <w:rsid w:val="003F7D1F"/>
    <w:rsid w:val="003F7DC1"/>
    <w:rsid w:val="004073CD"/>
    <w:rsid w:val="00412B3F"/>
    <w:rsid w:val="00414B59"/>
    <w:rsid w:val="004173B5"/>
    <w:rsid w:val="00423944"/>
    <w:rsid w:val="00427AE9"/>
    <w:rsid w:val="00430AA1"/>
    <w:rsid w:val="004376B3"/>
    <w:rsid w:val="0044397C"/>
    <w:rsid w:val="00455B31"/>
    <w:rsid w:val="004637CF"/>
    <w:rsid w:val="00467597"/>
    <w:rsid w:val="004713AE"/>
    <w:rsid w:val="00472F27"/>
    <w:rsid w:val="004805AE"/>
    <w:rsid w:val="00486796"/>
    <w:rsid w:val="004877A8"/>
    <w:rsid w:val="00493DF1"/>
    <w:rsid w:val="004B1109"/>
    <w:rsid w:val="004B1F0D"/>
    <w:rsid w:val="004B286E"/>
    <w:rsid w:val="004B4038"/>
    <w:rsid w:val="004B6FAC"/>
    <w:rsid w:val="004C4E90"/>
    <w:rsid w:val="004D13AB"/>
    <w:rsid w:val="004E4D6E"/>
    <w:rsid w:val="004E5D50"/>
    <w:rsid w:val="004E62C9"/>
    <w:rsid w:val="004E6D89"/>
    <w:rsid w:val="004E7EFA"/>
    <w:rsid w:val="004F3385"/>
    <w:rsid w:val="004F4962"/>
    <w:rsid w:val="004F5111"/>
    <w:rsid w:val="00503E3E"/>
    <w:rsid w:val="00504A78"/>
    <w:rsid w:val="0050568F"/>
    <w:rsid w:val="005061F4"/>
    <w:rsid w:val="00506E51"/>
    <w:rsid w:val="005222A3"/>
    <w:rsid w:val="00524A49"/>
    <w:rsid w:val="00525B12"/>
    <w:rsid w:val="00530F29"/>
    <w:rsid w:val="005344E7"/>
    <w:rsid w:val="005403E9"/>
    <w:rsid w:val="00543AF8"/>
    <w:rsid w:val="00546B62"/>
    <w:rsid w:val="00547B00"/>
    <w:rsid w:val="00550534"/>
    <w:rsid w:val="00552FC8"/>
    <w:rsid w:val="0055465E"/>
    <w:rsid w:val="00566463"/>
    <w:rsid w:val="005710B5"/>
    <w:rsid w:val="00572F9A"/>
    <w:rsid w:val="0057632E"/>
    <w:rsid w:val="0058281C"/>
    <w:rsid w:val="0058531C"/>
    <w:rsid w:val="00593C40"/>
    <w:rsid w:val="00596A77"/>
    <w:rsid w:val="005A2803"/>
    <w:rsid w:val="005A3216"/>
    <w:rsid w:val="005A4219"/>
    <w:rsid w:val="005B0671"/>
    <w:rsid w:val="005B0A7C"/>
    <w:rsid w:val="005B2ECE"/>
    <w:rsid w:val="005B36D3"/>
    <w:rsid w:val="005B5222"/>
    <w:rsid w:val="005D282F"/>
    <w:rsid w:val="005D674E"/>
    <w:rsid w:val="005D7421"/>
    <w:rsid w:val="005E1FEB"/>
    <w:rsid w:val="005E2925"/>
    <w:rsid w:val="005E5D60"/>
    <w:rsid w:val="005F1D4E"/>
    <w:rsid w:val="005F2358"/>
    <w:rsid w:val="005F6BC5"/>
    <w:rsid w:val="00604DB0"/>
    <w:rsid w:val="00606B77"/>
    <w:rsid w:val="00607719"/>
    <w:rsid w:val="006173E2"/>
    <w:rsid w:val="00621A2C"/>
    <w:rsid w:val="00626AEE"/>
    <w:rsid w:val="00630860"/>
    <w:rsid w:val="0063244C"/>
    <w:rsid w:val="00633D4D"/>
    <w:rsid w:val="006361B2"/>
    <w:rsid w:val="00642FD4"/>
    <w:rsid w:val="00647C92"/>
    <w:rsid w:val="00652B1E"/>
    <w:rsid w:val="00653917"/>
    <w:rsid w:val="00657126"/>
    <w:rsid w:val="00657D8C"/>
    <w:rsid w:val="00660FE4"/>
    <w:rsid w:val="006636A5"/>
    <w:rsid w:val="00676F8E"/>
    <w:rsid w:val="00680795"/>
    <w:rsid w:val="00684470"/>
    <w:rsid w:val="00687A33"/>
    <w:rsid w:val="006938CB"/>
    <w:rsid w:val="006938F2"/>
    <w:rsid w:val="006A1B6F"/>
    <w:rsid w:val="006A452A"/>
    <w:rsid w:val="006B3A11"/>
    <w:rsid w:val="006B43DA"/>
    <w:rsid w:val="006B5D53"/>
    <w:rsid w:val="006D0B01"/>
    <w:rsid w:val="006D2687"/>
    <w:rsid w:val="006D3865"/>
    <w:rsid w:val="006D4786"/>
    <w:rsid w:val="006D568C"/>
    <w:rsid w:val="006E1C8A"/>
    <w:rsid w:val="006E5C79"/>
    <w:rsid w:val="006F0218"/>
    <w:rsid w:val="006F1E62"/>
    <w:rsid w:val="006F5226"/>
    <w:rsid w:val="00702C23"/>
    <w:rsid w:val="0071177F"/>
    <w:rsid w:val="0071634A"/>
    <w:rsid w:val="00720628"/>
    <w:rsid w:val="007209F3"/>
    <w:rsid w:val="00721018"/>
    <w:rsid w:val="00726EA5"/>
    <w:rsid w:val="007333E6"/>
    <w:rsid w:val="00737750"/>
    <w:rsid w:val="00742B4C"/>
    <w:rsid w:val="00743D53"/>
    <w:rsid w:val="00750569"/>
    <w:rsid w:val="00750D9A"/>
    <w:rsid w:val="0075135B"/>
    <w:rsid w:val="007529C1"/>
    <w:rsid w:val="0075788D"/>
    <w:rsid w:val="007608D6"/>
    <w:rsid w:val="00771D67"/>
    <w:rsid w:val="00774ECA"/>
    <w:rsid w:val="00775AEA"/>
    <w:rsid w:val="00782317"/>
    <w:rsid w:val="007934C2"/>
    <w:rsid w:val="00795A4A"/>
    <w:rsid w:val="007A7B36"/>
    <w:rsid w:val="007B4F2E"/>
    <w:rsid w:val="007C3490"/>
    <w:rsid w:val="007C51CE"/>
    <w:rsid w:val="007C5C37"/>
    <w:rsid w:val="007C631B"/>
    <w:rsid w:val="007C7A2E"/>
    <w:rsid w:val="007D3282"/>
    <w:rsid w:val="007E0DE7"/>
    <w:rsid w:val="007E212D"/>
    <w:rsid w:val="007E548B"/>
    <w:rsid w:val="007F273E"/>
    <w:rsid w:val="008013B7"/>
    <w:rsid w:val="00804AC4"/>
    <w:rsid w:val="0081584D"/>
    <w:rsid w:val="00815DD3"/>
    <w:rsid w:val="008240D9"/>
    <w:rsid w:val="008275ED"/>
    <w:rsid w:val="0083333E"/>
    <w:rsid w:val="008368D0"/>
    <w:rsid w:val="00845C80"/>
    <w:rsid w:val="008469F1"/>
    <w:rsid w:val="00852DA8"/>
    <w:rsid w:val="008536F1"/>
    <w:rsid w:val="00862EC6"/>
    <w:rsid w:val="0087229A"/>
    <w:rsid w:val="008746DA"/>
    <w:rsid w:val="00875471"/>
    <w:rsid w:val="00876DD0"/>
    <w:rsid w:val="008831EB"/>
    <w:rsid w:val="00885C7F"/>
    <w:rsid w:val="00886236"/>
    <w:rsid w:val="00886983"/>
    <w:rsid w:val="0089492C"/>
    <w:rsid w:val="008969B4"/>
    <w:rsid w:val="008A2CCE"/>
    <w:rsid w:val="008A6B5A"/>
    <w:rsid w:val="008B14A9"/>
    <w:rsid w:val="008B56C4"/>
    <w:rsid w:val="008C45E9"/>
    <w:rsid w:val="008D12E7"/>
    <w:rsid w:val="008F2E0E"/>
    <w:rsid w:val="008F3D88"/>
    <w:rsid w:val="00902EE5"/>
    <w:rsid w:val="00913678"/>
    <w:rsid w:val="0091594B"/>
    <w:rsid w:val="00915BEC"/>
    <w:rsid w:val="0091760E"/>
    <w:rsid w:val="00920CC8"/>
    <w:rsid w:val="00922210"/>
    <w:rsid w:val="009236EE"/>
    <w:rsid w:val="00931CA9"/>
    <w:rsid w:val="0093313D"/>
    <w:rsid w:val="00941647"/>
    <w:rsid w:val="00941666"/>
    <w:rsid w:val="00941930"/>
    <w:rsid w:val="00941C6C"/>
    <w:rsid w:val="00943760"/>
    <w:rsid w:val="00950B14"/>
    <w:rsid w:val="00957E30"/>
    <w:rsid w:val="009655B3"/>
    <w:rsid w:val="00965C9E"/>
    <w:rsid w:val="00966A4A"/>
    <w:rsid w:val="0096757D"/>
    <w:rsid w:val="009734E4"/>
    <w:rsid w:val="00975573"/>
    <w:rsid w:val="00976440"/>
    <w:rsid w:val="00980360"/>
    <w:rsid w:val="00983D1C"/>
    <w:rsid w:val="00986C28"/>
    <w:rsid w:val="00987052"/>
    <w:rsid w:val="00987F38"/>
    <w:rsid w:val="0099038A"/>
    <w:rsid w:val="00990755"/>
    <w:rsid w:val="009A433D"/>
    <w:rsid w:val="009A5EB7"/>
    <w:rsid w:val="009B09C7"/>
    <w:rsid w:val="009B5D65"/>
    <w:rsid w:val="009C5A56"/>
    <w:rsid w:val="009D1C95"/>
    <w:rsid w:val="009D252B"/>
    <w:rsid w:val="009E7884"/>
    <w:rsid w:val="009F03FE"/>
    <w:rsid w:val="009F4C61"/>
    <w:rsid w:val="00A025C2"/>
    <w:rsid w:val="00A05821"/>
    <w:rsid w:val="00A05ECC"/>
    <w:rsid w:val="00A11E74"/>
    <w:rsid w:val="00A25D9A"/>
    <w:rsid w:val="00A31E0E"/>
    <w:rsid w:val="00A32E2D"/>
    <w:rsid w:val="00A4782C"/>
    <w:rsid w:val="00A54D02"/>
    <w:rsid w:val="00A57615"/>
    <w:rsid w:val="00A62820"/>
    <w:rsid w:val="00A639B0"/>
    <w:rsid w:val="00A66342"/>
    <w:rsid w:val="00A6639B"/>
    <w:rsid w:val="00A67356"/>
    <w:rsid w:val="00A72420"/>
    <w:rsid w:val="00A748DD"/>
    <w:rsid w:val="00A76EFF"/>
    <w:rsid w:val="00A80219"/>
    <w:rsid w:val="00A87DEF"/>
    <w:rsid w:val="00A912DB"/>
    <w:rsid w:val="00AA1804"/>
    <w:rsid w:val="00AA1B33"/>
    <w:rsid w:val="00AA2587"/>
    <w:rsid w:val="00AA6614"/>
    <w:rsid w:val="00AA6B47"/>
    <w:rsid w:val="00AB39D9"/>
    <w:rsid w:val="00AB3BFA"/>
    <w:rsid w:val="00AC0B86"/>
    <w:rsid w:val="00AC3F7E"/>
    <w:rsid w:val="00AC4752"/>
    <w:rsid w:val="00AC6F89"/>
    <w:rsid w:val="00AD3352"/>
    <w:rsid w:val="00AE37F8"/>
    <w:rsid w:val="00AF52A1"/>
    <w:rsid w:val="00B031D2"/>
    <w:rsid w:val="00B0614D"/>
    <w:rsid w:val="00B10DD9"/>
    <w:rsid w:val="00B12D54"/>
    <w:rsid w:val="00B14D83"/>
    <w:rsid w:val="00B400F4"/>
    <w:rsid w:val="00B410E7"/>
    <w:rsid w:val="00B433BC"/>
    <w:rsid w:val="00B43877"/>
    <w:rsid w:val="00B44DF1"/>
    <w:rsid w:val="00B5226B"/>
    <w:rsid w:val="00B60BA6"/>
    <w:rsid w:val="00B64115"/>
    <w:rsid w:val="00B64F21"/>
    <w:rsid w:val="00B6576D"/>
    <w:rsid w:val="00B70306"/>
    <w:rsid w:val="00B703E2"/>
    <w:rsid w:val="00B7332E"/>
    <w:rsid w:val="00B76CF9"/>
    <w:rsid w:val="00B87209"/>
    <w:rsid w:val="00B90B09"/>
    <w:rsid w:val="00B91103"/>
    <w:rsid w:val="00B951E8"/>
    <w:rsid w:val="00B951F6"/>
    <w:rsid w:val="00BA143C"/>
    <w:rsid w:val="00BB26E2"/>
    <w:rsid w:val="00BB6F6C"/>
    <w:rsid w:val="00BC44F9"/>
    <w:rsid w:val="00BD17B0"/>
    <w:rsid w:val="00BD1C2B"/>
    <w:rsid w:val="00BE09F5"/>
    <w:rsid w:val="00BE1387"/>
    <w:rsid w:val="00BF5761"/>
    <w:rsid w:val="00C00C32"/>
    <w:rsid w:val="00C0182A"/>
    <w:rsid w:val="00C02DDE"/>
    <w:rsid w:val="00C10ECF"/>
    <w:rsid w:val="00C11286"/>
    <w:rsid w:val="00C13061"/>
    <w:rsid w:val="00C13E16"/>
    <w:rsid w:val="00C1477F"/>
    <w:rsid w:val="00C27420"/>
    <w:rsid w:val="00C34F3D"/>
    <w:rsid w:val="00C35DC7"/>
    <w:rsid w:val="00C45C2B"/>
    <w:rsid w:val="00C45CFD"/>
    <w:rsid w:val="00C464DB"/>
    <w:rsid w:val="00C50556"/>
    <w:rsid w:val="00C50D08"/>
    <w:rsid w:val="00C51E13"/>
    <w:rsid w:val="00C54A56"/>
    <w:rsid w:val="00C57D21"/>
    <w:rsid w:val="00C57DD8"/>
    <w:rsid w:val="00C602DD"/>
    <w:rsid w:val="00C70919"/>
    <w:rsid w:val="00C86F0D"/>
    <w:rsid w:val="00C91A0D"/>
    <w:rsid w:val="00C965A2"/>
    <w:rsid w:val="00C97740"/>
    <w:rsid w:val="00CA1E21"/>
    <w:rsid w:val="00CA527D"/>
    <w:rsid w:val="00CB073E"/>
    <w:rsid w:val="00CB58D6"/>
    <w:rsid w:val="00CC6093"/>
    <w:rsid w:val="00CC6983"/>
    <w:rsid w:val="00CD7D0B"/>
    <w:rsid w:val="00CE127D"/>
    <w:rsid w:val="00CE3046"/>
    <w:rsid w:val="00CF04FD"/>
    <w:rsid w:val="00CF45B2"/>
    <w:rsid w:val="00CF6D1D"/>
    <w:rsid w:val="00D00570"/>
    <w:rsid w:val="00D00FA9"/>
    <w:rsid w:val="00D02599"/>
    <w:rsid w:val="00D056B4"/>
    <w:rsid w:val="00D06E32"/>
    <w:rsid w:val="00D07BC0"/>
    <w:rsid w:val="00D2095F"/>
    <w:rsid w:val="00D20CA0"/>
    <w:rsid w:val="00D33E11"/>
    <w:rsid w:val="00D40F30"/>
    <w:rsid w:val="00D41F5E"/>
    <w:rsid w:val="00D43908"/>
    <w:rsid w:val="00D4465F"/>
    <w:rsid w:val="00D4697E"/>
    <w:rsid w:val="00D5328F"/>
    <w:rsid w:val="00D60CCE"/>
    <w:rsid w:val="00D74A14"/>
    <w:rsid w:val="00D756B2"/>
    <w:rsid w:val="00D802CF"/>
    <w:rsid w:val="00D80EED"/>
    <w:rsid w:val="00D8263E"/>
    <w:rsid w:val="00D910FF"/>
    <w:rsid w:val="00D936BC"/>
    <w:rsid w:val="00D9626A"/>
    <w:rsid w:val="00D97081"/>
    <w:rsid w:val="00DA5C3C"/>
    <w:rsid w:val="00DA77AB"/>
    <w:rsid w:val="00DB1010"/>
    <w:rsid w:val="00DB17E5"/>
    <w:rsid w:val="00DB27D4"/>
    <w:rsid w:val="00DB7E39"/>
    <w:rsid w:val="00DC0955"/>
    <w:rsid w:val="00DC3A4E"/>
    <w:rsid w:val="00DC7F5D"/>
    <w:rsid w:val="00DD278B"/>
    <w:rsid w:val="00DD712E"/>
    <w:rsid w:val="00DD78A6"/>
    <w:rsid w:val="00DE43CA"/>
    <w:rsid w:val="00DE794E"/>
    <w:rsid w:val="00DF30CD"/>
    <w:rsid w:val="00DF41AD"/>
    <w:rsid w:val="00DF5BE2"/>
    <w:rsid w:val="00E0136F"/>
    <w:rsid w:val="00E029BC"/>
    <w:rsid w:val="00E05979"/>
    <w:rsid w:val="00E12C8A"/>
    <w:rsid w:val="00E136E6"/>
    <w:rsid w:val="00E25683"/>
    <w:rsid w:val="00E258DE"/>
    <w:rsid w:val="00E310E6"/>
    <w:rsid w:val="00E322DD"/>
    <w:rsid w:val="00E34CC4"/>
    <w:rsid w:val="00E37431"/>
    <w:rsid w:val="00E37CB9"/>
    <w:rsid w:val="00E4772D"/>
    <w:rsid w:val="00E5186D"/>
    <w:rsid w:val="00E5262B"/>
    <w:rsid w:val="00E543D0"/>
    <w:rsid w:val="00E54D87"/>
    <w:rsid w:val="00E57B6D"/>
    <w:rsid w:val="00E60868"/>
    <w:rsid w:val="00E61A0F"/>
    <w:rsid w:val="00E73AC8"/>
    <w:rsid w:val="00E74414"/>
    <w:rsid w:val="00E759C7"/>
    <w:rsid w:val="00E764FB"/>
    <w:rsid w:val="00E840C6"/>
    <w:rsid w:val="00E85F9B"/>
    <w:rsid w:val="00E87929"/>
    <w:rsid w:val="00E90FDC"/>
    <w:rsid w:val="00E9207A"/>
    <w:rsid w:val="00E944A4"/>
    <w:rsid w:val="00E9618D"/>
    <w:rsid w:val="00E9654E"/>
    <w:rsid w:val="00EA2956"/>
    <w:rsid w:val="00EB0FBC"/>
    <w:rsid w:val="00EB30A4"/>
    <w:rsid w:val="00EB4E69"/>
    <w:rsid w:val="00EB5EC3"/>
    <w:rsid w:val="00EB7697"/>
    <w:rsid w:val="00EB7FCF"/>
    <w:rsid w:val="00EC41DC"/>
    <w:rsid w:val="00EC5755"/>
    <w:rsid w:val="00EC6093"/>
    <w:rsid w:val="00ED0204"/>
    <w:rsid w:val="00EE3CEF"/>
    <w:rsid w:val="00EE5ED3"/>
    <w:rsid w:val="00EF54B7"/>
    <w:rsid w:val="00EF588A"/>
    <w:rsid w:val="00F04ECF"/>
    <w:rsid w:val="00F06419"/>
    <w:rsid w:val="00F16ACB"/>
    <w:rsid w:val="00F16D4D"/>
    <w:rsid w:val="00F21F1B"/>
    <w:rsid w:val="00F30B91"/>
    <w:rsid w:val="00F36675"/>
    <w:rsid w:val="00F36ECB"/>
    <w:rsid w:val="00F36ED4"/>
    <w:rsid w:val="00F405E3"/>
    <w:rsid w:val="00F43C04"/>
    <w:rsid w:val="00F55450"/>
    <w:rsid w:val="00F67781"/>
    <w:rsid w:val="00F7796E"/>
    <w:rsid w:val="00F77DBC"/>
    <w:rsid w:val="00F84382"/>
    <w:rsid w:val="00F94CA4"/>
    <w:rsid w:val="00F96C1B"/>
    <w:rsid w:val="00F9713B"/>
    <w:rsid w:val="00FA0149"/>
    <w:rsid w:val="00FA0BB3"/>
    <w:rsid w:val="00FB1DD7"/>
    <w:rsid w:val="00FB6098"/>
    <w:rsid w:val="00FB709F"/>
    <w:rsid w:val="00FC3A1D"/>
    <w:rsid w:val="00FC5270"/>
    <w:rsid w:val="00FC7EC9"/>
    <w:rsid w:val="00FD1EA7"/>
    <w:rsid w:val="00FD6828"/>
    <w:rsid w:val="00FE529D"/>
    <w:rsid w:val="00FF0172"/>
    <w:rsid w:val="00FF72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5288E"/>
  <w15:chartTrackingRefBased/>
  <w15:docId w15:val="{D875CAC5-2B31-416E-9A69-79B67357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4A"/>
    <w:rPr>
      <w:sz w:val="24"/>
    </w:rPr>
  </w:style>
  <w:style w:type="paragraph" w:styleId="Heading1">
    <w:name w:val="heading 1"/>
    <w:basedOn w:val="Normal"/>
    <w:next w:val="Normal"/>
    <w:link w:val="Heading1Char"/>
    <w:qFormat/>
    <w:rsid w:val="002A67C2"/>
    <w:pPr>
      <w:keepNext/>
      <w:numPr>
        <w:numId w:val="3"/>
      </w:numPr>
      <w:outlineLvl w:val="0"/>
    </w:pPr>
    <w:rPr>
      <w:rFonts w:eastAsia="Times New Roman"/>
      <w:b/>
    </w:rPr>
  </w:style>
  <w:style w:type="paragraph" w:styleId="Heading2">
    <w:name w:val="heading 2"/>
    <w:basedOn w:val="Normal"/>
    <w:next w:val="Normal"/>
    <w:link w:val="Heading2Char"/>
    <w:qFormat/>
    <w:rsid w:val="002A67C2"/>
    <w:pPr>
      <w:keepNext/>
      <w:numPr>
        <w:ilvl w:val="1"/>
        <w:numId w:val="3"/>
      </w:numPr>
      <w:jc w:val="center"/>
      <w:outlineLvl w:val="1"/>
    </w:pPr>
    <w:rPr>
      <w:rFonts w:eastAsia="Times New Roman"/>
      <w:b/>
      <w:sz w:val="28"/>
    </w:rPr>
  </w:style>
  <w:style w:type="paragraph" w:styleId="Heading3">
    <w:name w:val="heading 3"/>
    <w:basedOn w:val="Normal"/>
    <w:next w:val="Normal"/>
    <w:link w:val="Heading3Char"/>
    <w:qFormat/>
    <w:rsid w:val="002A67C2"/>
    <w:pPr>
      <w:keepNext/>
      <w:numPr>
        <w:ilvl w:val="2"/>
        <w:numId w:val="3"/>
      </w:numPr>
      <w:jc w:val="both"/>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rsid w:val="00B0614D"/>
    <w:rPr>
      <w:rFonts w:eastAsia="Times New Roman" w:cs="Tahoma"/>
      <w:sz w:val="20"/>
      <w:szCs w:val="16"/>
    </w:rPr>
  </w:style>
  <w:style w:type="character" w:customStyle="1" w:styleId="BalloonTextChar">
    <w:name w:val="Balloon Text Char"/>
    <w:basedOn w:val="DefaultParagraphFont"/>
    <w:link w:val="BalloonText"/>
    <w:rsid w:val="00B0614D"/>
    <w:rPr>
      <w:rFonts w:eastAsia="Times New Roman" w:cs="Tahoma"/>
      <w:szCs w:val="16"/>
    </w:rPr>
  </w:style>
  <w:style w:type="character" w:customStyle="1" w:styleId="WW8Num2z0">
    <w:name w:val="WW8Num2z0"/>
    <w:rsid w:val="002A67C2"/>
    <w:rPr>
      <w:rFonts w:ascii="Symbol" w:hAnsi="Symbol"/>
    </w:rPr>
  </w:style>
  <w:style w:type="character" w:customStyle="1" w:styleId="WW8Num3z0">
    <w:name w:val="WW8Num3z0"/>
    <w:rsid w:val="002A67C2"/>
    <w:rPr>
      <w:rFonts w:ascii="Symbol" w:hAnsi="Symbol"/>
    </w:rPr>
  </w:style>
  <w:style w:type="character" w:customStyle="1" w:styleId="WW8Num4z0">
    <w:name w:val="WW8Num4z0"/>
    <w:rsid w:val="002A67C2"/>
    <w:rPr>
      <w:rFonts w:ascii="Symbol" w:hAnsi="Symbol"/>
    </w:rPr>
  </w:style>
  <w:style w:type="character" w:customStyle="1" w:styleId="WW8Num6z0">
    <w:name w:val="WW8Num6z0"/>
    <w:rsid w:val="002A67C2"/>
    <w:rPr>
      <w:rFonts w:ascii="Symbol" w:hAnsi="Symbol"/>
    </w:rPr>
  </w:style>
  <w:style w:type="character" w:customStyle="1" w:styleId="WW8Num7z0">
    <w:name w:val="WW8Num7z0"/>
    <w:rsid w:val="002A67C2"/>
    <w:rPr>
      <w:rFonts w:ascii="Symbol" w:hAnsi="Symbol"/>
    </w:rPr>
  </w:style>
  <w:style w:type="character" w:customStyle="1" w:styleId="WW8Num8z0">
    <w:name w:val="WW8Num8z0"/>
    <w:rsid w:val="002A67C2"/>
    <w:rPr>
      <w:rFonts w:ascii="Symbol" w:hAnsi="Symbol"/>
    </w:rPr>
  </w:style>
  <w:style w:type="character" w:customStyle="1" w:styleId="WW8Num9z0">
    <w:name w:val="WW8Num9z0"/>
    <w:rsid w:val="002A67C2"/>
    <w:rPr>
      <w:rFonts w:ascii="Symbol" w:hAnsi="Symbol"/>
    </w:rPr>
  </w:style>
  <w:style w:type="character" w:customStyle="1" w:styleId="WW8Num10z0">
    <w:name w:val="WW8Num10z0"/>
    <w:rsid w:val="002A67C2"/>
    <w:rPr>
      <w:rFonts w:ascii="Symbol" w:hAnsi="Symbol"/>
    </w:rPr>
  </w:style>
  <w:style w:type="character" w:customStyle="1" w:styleId="WW8Num12z0">
    <w:name w:val="WW8Num12z0"/>
    <w:rsid w:val="002A67C2"/>
    <w:rPr>
      <w:rFonts w:ascii="Wingdings" w:hAnsi="Wingdings"/>
    </w:rPr>
  </w:style>
  <w:style w:type="character" w:customStyle="1" w:styleId="WW8Num13z0">
    <w:name w:val="WW8Num13z0"/>
    <w:rsid w:val="002A67C2"/>
    <w:rPr>
      <w:rFonts w:ascii="Symbol" w:hAnsi="Symbol"/>
    </w:rPr>
  </w:style>
  <w:style w:type="character" w:customStyle="1" w:styleId="Absatz-Standardschriftart">
    <w:name w:val="Absatz-Standardschriftart"/>
    <w:rsid w:val="002A67C2"/>
  </w:style>
  <w:style w:type="character" w:customStyle="1" w:styleId="WW8Num1z0">
    <w:name w:val="WW8Num1z0"/>
    <w:rsid w:val="002A67C2"/>
    <w:rPr>
      <w:rFonts w:ascii="Symbol" w:hAnsi="Symbol"/>
    </w:rPr>
  </w:style>
  <w:style w:type="character" w:customStyle="1" w:styleId="WW8Num1z1">
    <w:name w:val="WW8Num1z1"/>
    <w:rsid w:val="002A67C2"/>
    <w:rPr>
      <w:rFonts w:ascii="Courier New" w:hAnsi="Courier New" w:cs="Courier New"/>
    </w:rPr>
  </w:style>
  <w:style w:type="character" w:customStyle="1" w:styleId="WW8Num1z2">
    <w:name w:val="WW8Num1z2"/>
    <w:rsid w:val="002A67C2"/>
    <w:rPr>
      <w:rFonts w:ascii="Wingdings" w:hAnsi="Wingdings"/>
    </w:rPr>
  </w:style>
  <w:style w:type="character" w:customStyle="1" w:styleId="WW8Num2z1">
    <w:name w:val="WW8Num2z1"/>
    <w:rsid w:val="002A67C2"/>
    <w:rPr>
      <w:rFonts w:ascii="Courier New" w:hAnsi="Courier New" w:cs="Courier New"/>
    </w:rPr>
  </w:style>
  <w:style w:type="character" w:customStyle="1" w:styleId="WW8Num2z2">
    <w:name w:val="WW8Num2z2"/>
    <w:rsid w:val="002A67C2"/>
    <w:rPr>
      <w:rFonts w:ascii="Wingdings" w:hAnsi="Wingdings"/>
    </w:rPr>
  </w:style>
  <w:style w:type="character" w:customStyle="1" w:styleId="WW8Num2z3">
    <w:name w:val="WW8Num2z3"/>
    <w:rsid w:val="002A67C2"/>
    <w:rPr>
      <w:rFonts w:ascii="Symbol" w:hAnsi="Symbol"/>
    </w:rPr>
  </w:style>
  <w:style w:type="character" w:customStyle="1" w:styleId="WW8Num3z1">
    <w:name w:val="WW8Num3z1"/>
    <w:rsid w:val="002A67C2"/>
    <w:rPr>
      <w:rFonts w:ascii="Courier New" w:hAnsi="Courier New" w:cs="Courier New"/>
    </w:rPr>
  </w:style>
  <w:style w:type="character" w:customStyle="1" w:styleId="WW8Num3z2">
    <w:name w:val="WW8Num3z2"/>
    <w:rsid w:val="002A67C2"/>
    <w:rPr>
      <w:rFonts w:ascii="Wingdings" w:hAnsi="Wingdings"/>
    </w:rPr>
  </w:style>
  <w:style w:type="character" w:customStyle="1" w:styleId="WW8Num4z1">
    <w:name w:val="WW8Num4z1"/>
    <w:rsid w:val="002A67C2"/>
    <w:rPr>
      <w:rFonts w:ascii="Courier New" w:hAnsi="Courier New" w:cs="Courier New"/>
    </w:rPr>
  </w:style>
  <w:style w:type="character" w:customStyle="1" w:styleId="WW8Num4z2">
    <w:name w:val="WW8Num4z2"/>
    <w:rsid w:val="002A67C2"/>
    <w:rPr>
      <w:rFonts w:ascii="Wingdings" w:hAnsi="Wingdings"/>
    </w:rPr>
  </w:style>
  <w:style w:type="character" w:customStyle="1" w:styleId="WW8Num5z0">
    <w:name w:val="WW8Num5z0"/>
    <w:rsid w:val="002A67C2"/>
    <w:rPr>
      <w:rFonts w:ascii="Symbol" w:hAnsi="Symbol"/>
    </w:rPr>
  </w:style>
  <w:style w:type="character" w:customStyle="1" w:styleId="WW8Num5z1">
    <w:name w:val="WW8Num5z1"/>
    <w:rsid w:val="002A67C2"/>
    <w:rPr>
      <w:rFonts w:ascii="Courier New" w:hAnsi="Courier New" w:cs="Courier New"/>
    </w:rPr>
  </w:style>
  <w:style w:type="character" w:customStyle="1" w:styleId="WW8Num5z2">
    <w:name w:val="WW8Num5z2"/>
    <w:rsid w:val="002A67C2"/>
    <w:rPr>
      <w:rFonts w:ascii="Wingdings" w:hAnsi="Wingdings"/>
    </w:rPr>
  </w:style>
  <w:style w:type="character" w:customStyle="1" w:styleId="WW8Num8z1">
    <w:name w:val="WW8Num8z1"/>
    <w:rsid w:val="002A67C2"/>
    <w:rPr>
      <w:rFonts w:ascii="Courier New" w:hAnsi="Courier New" w:cs="Courier New"/>
    </w:rPr>
  </w:style>
  <w:style w:type="character" w:customStyle="1" w:styleId="WW8Num8z2">
    <w:name w:val="WW8Num8z2"/>
    <w:rsid w:val="002A67C2"/>
    <w:rPr>
      <w:rFonts w:ascii="Wingdings" w:hAnsi="Wingdings"/>
    </w:rPr>
  </w:style>
  <w:style w:type="character" w:customStyle="1" w:styleId="WW8Num10z1">
    <w:name w:val="WW8Num10z1"/>
    <w:rsid w:val="002A67C2"/>
    <w:rPr>
      <w:rFonts w:ascii="Courier New" w:hAnsi="Courier New" w:cs="Courier New"/>
    </w:rPr>
  </w:style>
  <w:style w:type="character" w:customStyle="1" w:styleId="WW8Num10z2">
    <w:name w:val="WW8Num10z2"/>
    <w:rsid w:val="002A67C2"/>
    <w:rPr>
      <w:rFonts w:ascii="Wingdings" w:hAnsi="Wingdings"/>
    </w:rPr>
  </w:style>
  <w:style w:type="character" w:customStyle="1" w:styleId="WW8Num11z0">
    <w:name w:val="WW8Num11z0"/>
    <w:rsid w:val="002A67C2"/>
    <w:rPr>
      <w:rFonts w:ascii="Symbol" w:hAnsi="Symbol"/>
    </w:rPr>
  </w:style>
  <w:style w:type="character" w:customStyle="1" w:styleId="WW8Num11z1">
    <w:name w:val="WW8Num11z1"/>
    <w:rsid w:val="002A67C2"/>
    <w:rPr>
      <w:rFonts w:ascii="Courier New" w:hAnsi="Courier New" w:cs="Courier New"/>
    </w:rPr>
  </w:style>
  <w:style w:type="character" w:customStyle="1" w:styleId="WW8Num11z2">
    <w:name w:val="WW8Num11z2"/>
    <w:rsid w:val="002A67C2"/>
    <w:rPr>
      <w:rFonts w:ascii="Wingdings" w:hAnsi="Wingdings"/>
    </w:rPr>
  </w:style>
  <w:style w:type="character" w:customStyle="1" w:styleId="WW8Num12z1">
    <w:name w:val="WW8Num12z1"/>
    <w:rsid w:val="002A67C2"/>
    <w:rPr>
      <w:rFonts w:ascii="Courier New" w:hAnsi="Courier New" w:cs="Courier New"/>
    </w:rPr>
  </w:style>
  <w:style w:type="character" w:customStyle="1" w:styleId="WW8Num12z3">
    <w:name w:val="WW8Num12z3"/>
    <w:rsid w:val="002A67C2"/>
    <w:rPr>
      <w:rFonts w:ascii="Symbol" w:hAnsi="Symbol"/>
    </w:rPr>
  </w:style>
  <w:style w:type="character" w:customStyle="1" w:styleId="WW8Num13z1">
    <w:name w:val="WW8Num13z1"/>
    <w:rsid w:val="002A67C2"/>
    <w:rPr>
      <w:rFonts w:ascii="Courier New" w:hAnsi="Courier New" w:cs="Courier New"/>
    </w:rPr>
  </w:style>
  <w:style w:type="character" w:customStyle="1" w:styleId="WW8Num13z2">
    <w:name w:val="WW8Num13z2"/>
    <w:rsid w:val="002A67C2"/>
    <w:rPr>
      <w:rFonts w:ascii="Wingdings" w:hAnsi="Wingdings"/>
    </w:rPr>
  </w:style>
  <w:style w:type="character" w:customStyle="1" w:styleId="WW8Num14z0">
    <w:name w:val="WW8Num14z0"/>
    <w:rsid w:val="002A67C2"/>
    <w:rPr>
      <w:rFonts w:ascii="Symbol" w:hAnsi="Symbol"/>
    </w:rPr>
  </w:style>
  <w:style w:type="character" w:customStyle="1" w:styleId="WW8Num14z1">
    <w:name w:val="WW8Num14z1"/>
    <w:rsid w:val="002A67C2"/>
    <w:rPr>
      <w:rFonts w:ascii="Courier New" w:hAnsi="Courier New" w:cs="Courier New"/>
    </w:rPr>
  </w:style>
  <w:style w:type="character" w:customStyle="1" w:styleId="WW8Num14z2">
    <w:name w:val="WW8Num14z2"/>
    <w:rsid w:val="002A67C2"/>
    <w:rPr>
      <w:rFonts w:ascii="Wingdings" w:hAnsi="Wingdings"/>
    </w:rPr>
  </w:style>
  <w:style w:type="character" w:customStyle="1" w:styleId="WW8Num15z0">
    <w:name w:val="WW8Num15z0"/>
    <w:rsid w:val="002A67C2"/>
    <w:rPr>
      <w:rFonts w:ascii="Symbol" w:hAnsi="Symbol"/>
    </w:rPr>
  </w:style>
  <w:style w:type="character" w:customStyle="1" w:styleId="WW8Num15z1">
    <w:name w:val="WW8Num15z1"/>
    <w:rsid w:val="002A67C2"/>
    <w:rPr>
      <w:rFonts w:ascii="Courier New" w:hAnsi="Courier New" w:cs="Courier New"/>
    </w:rPr>
  </w:style>
  <w:style w:type="character" w:customStyle="1" w:styleId="WW8Num15z2">
    <w:name w:val="WW8Num15z2"/>
    <w:rsid w:val="002A67C2"/>
    <w:rPr>
      <w:rFonts w:ascii="Wingdings" w:hAnsi="Wingdings"/>
    </w:rPr>
  </w:style>
  <w:style w:type="character" w:customStyle="1" w:styleId="WW8Num18z0">
    <w:name w:val="WW8Num18z0"/>
    <w:rsid w:val="002A67C2"/>
    <w:rPr>
      <w:rFonts w:ascii="Symbol" w:hAnsi="Symbol"/>
    </w:rPr>
  </w:style>
  <w:style w:type="character" w:customStyle="1" w:styleId="WW8Num18z1">
    <w:name w:val="WW8Num18z1"/>
    <w:rsid w:val="002A67C2"/>
    <w:rPr>
      <w:rFonts w:ascii="Courier New" w:hAnsi="Courier New" w:cs="Courier New"/>
    </w:rPr>
  </w:style>
  <w:style w:type="character" w:customStyle="1" w:styleId="WW8Num18z2">
    <w:name w:val="WW8Num18z2"/>
    <w:rsid w:val="002A67C2"/>
    <w:rPr>
      <w:rFonts w:ascii="Wingdings" w:hAnsi="Wingdings"/>
    </w:rPr>
  </w:style>
  <w:style w:type="character" w:customStyle="1" w:styleId="WW8Num19z0">
    <w:name w:val="WW8Num19z0"/>
    <w:rsid w:val="002A67C2"/>
    <w:rPr>
      <w:rFonts w:ascii="Symbol" w:hAnsi="Symbol"/>
    </w:rPr>
  </w:style>
  <w:style w:type="character" w:customStyle="1" w:styleId="WW8Num19z1">
    <w:name w:val="WW8Num19z1"/>
    <w:rsid w:val="002A67C2"/>
    <w:rPr>
      <w:rFonts w:ascii="Arial" w:eastAsia="Times New Roman" w:hAnsi="Arial" w:cs="Arial"/>
    </w:rPr>
  </w:style>
  <w:style w:type="character" w:customStyle="1" w:styleId="WW8Num19z2">
    <w:name w:val="WW8Num19z2"/>
    <w:rsid w:val="002A67C2"/>
    <w:rPr>
      <w:rFonts w:ascii="Wingdings" w:hAnsi="Wingdings"/>
    </w:rPr>
  </w:style>
  <w:style w:type="character" w:customStyle="1" w:styleId="WW8Num19z4">
    <w:name w:val="WW8Num19z4"/>
    <w:rsid w:val="002A67C2"/>
    <w:rPr>
      <w:rFonts w:ascii="Courier New" w:hAnsi="Courier New" w:cs="Courier New"/>
    </w:rPr>
  </w:style>
  <w:style w:type="character" w:customStyle="1" w:styleId="WW8Num20z0">
    <w:name w:val="WW8Num20z0"/>
    <w:rsid w:val="002A67C2"/>
    <w:rPr>
      <w:rFonts w:ascii="Wingdings" w:hAnsi="Wingdings"/>
    </w:rPr>
  </w:style>
  <w:style w:type="character" w:customStyle="1" w:styleId="WW8Num20z1">
    <w:name w:val="WW8Num20z1"/>
    <w:rsid w:val="002A67C2"/>
    <w:rPr>
      <w:rFonts w:ascii="Symbol" w:hAnsi="Symbol"/>
    </w:rPr>
  </w:style>
  <w:style w:type="character" w:customStyle="1" w:styleId="WW8Num20z4">
    <w:name w:val="WW8Num20z4"/>
    <w:rsid w:val="002A67C2"/>
    <w:rPr>
      <w:rFonts w:ascii="Courier New" w:hAnsi="Courier New" w:cs="Courier New"/>
    </w:rPr>
  </w:style>
  <w:style w:type="character" w:customStyle="1" w:styleId="WW8Num21z0">
    <w:name w:val="WW8Num21z0"/>
    <w:rsid w:val="002A67C2"/>
    <w:rPr>
      <w:rFonts w:ascii="Wingdings" w:hAnsi="Wingdings"/>
    </w:rPr>
  </w:style>
  <w:style w:type="character" w:customStyle="1" w:styleId="WW8Num21z1">
    <w:name w:val="WW8Num21z1"/>
    <w:rsid w:val="002A67C2"/>
    <w:rPr>
      <w:rFonts w:ascii="Courier New" w:hAnsi="Courier New" w:cs="Courier New"/>
    </w:rPr>
  </w:style>
  <w:style w:type="character" w:customStyle="1" w:styleId="WW8Num21z3">
    <w:name w:val="WW8Num21z3"/>
    <w:rsid w:val="002A67C2"/>
    <w:rPr>
      <w:rFonts w:ascii="Symbol" w:hAnsi="Symbol"/>
    </w:rPr>
  </w:style>
  <w:style w:type="character" w:customStyle="1" w:styleId="WW8Num22z0">
    <w:name w:val="WW8Num22z0"/>
    <w:rsid w:val="002A67C2"/>
    <w:rPr>
      <w:rFonts w:ascii="Symbol" w:hAnsi="Symbol"/>
    </w:rPr>
  </w:style>
  <w:style w:type="character" w:customStyle="1" w:styleId="WW8Num22z1">
    <w:name w:val="WW8Num22z1"/>
    <w:rsid w:val="002A67C2"/>
    <w:rPr>
      <w:rFonts w:ascii="Courier New" w:hAnsi="Courier New" w:cs="Courier New"/>
    </w:rPr>
  </w:style>
  <w:style w:type="character" w:customStyle="1" w:styleId="WW8Num22z2">
    <w:name w:val="WW8Num22z2"/>
    <w:rsid w:val="002A67C2"/>
    <w:rPr>
      <w:rFonts w:ascii="Wingdings" w:hAnsi="Wingdings"/>
    </w:rPr>
  </w:style>
  <w:style w:type="character" w:customStyle="1" w:styleId="WW8Num24z0">
    <w:name w:val="WW8Num24z0"/>
    <w:rsid w:val="002A67C2"/>
    <w:rPr>
      <w:rFonts w:ascii="Symbol" w:hAnsi="Symbol"/>
    </w:rPr>
  </w:style>
  <w:style w:type="character" w:customStyle="1" w:styleId="WW8Num24z1">
    <w:name w:val="WW8Num24z1"/>
    <w:rsid w:val="002A67C2"/>
    <w:rPr>
      <w:rFonts w:ascii="Courier New" w:hAnsi="Courier New" w:cs="Courier New"/>
    </w:rPr>
  </w:style>
  <w:style w:type="character" w:customStyle="1" w:styleId="WW8Num24z2">
    <w:name w:val="WW8Num24z2"/>
    <w:rsid w:val="002A67C2"/>
    <w:rPr>
      <w:rFonts w:ascii="Wingdings" w:hAnsi="Wingdings"/>
    </w:rPr>
  </w:style>
  <w:style w:type="character" w:customStyle="1" w:styleId="StyleArial">
    <w:name w:val="Style Arial"/>
    <w:rsid w:val="002A67C2"/>
    <w:rPr>
      <w:rFonts w:ascii="Arial" w:hAnsi="Arial"/>
    </w:rPr>
  </w:style>
  <w:style w:type="character" w:customStyle="1" w:styleId="FootnoteCharacters">
    <w:name w:val="Footnote Characters"/>
    <w:rsid w:val="002A67C2"/>
    <w:rPr>
      <w:vertAlign w:val="superscript"/>
    </w:rPr>
  </w:style>
  <w:style w:type="character" w:customStyle="1" w:styleId="NumberingSymbols">
    <w:name w:val="Numbering Symbols"/>
    <w:rsid w:val="002A67C2"/>
  </w:style>
  <w:style w:type="paragraph" w:customStyle="1" w:styleId="Heading">
    <w:name w:val="Heading"/>
    <w:basedOn w:val="Normal"/>
    <w:next w:val="BodyText"/>
    <w:rsid w:val="002A67C2"/>
    <w:pPr>
      <w:keepNext/>
      <w:spacing w:before="240" w:after="120"/>
    </w:pPr>
    <w:rPr>
      <w:rFonts w:ascii="Arial" w:eastAsia="Microsoft YaHei" w:hAnsi="Arial" w:cs="Mangal"/>
      <w:sz w:val="28"/>
      <w:szCs w:val="28"/>
    </w:rPr>
  </w:style>
  <w:style w:type="paragraph" w:styleId="BodyText">
    <w:name w:val="Body Text"/>
    <w:basedOn w:val="Normal"/>
    <w:link w:val="BodyTextChar"/>
    <w:rsid w:val="002A67C2"/>
    <w:pPr>
      <w:jc w:val="both"/>
    </w:pPr>
  </w:style>
  <w:style w:type="character" w:customStyle="1" w:styleId="BodyTextChar">
    <w:name w:val="Body Text Char"/>
    <w:basedOn w:val="DefaultParagraphFont"/>
    <w:link w:val="BodyText"/>
    <w:rsid w:val="002A67C2"/>
    <w:rPr>
      <w:rFonts w:ascii="Dutch TL" w:hAnsi="Dutch TL"/>
      <w:sz w:val="24"/>
      <w:szCs w:val="20"/>
      <w:lang w:eastAsia="ar-SA"/>
    </w:rPr>
  </w:style>
  <w:style w:type="paragraph" w:customStyle="1" w:styleId="Index">
    <w:name w:val="Index"/>
    <w:basedOn w:val="Normal"/>
    <w:rsid w:val="002A67C2"/>
    <w:pPr>
      <w:suppressLineNumbers/>
    </w:pPr>
    <w:rPr>
      <w:rFonts w:eastAsia="Times New Roman" w:cs="Mangal"/>
    </w:rPr>
  </w:style>
  <w:style w:type="paragraph" w:customStyle="1" w:styleId="nais2">
    <w:name w:val="nais2"/>
    <w:basedOn w:val="Normal"/>
    <w:rsid w:val="002A67C2"/>
    <w:pPr>
      <w:spacing w:before="100" w:after="100"/>
    </w:pPr>
    <w:rPr>
      <w:rFonts w:eastAsia="Times New Roman"/>
      <w:szCs w:val="24"/>
    </w:rPr>
  </w:style>
  <w:style w:type="paragraph" w:customStyle="1" w:styleId="TableContents">
    <w:name w:val="Table Contents"/>
    <w:basedOn w:val="Normal"/>
    <w:rsid w:val="002A67C2"/>
    <w:pPr>
      <w:suppressLineNumbers/>
    </w:pPr>
    <w:rPr>
      <w:rFonts w:eastAsia="Times New Roman"/>
    </w:rPr>
  </w:style>
  <w:style w:type="paragraph" w:customStyle="1" w:styleId="TableHeading">
    <w:name w:val="Table Heading"/>
    <w:basedOn w:val="TableContents"/>
    <w:rsid w:val="002A67C2"/>
    <w:pPr>
      <w:jc w:val="center"/>
    </w:pPr>
    <w:rPr>
      <w:b/>
      <w:bCs/>
    </w:rPr>
  </w:style>
  <w:style w:type="paragraph" w:customStyle="1" w:styleId="Framecontents">
    <w:name w:val="Frame contents"/>
    <w:basedOn w:val="BodyText"/>
    <w:rsid w:val="002A67C2"/>
    <w:rPr>
      <w:rFonts w:eastAsia="Times New Roman"/>
    </w:rPr>
  </w:style>
  <w:style w:type="character" w:customStyle="1" w:styleId="Heading1Char">
    <w:name w:val="Heading 1 Char"/>
    <w:basedOn w:val="DefaultParagraphFont"/>
    <w:link w:val="Heading1"/>
    <w:rsid w:val="002A67C2"/>
    <w:rPr>
      <w:rFonts w:ascii="Dutch TL" w:eastAsia="Times New Roman" w:hAnsi="Dutch TL" w:cs="Times New Roman"/>
      <w:b/>
      <w:sz w:val="24"/>
      <w:szCs w:val="20"/>
      <w:lang w:eastAsia="ar-SA"/>
    </w:rPr>
  </w:style>
  <w:style w:type="character" w:customStyle="1" w:styleId="Heading2Char">
    <w:name w:val="Heading 2 Char"/>
    <w:basedOn w:val="DefaultParagraphFont"/>
    <w:link w:val="Heading2"/>
    <w:rsid w:val="002A67C2"/>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2A67C2"/>
    <w:rPr>
      <w:rFonts w:ascii="Dutch TL" w:eastAsia="Times New Roman" w:hAnsi="Dutch TL" w:cs="Times New Roman"/>
      <w:b/>
      <w:sz w:val="24"/>
      <w:szCs w:val="20"/>
      <w:lang w:eastAsia="ar-SA"/>
    </w:rPr>
  </w:style>
  <w:style w:type="paragraph" w:styleId="FootnoteText">
    <w:name w:val="footnote text"/>
    <w:basedOn w:val="Normal"/>
    <w:link w:val="FootnoteTextChar"/>
    <w:uiPriority w:val="99"/>
    <w:rsid w:val="002A67C2"/>
    <w:rPr>
      <w:rFonts w:eastAsia="Times New Roman"/>
      <w:sz w:val="20"/>
    </w:rPr>
  </w:style>
  <w:style w:type="character" w:customStyle="1" w:styleId="FootnoteTextChar">
    <w:name w:val="Footnote Text Char"/>
    <w:basedOn w:val="DefaultParagraphFont"/>
    <w:link w:val="FootnoteText"/>
    <w:uiPriority w:val="99"/>
    <w:rsid w:val="002A67C2"/>
    <w:rPr>
      <w:rFonts w:ascii="Dutch TL" w:eastAsia="Times New Roman" w:hAnsi="Dutch TL" w:cs="Times New Roman"/>
      <w:sz w:val="20"/>
      <w:szCs w:val="20"/>
      <w:vertAlign w:val="superscript"/>
      <w:lang w:val="en-US" w:eastAsia="ar-SA"/>
    </w:rPr>
  </w:style>
  <w:style w:type="paragraph" w:styleId="CommentText">
    <w:name w:val="annotation text"/>
    <w:basedOn w:val="Normal"/>
    <w:link w:val="CommentTextChar"/>
    <w:rsid w:val="002A67C2"/>
    <w:rPr>
      <w:rFonts w:eastAsia="Times New Roman"/>
      <w:sz w:val="20"/>
    </w:rPr>
  </w:style>
  <w:style w:type="character" w:customStyle="1" w:styleId="CommentTextChar">
    <w:name w:val="Comment Text Char"/>
    <w:basedOn w:val="DefaultParagraphFont"/>
    <w:link w:val="CommentText"/>
    <w:rsid w:val="002A67C2"/>
    <w:rPr>
      <w:rFonts w:ascii="Dutch TL" w:eastAsia="Times New Roman" w:hAnsi="Dutch TL" w:cs="Times New Roman"/>
      <w:sz w:val="20"/>
      <w:szCs w:val="20"/>
      <w:vertAlign w:val="superscript"/>
      <w:lang w:val="en-US" w:eastAsia="ar-SA"/>
    </w:rPr>
  </w:style>
  <w:style w:type="paragraph" w:styleId="Header">
    <w:name w:val="header"/>
    <w:basedOn w:val="Normal"/>
    <w:link w:val="HeaderChar"/>
    <w:uiPriority w:val="99"/>
    <w:rsid w:val="002A67C2"/>
    <w:pPr>
      <w:tabs>
        <w:tab w:val="center" w:pos="4153"/>
        <w:tab w:val="right" w:pos="8306"/>
      </w:tabs>
    </w:pPr>
    <w:rPr>
      <w:rFonts w:eastAsia="Times New Roman"/>
      <w:lang w:val="en-GB"/>
    </w:rPr>
  </w:style>
  <w:style w:type="character" w:customStyle="1" w:styleId="HeaderChar">
    <w:name w:val="Header Char"/>
    <w:basedOn w:val="DefaultParagraphFont"/>
    <w:link w:val="Header"/>
    <w:uiPriority w:val="99"/>
    <w:rsid w:val="002A67C2"/>
    <w:rPr>
      <w:rFonts w:ascii="Times New Roman" w:eastAsia="Times New Roman" w:hAnsi="Times New Roman" w:cs="Times New Roman"/>
      <w:sz w:val="24"/>
      <w:szCs w:val="20"/>
      <w:lang w:val="en-GB" w:eastAsia="ar-SA"/>
    </w:rPr>
  </w:style>
  <w:style w:type="paragraph" w:styleId="Footer">
    <w:name w:val="footer"/>
    <w:basedOn w:val="Normal"/>
    <w:link w:val="FooterChar"/>
    <w:uiPriority w:val="99"/>
    <w:rsid w:val="002A67C2"/>
    <w:pPr>
      <w:tabs>
        <w:tab w:val="center" w:pos="4153"/>
        <w:tab w:val="right" w:pos="8306"/>
      </w:tabs>
    </w:pPr>
    <w:rPr>
      <w:rFonts w:eastAsia="Times New Roman"/>
    </w:rPr>
  </w:style>
  <w:style w:type="character" w:customStyle="1" w:styleId="FooterChar">
    <w:name w:val="Footer Char"/>
    <w:basedOn w:val="DefaultParagraphFont"/>
    <w:link w:val="Footer"/>
    <w:uiPriority w:val="99"/>
    <w:rsid w:val="002A67C2"/>
    <w:rPr>
      <w:rFonts w:ascii="Dutch TL" w:eastAsia="Times New Roman" w:hAnsi="Dutch TL" w:cs="Times New Roman"/>
      <w:sz w:val="24"/>
      <w:szCs w:val="20"/>
      <w:vertAlign w:val="superscript"/>
      <w:lang w:val="en-US" w:eastAsia="ar-SA"/>
    </w:rPr>
  </w:style>
  <w:style w:type="paragraph" w:styleId="Caption">
    <w:name w:val="caption"/>
    <w:basedOn w:val="Normal"/>
    <w:qFormat/>
    <w:rsid w:val="00142B80"/>
    <w:pPr>
      <w:suppressLineNumbers/>
      <w:spacing w:before="120" w:after="120"/>
    </w:pPr>
    <w:rPr>
      <w:rFonts w:eastAsia="Times New Roman" w:cs="Mangal"/>
      <w:i/>
      <w:iCs/>
      <w:szCs w:val="24"/>
    </w:rPr>
  </w:style>
  <w:style w:type="character" w:styleId="CommentReference">
    <w:name w:val="annotation reference"/>
    <w:rsid w:val="002A67C2"/>
    <w:rPr>
      <w:sz w:val="16"/>
    </w:rPr>
  </w:style>
  <w:style w:type="character" w:styleId="PageNumber">
    <w:name w:val="page number"/>
    <w:basedOn w:val="DefaultParagraphFont"/>
    <w:rsid w:val="002A67C2"/>
  </w:style>
  <w:style w:type="paragraph" w:styleId="List">
    <w:name w:val="List"/>
    <w:basedOn w:val="BodyText"/>
    <w:rsid w:val="002A67C2"/>
    <w:rPr>
      <w:rFonts w:eastAsia="Times New Roman" w:cs="Mangal"/>
    </w:rPr>
  </w:style>
  <w:style w:type="paragraph" w:styleId="CommentSubject">
    <w:name w:val="annotation subject"/>
    <w:basedOn w:val="CommentText"/>
    <w:next w:val="CommentText"/>
    <w:link w:val="CommentSubjectChar"/>
    <w:uiPriority w:val="99"/>
    <w:semiHidden/>
    <w:unhideWhenUsed/>
    <w:rsid w:val="002A67C2"/>
    <w:rPr>
      <w:b/>
      <w:bCs/>
    </w:rPr>
  </w:style>
  <w:style w:type="character" w:customStyle="1" w:styleId="CommentSubjectChar">
    <w:name w:val="Comment Subject Char"/>
    <w:basedOn w:val="CommentTextChar"/>
    <w:link w:val="CommentSubject"/>
    <w:uiPriority w:val="99"/>
    <w:semiHidden/>
    <w:rsid w:val="002A67C2"/>
    <w:rPr>
      <w:rFonts w:ascii="Dutch TL" w:eastAsia="Times New Roman" w:hAnsi="Dutch TL" w:cs="Times New Roman"/>
      <w:b/>
      <w:bCs/>
      <w:sz w:val="20"/>
      <w:szCs w:val="20"/>
      <w:vertAlign w:val="superscript"/>
      <w:lang w:val="en-US" w:eastAsia="ar-SA"/>
    </w:rPr>
  </w:style>
  <w:style w:type="paragraph" w:styleId="ListParagraph">
    <w:name w:val="List Paragraph"/>
    <w:basedOn w:val="Normal"/>
    <w:uiPriority w:val="34"/>
    <w:qFormat/>
    <w:rsid w:val="002A67C2"/>
    <w:pPr>
      <w:ind w:left="720"/>
    </w:pPr>
    <w:rPr>
      <w:rFonts w:eastAsia="Times New Roman"/>
    </w:rPr>
  </w:style>
  <w:style w:type="character" w:styleId="Hyperlink">
    <w:name w:val="Hyperlink"/>
    <w:basedOn w:val="DefaultParagraphFont"/>
    <w:uiPriority w:val="99"/>
    <w:unhideWhenUsed/>
    <w:rsid w:val="00F55450"/>
    <w:rPr>
      <w:color w:val="0563C1" w:themeColor="hyperlink"/>
      <w:u w:val="single"/>
    </w:rPr>
  </w:style>
  <w:style w:type="character" w:customStyle="1" w:styleId="InternetLink">
    <w:name w:val="Internet Link"/>
    <w:rsid w:val="006F5226"/>
    <w:rPr>
      <w:color w:val="000080"/>
      <w:u w:val="single"/>
    </w:rPr>
  </w:style>
  <w:style w:type="character" w:customStyle="1" w:styleId="svvr">
    <w:name w:val="sv_vr"/>
    <w:basedOn w:val="DefaultParagraphFont"/>
    <w:rsid w:val="00C34F3D"/>
  </w:style>
  <w:style w:type="character" w:customStyle="1" w:styleId="documenttitle">
    <w:name w:val="documenttitle"/>
    <w:basedOn w:val="DefaultParagraphFont"/>
    <w:rsid w:val="0075788D"/>
  </w:style>
  <w:style w:type="character" w:styleId="FootnoteReference">
    <w:name w:val="footnote reference"/>
    <w:basedOn w:val="DefaultParagraphFont"/>
    <w:uiPriority w:val="99"/>
    <w:semiHidden/>
    <w:unhideWhenUsed/>
    <w:rsid w:val="007A7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6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4358C-6EE4-415F-9927-5B88B226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5668</Words>
  <Characters>3231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Par Zemessardzes mācību infrastruktūras attīstību Amatas novadā</vt:lpstr>
    </vt:vector>
  </TitlesOfParts>
  <Manager>Valsts aizsardzības militāro objektu un iepirkumu centrs</Manager>
  <Company>Aizsardzības ministrija</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Zemessardzes mācību infrastruktūras attīstību Amatas novadā</dc:title>
  <dc:subject>informatīvais ziņojums</dc:subject>
  <dc:creator>Andis Krastiņš</dc:creator>
  <cp:keywords/>
  <dc:description>67300229, andis.krastins@vamoic.gov.lv</dc:description>
  <cp:lastModifiedBy>Iveta Stafecka</cp:lastModifiedBy>
  <cp:revision>4</cp:revision>
  <cp:lastPrinted>2019-02-15T11:34:00Z</cp:lastPrinted>
  <dcterms:created xsi:type="dcterms:W3CDTF">2019-04-23T05:54:00Z</dcterms:created>
  <dcterms:modified xsi:type="dcterms:W3CDTF">2019-09-10T08:47:00Z</dcterms:modified>
</cp:coreProperties>
</file>